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80"/>
          <w:szCs w:val="80"/>
        </w:rPr>
        <w:t xml:space="preserve"/>
      </w:r>
    </w:p>
    <w:p>
      <w:pPr>
        <w:spacing w:before="0" w:after="200"/>
        <w:jc w:val="center"/>
      </w:pPr>
      <w:r>
        <w:rPr>
          <w:rFonts w:ascii="Arial" w:cs="Arial" w:eastAsia="Arial" w:hAnsi="Arial"/>
          <w:b/>
          <w:bCs/>
          <w:color w:val="1F3864"/>
          <w:sz w:val="64"/>
          <w:szCs w:val="64"/>
        </w:rPr>
        <w:t xml:space="preserve">MITRE-CORE</w:t>
      </w:r>
    </w:p>
    <w:p>
      <w:pPr>
        <w:spacing w:before="0" w:after="120"/>
        <w:jc w:val="center"/>
      </w:pPr>
      <w:r>
        <w:rPr>
          <w:rFonts w:ascii="Arial" w:cs="Arial" w:eastAsia="Arial" w:hAnsi="Arial"/>
          <w:color w:val="2E75B6"/>
          <w:sz w:val="40"/>
          <w:szCs w:val="40"/>
        </w:rPr>
        <w:t xml:space="preserve">Modern Dataset Upgrade Plan</w:t>
      </w:r>
    </w:p>
    <w:p>
      <w:pPr>
        <w:spacing w:before="0" w:after="80"/>
        <w:jc w:val="center"/>
      </w:pPr>
      <w:r>
        <w:rPr>
          <w:rFonts w:ascii="Arial" w:cs="Arial" w:eastAsia="Arial" w:hAnsi="Arial"/>
          <w:color w:val="555555"/>
          <w:sz w:val="28"/>
          <w:szCs w:val="28"/>
        </w:rPr>
        <w:t xml:space="preserve">CICIDS2017 → TON_IoT → Linux-APT 2024</w:t>
      </w:r>
    </w:p>
    <w:p>
      <w:pPr>
        <w:pBdr>
          <w:bottom w:val="single" w:color="2E75B6" w:sz="4" w:space="1"/>
        </w:pBdr>
        <w:spacing w:before="120" w:after="120"/>
      </w:pPr>
      <w:r>
        <w:t xml:space="preserve"/>
      </w:r>
    </w:p>
    <w:p>
      <w:pPr>
        <w:spacing w:before="60" w:after="60"/>
        <w:jc w:val="center"/>
      </w:pPr>
      <w:r>
        <w:rPr>
          <w:rFonts w:ascii="Arial" w:cs="Arial" w:eastAsia="Arial" w:hAnsi="Arial"/>
          <w:color w:val="333333"/>
          <w:sz w:val="24"/>
          <w:szCs w:val="24"/>
        </w:rPr>
        <w:t xml:space="preserve">Performance Evaluation &amp; Fine-Tuning Roadmap</w:t>
      </w:r>
    </w:p>
    <w:p>
      <w:pPr>
        <w:spacing w:before="60" w:after="60"/>
        <w:jc w:val="center"/>
      </w:pPr>
      <w:r>
        <w:rPr>
          <w:rFonts w:ascii="Arial" w:cs="Arial" w:eastAsia="Arial" w:hAnsi="Arial"/>
          <w:color w:val="777777"/>
          <w:sz w:val="22"/>
          <w:szCs w:val="22"/>
        </w:rPr>
        <w:t xml:space="preserve">Version 1.0  •  February 2026</w:t>
      </w:r>
    </w:p>
    <w:p>
      <w:r>
        <w:rPr>
          <w:sz w:val="40"/>
          <w:szCs w:val="40"/>
        </w:rPr>
        <w:t xml:space="preserve"/>
      </w:r>
    </w:p>
    <w:p>
      <w:r>
        <w:br w:type="page"/>
      </w:r>
    </w:p>
    <w:p>
      <w:pPr>
        <w:pStyle w:val="Heading1"/>
        <w:spacing w:before="360" w:after="120"/>
      </w:pPr>
      <w:r>
        <w:rPr>
          <w:rFonts w:ascii="Arial" w:cs="Arial" w:eastAsia="Arial" w:hAnsi="Arial"/>
          <w:b/>
          <w:bCs/>
          <w:color w:val="1F3864"/>
          <w:sz w:val="32"/>
          <w:szCs w:val="32"/>
        </w:rPr>
        <w:t xml:space="preserve">Executive Summary</w:t>
      </w:r>
    </w:p>
    <w:p>
      <w:pPr>
        <w:spacing w:before="60" w:after="60"/>
      </w:pPr>
      <w:r>
        <w:rPr>
          <w:rFonts w:ascii="Arial" w:cs="Arial" w:eastAsia="Arial" w:hAnsi="Arial"/>
          <w:sz w:val="22"/>
          <w:szCs w:val="22"/>
        </w:rPr>
        <w:t xml:space="preserve">MITRE-CORE has been accepted to IEEE T-IFS on the strength of its UNSW-NB15 evaluation. The next milestone is demonstrating that its core contributions — Union-Find transitive closure, HGNN relational learning, and contrastive pre-training — generalise beyond a 2015 benchmark to cover modern attack classes.</w:t>
      </w:r>
    </w:p>
    <w:p>
      <w:r>
        <w:rPr>
          <w:sz w:val="20"/>
          <w:szCs w:val="20"/>
        </w:rPr>
        <w:t xml:space="preserve"/>
      </w:r>
    </w:p>
    <w:p>
      <w:pPr>
        <w:spacing w:before="60" w:after="60"/>
      </w:pPr>
      <w:r>
        <w:rPr>
          <w:rFonts w:ascii="Arial" w:cs="Arial" w:eastAsia="Arial" w:hAnsi="Arial"/>
          <w:sz w:val="22"/>
          <w:szCs w:val="22"/>
        </w:rPr>
        <w:t xml:space="preserve">This plan describes a three-phase upgrade using three complementary datasets, an objective performance assessment framework for each, and specific fine-tuning actions keyed to expected failure modes.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000"/>
        <w:gridCol w:w="3160"/>
      </w:tblGrid>
      <w:tr>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Dataset</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Primary Goal</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Success Criterion</w:t>
            </w:r>
          </w:p>
        </w:tc>
      </w:tr>
      <w:tr>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CICIDS2017</w:t>
            </w:r>
          </w:p>
        </w:tc>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Multi-attack generalisation</w:t>
            </w:r>
          </w:p>
        </w:tc>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HGNN ARI ≥ 0.65 on real flows</w:t>
            </w:r>
          </w:p>
        </w:tc>
      </w:tr>
      <w:tr>
        <w:tc>
          <w:tcPr>
            <w:gridSpan w:val="1"/>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gridSpan w:val="1"/>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TON_IoT</w:t>
            </w:r>
          </w:p>
        </w:tc>
        <w:tc>
          <w:tcPr>
            <w:gridSpan w:val="1"/>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IIoT / device-centric topology</w:t>
            </w:r>
          </w:p>
        </w:tc>
        <w:tc>
          <w:tcPr>
            <w:gridSpan w:val="1"/>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ARI ≥ 0.60 after fine-tune</w:t>
            </w:r>
          </w:p>
        </w:tc>
      </w:tr>
      <w:tr>
        <w:tc>
          <w:tcPr>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Linux-APT 2024</w:t>
            </w:r>
          </w:p>
        </w:tc>
        <w:tc>
          <w:tcPr>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Native ATT&amp;CK label validation</w:t>
            </w:r>
          </w:p>
        </w:tc>
        <w:tc>
          <w:tcPr>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ATT&amp;CK tactic F1 ≥ 0.70</w:t>
            </w:r>
          </w:p>
        </w:tc>
      </w:tr>
    </w:tbl>
    <w:p>
      <w:r>
        <w:rPr>
          <w:sz w:val="40"/>
          <w:szCs w:val="40"/>
        </w:rPr>
        <w:t xml:space="preserve"/>
      </w:r>
    </w:p>
    <w:p>
      <w:r>
        <w:br w:type="page"/>
      </w:r>
    </w:p>
    <w:p>
      <w:pPr>
        <w:pStyle w:val="Heading1"/>
        <w:spacing w:before="360" w:after="120"/>
      </w:pPr>
      <w:r>
        <w:rPr>
          <w:rFonts w:ascii="Arial" w:cs="Arial" w:eastAsia="Arial" w:hAnsi="Arial"/>
          <w:b/>
          <w:bCs/>
          <w:color w:val="1F3864"/>
          <w:sz w:val="32"/>
          <w:szCs w:val="32"/>
        </w:rPr>
        <w:t xml:space="preserve">Phase 1 — CICIDS2017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Phase 1</w:t>
            </w:r>
          </w:p>
        </w:tc>
        <w:tc>
          <w:tcPr>
            <w:tcBorders>
              <w:top w:val="single" w:color="CCCCCC" w:sz="1"/>
              <w:left w:val="single" w:color="CCCCCC" w:sz="1"/>
              <w:bottom w:val="single" w:color="CCCCCC" w:sz="1"/>
              <w:right w:val="single" w:color="CCCCCC" w:sz="1"/>
            </w:tcBorders>
            <w:shd w:fill="F7FBFF" w:val="clear"/>
            <w:tcMar>
              <w:top w:type="dxa" w:w="100"/>
              <w:left w:type="dxa" w:w="180"/>
              <w:bottom w:type="dxa" w:w="100"/>
              <w:right w:type="dxa" w:w="120"/>
            </w:tcMar>
          </w:tcPr>
          <w:p>
            <w:r>
              <w:rPr>
                <w:rFonts w:ascii="Arial" w:cs="Arial" w:eastAsia="Arial" w:hAnsi="Arial"/>
                <w:b/>
                <w:bCs/>
                <w:color w:val="1F3864"/>
                <w:sz w:val="24"/>
                <w:szCs w:val="24"/>
              </w:rPr>
              <w:t xml:space="preserve">Multi-Attack Generalisation</w:t>
            </w:r>
          </w:p>
        </w:tc>
        <w:tc>
          <w:tcPr>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color w:val="555555"/>
                <w:sz w:val="20"/>
                <w:szCs w:val="20"/>
              </w:rPr>
              <w:t xml:space="preserve">Weeks 1–4</w:t>
            </w:r>
          </w:p>
        </w:tc>
      </w:tr>
    </w:tbl>
    <w:p>
      <w:r>
        <w:rPr>
          <w:sz w:val="20"/>
          <w:szCs w:val="20"/>
        </w:rPr>
        <w:t xml:space="preserve"/>
      </w:r>
    </w:p>
    <w:p>
      <w:pPr>
        <w:pStyle w:val="Heading2"/>
        <w:spacing w:before="240" w:after="80"/>
      </w:pPr>
      <w:r>
        <w:rPr>
          <w:rFonts w:ascii="Arial" w:cs="Arial" w:eastAsia="Arial" w:hAnsi="Arial"/>
          <w:b/>
          <w:bCs/>
          <w:color w:val="2E75B6"/>
          <w:sz w:val="26"/>
          <w:szCs w:val="26"/>
        </w:rPr>
        <w:t xml:space="preserve">1.1  Why CICIDS2017 First</w:t>
      </w:r>
    </w:p>
    <w:p>
      <w:pPr>
        <w:spacing w:before="60" w:after="60"/>
      </w:pPr>
      <w:r>
        <w:rPr>
          <w:rFonts w:ascii="Arial" w:cs="Arial" w:eastAsia="Arial" w:hAnsi="Arial"/>
          <w:sz w:val="22"/>
          <w:szCs w:val="22"/>
        </w:rPr>
        <w:t xml:space="preserve">CICIDS2017 is already cited as reference [22] in the paper and named in §VII.I as the immediate next evaluation step. Reviewers will look for it. It provides bidirectional flow features from a realistic enterprise topology captured over five days, covering attack classes entirely absent from UNSW-NB15.</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Attack Class</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UNSW-NB15 Coverage</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CICIDS2017 Coverage</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Brute Force (SSH/FTP)</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Absent</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Present</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Web Attacks (SQLi, XSS)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Absent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Present</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Botnet / C&amp;C</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Absent</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Present</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Infiltration (multi-stage)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Absent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Present</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DDoS (LOIT/HOIC)</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Partial (DoS only)</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Extended</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Port Scan variants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Basic portsweep</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Full nmap suite</w:t>
            </w:r>
          </w:p>
        </w:tc>
      </w:tr>
    </w:tbl>
    <w:p>
      <w:r>
        <w:rPr>
          <w:sz w:val="20"/>
          <w:szCs w:val="20"/>
        </w:rPr>
        <w:t xml:space="preserve"/>
      </w:r>
    </w:p>
    <w:p>
      <w:pPr>
        <w:pStyle w:val="Heading2"/>
        <w:spacing w:before="240" w:after="80"/>
      </w:pPr>
      <w:r>
        <w:rPr>
          <w:rFonts w:ascii="Arial" w:cs="Arial" w:eastAsia="Arial" w:hAnsi="Arial"/>
          <w:b/>
          <w:bCs/>
          <w:color w:val="2E75B6"/>
          <w:sz w:val="26"/>
          <w:szCs w:val="26"/>
        </w:rPr>
        <w:t xml:space="preserve">1.2  Schema Mapping</w:t>
      </w:r>
    </w:p>
    <w:p>
      <w:pPr>
        <w:spacing w:before="60" w:after="60"/>
      </w:pPr>
      <w:r>
        <w:rPr>
          <w:rFonts w:ascii="Arial" w:cs="Arial" w:eastAsia="Arial" w:hAnsi="Arial"/>
          <w:sz w:val="22"/>
          <w:szCs w:val="22"/>
        </w:rPr>
        <w:t xml:space="preserve">CICIDS2017 uses CICFlowMeter bidirectional flows. The mapping to the MITRE-CORE 11-field schema is straightforward:</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CICIDS2017 Field</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MITRE-CORE Field</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Source IP</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SourceAddress</w:t>
            </w:r>
          </w:p>
        </w:tc>
        <w:tc>
          <w:tcPr>
            <w:gridSpan w:val="1"/>
            <w:tcBorders>
              <w:top w:val="single" w:color="CCCCCC" w:sz="1"/>
              <w:left w:val="single" w:color="CCCCCC" w:sz="1"/>
              <w:bottom w:val="single" w:color="CCCCCC" w:sz="1"/>
              <w:right w:val="single" w:color="CCCCCC" w:sz="1"/>
            </w:tcBorders>
            <w:shd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Direct</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Destination IP</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DestinationAddress</w:t>
            </w:r>
          </w:p>
        </w:tc>
        <w:tc>
          <w:tcPr>
            <w:gridSpan w:val="1"/>
            <w:tcBorders>
              <w:top w:val="single" w:color="CCCCCC" w:sz="1"/>
              <w:left w:val="single" w:color="CCCCCC" w:sz="1"/>
              <w:bottom w:val="single" w:color="CCCCCC" w:sz="1"/>
              <w:right w:val="single" w:color="CCCCCC" w:sz="1"/>
            </w:tcBorders>
            <w:shd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Direct</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Source Port</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DeviceAddress (port encoded)</w:t>
            </w:r>
          </w:p>
        </w:tc>
        <w:tc>
          <w:tcPr>
            <w:gridSpan w:val="1"/>
            <w:tcBorders>
              <w:top w:val="single" w:color="CCCCCC" w:sz="1"/>
              <w:left w:val="single" w:color="CCCCCC" w:sz="1"/>
              <w:bottom w:val="single" w:color="CCCCCC" w:sz="1"/>
              <w:right w:val="single" w:color="CCCCCC" w:sz="1"/>
            </w:tcBorders>
            <w:shd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Encode port into device field</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Label (attack name)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MalwareIntelAttackType</w:t>
            </w:r>
          </w:p>
        </w:tc>
        <w:tc>
          <w:tcPr>
            <w:gridSpan w:val="1"/>
            <w:tcBorders>
              <w:top w:val="single" w:color="CCCCCC" w:sz="1"/>
              <w:left w:val="single" w:color="CCCCCC" w:sz="1"/>
              <w:bottom w:val="single" w:color="CCCCCC" w:sz="1"/>
              <w:right w:val="single" w:color="CCCCCC" w:sz="1"/>
            </w:tcBorders>
            <w:shd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Direct ground truth</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Timestamp</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EndDate</w:t>
            </w:r>
          </w:p>
        </w:tc>
        <w:tc>
          <w:tcPr>
            <w:gridSpan w:val="1"/>
            <w:tcBorders>
              <w:top w:val="single" w:color="CCCCCC" w:sz="1"/>
              <w:left w:val="single" w:color="CCCCCC" w:sz="1"/>
              <w:bottom w:val="single" w:color="CCCCCC" w:sz="1"/>
              <w:right w:val="single" w:color="CCCCCC" w:sz="1"/>
            </w:tcBorders>
            <w:shd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Convert to ISO 8601</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Flow Duration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AttackSeverity (binned)</w:t>
            </w:r>
          </w:p>
        </w:tc>
        <w:tc>
          <w:tcPr>
            <w:gridSpan w:val="1"/>
            <w:tcBorders>
              <w:top w:val="single" w:color="CCCCCC" w:sz="1"/>
              <w:left w:val="single" w:color="CCCCCC" w:sz="1"/>
              <w:bottom w:val="single" w:color="CCCCCC" w:sz="1"/>
              <w:right w:val="single" w:color="CCCCCC" w:sz="1"/>
            </w:tcBorders>
            <w:shd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Bin into Low/Med/High</w:t>
            </w:r>
          </w:p>
        </w:tc>
      </w:tr>
    </w:tbl>
    <w:p>
      <w:r>
        <w:rPr>
          <w:sz w:val="20"/>
          <w:szCs w:val="20"/>
        </w:rPr>
        <w:t xml:space="preserve"/>
      </w:r>
    </w:p>
    <w:p>
      <w:pPr>
        <w:spacing w:before="60" w:after="60"/>
      </w:pPr>
      <w:r>
        <w:rPr>
          <w:rFonts w:ascii="Arial" w:cs="Arial" w:eastAsia="Arial" w:hAnsi="Arial"/>
          <w:sz w:val="22"/>
          <w:szCs w:val="22"/>
        </w:rPr>
        <w:t xml:space="preserve">Hostnames must be synthetically derived (as with UNSW-NB15) using the destination port and service inference. Note this in the paper as a known limitation carried forward from Phase 0.</w:t>
      </w:r>
    </w:p>
    <w:p>
      <w:r>
        <w:rPr>
          <w:sz w:val="20"/>
          <w:szCs w:val="20"/>
        </w:rPr>
        <w:t xml:space="preserve"/>
      </w:r>
    </w:p>
    <w:p>
      <w:pPr>
        <w:pStyle w:val="Heading2"/>
        <w:spacing w:before="240" w:after="80"/>
      </w:pPr>
      <w:r>
        <w:rPr>
          <w:rFonts w:ascii="Arial" w:cs="Arial" w:eastAsia="Arial" w:hAnsi="Arial"/>
          <w:b/>
          <w:bCs/>
          <w:color w:val="2E75B6"/>
          <w:sz w:val="26"/>
          <w:szCs w:val="26"/>
        </w:rPr>
        <w:t xml:space="preserve">1.3  Experiments to Run</w:t>
      </w:r>
    </w:p>
    <w:p>
      <w:pPr>
        <w:pStyle w:val="ListParagraph"/>
        <w:numPr>
          <w:ilvl w:val="0"/>
          <w:numId w:val="2"/>
        </w:numPr>
        <w:spacing w:before="40" w:after="40"/>
      </w:pPr>
      <w:r>
        <w:rPr>
          <w:rFonts w:ascii="Arial" w:cs="Arial" w:eastAsia="Arial" w:hAnsi="Arial"/>
          <w:sz w:val="22"/>
          <w:szCs w:val="22"/>
        </w:rPr>
        <w:t xml:space="preserve">Experiment 1A — All-methods comparison at n = 500</w:t>
      </w:r>
    </w:p>
    <w:p>
      <w:pPr>
        <w:pStyle w:val="ListParagraph"/>
        <w:numPr>
          <w:ilvl w:val="1"/>
          <w:numId w:val="3"/>
        </w:numPr>
        <w:spacing w:before="30" w:after="30"/>
      </w:pPr>
      <w:r>
        <w:rPr>
          <w:rFonts w:ascii="Arial" w:cs="Arial" w:eastAsia="Arial" w:hAnsi="Arial"/>
          <w:sz w:val="20"/>
          <w:szCs w:val="20"/>
        </w:rPr>
        <w:t xml:space="preserve">Run all 8 baseline methods + HGNN on CICIDS2017 using the same stratified sampling as UNSW-NB15</w:t>
      </w:r>
    </w:p>
    <w:p>
      <w:pPr>
        <w:pStyle w:val="ListParagraph"/>
        <w:numPr>
          <w:ilvl w:val="1"/>
          <w:numId w:val="3"/>
        </w:numPr>
        <w:spacing w:before="30" w:after="30"/>
      </w:pPr>
      <w:r>
        <w:rPr>
          <w:rFonts w:ascii="Arial" w:cs="Arial" w:eastAsia="Arial" w:hAnsi="Arial"/>
          <w:sz w:val="20"/>
          <w:szCs w:val="20"/>
        </w:rPr>
        <w:t xml:space="preserve">Report ARI, NMI, FMI, Homogeneity, Completeness, V-Measure</w:t>
      </w:r>
    </w:p>
    <w:p>
      <w:pPr>
        <w:pStyle w:val="ListParagraph"/>
        <w:numPr>
          <w:ilvl w:val="1"/>
          <w:numId w:val="3"/>
        </w:numPr>
        <w:spacing w:before="30" w:after="30"/>
      </w:pPr>
      <w:r>
        <w:rPr>
          <w:rFonts w:ascii="Arial" w:cs="Arial" w:eastAsia="Arial" w:hAnsi="Arial"/>
          <w:sz w:val="20"/>
          <w:szCs w:val="20"/>
        </w:rPr>
        <w:t xml:space="preserve">Expected: HGNN to outperform distance-based baselines; Union-Find temporal over-correlation may re-emerge</w:t>
      </w:r>
    </w:p>
    <w:p>
      <w:pPr>
        <w:pStyle w:val="ListParagraph"/>
        <w:numPr>
          <w:ilvl w:val="0"/>
          <w:numId w:val="2"/>
        </w:numPr>
        <w:spacing w:before="40" w:after="40"/>
      </w:pPr>
      <w:r>
        <w:rPr>
          <w:rFonts w:ascii="Arial" w:cs="Arial" w:eastAsia="Arial" w:hAnsi="Arial"/>
          <w:sz w:val="22"/>
          <w:szCs w:val="22"/>
        </w:rPr>
        <w:t xml:space="preserve">Experiment 1B — Cross-dataset zero-shot transfer</w:t>
      </w:r>
    </w:p>
    <w:p>
      <w:pPr>
        <w:pStyle w:val="ListParagraph"/>
        <w:numPr>
          <w:ilvl w:val="1"/>
          <w:numId w:val="3"/>
        </w:numPr>
        <w:spacing w:before="30" w:after="30"/>
      </w:pPr>
      <w:r>
        <w:rPr>
          <w:rFonts w:ascii="Arial" w:cs="Arial" w:eastAsia="Arial" w:hAnsi="Arial"/>
          <w:sz w:val="20"/>
          <w:szCs w:val="20"/>
        </w:rPr>
        <w:t xml:space="preserve">Run the UNSW-NB15-trained HGNN directly on CICIDS2017 graphs (no retraining)</w:t>
      </w:r>
    </w:p>
    <w:p>
      <w:pPr>
        <w:pStyle w:val="ListParagraph"/>
        <w:numPr>
          <w:ilvl w:val="1"/>
          <w:numId w:val="3"/>
        </w:numPr>
        <w:spacing w:before="30" w:after="30"/>
      </w:pPr>
      <w:r>
        <w:rPr>
          <w:rFonts w:ascii="Arial" w:cs="Arial" w:eastAsia="Arial" w:hAnsi="Arial"/>
          <w:sz w:val="20"/>
          <w:szCs w:val="20"/>
        </w:rPr>
        <w:t xml:space="preserve">This measures transfer learning of contrastive pre-training across datasets</w:t>
      </w:r>
    </w:p>
    <w:p>
      <w:pPr>
        <w:pStyle w:val="ListParagraph"/>
        <w:numPr>
          <w:ilvl w:val="1"/>
          <w:numId w:val="3"/>
        </w:numPr>
        <w:spacing w:before="30" w:after="30"/>
      </w:pPr>
      <w:r>
        <w:rPr>
          <w:rFonts w:ascii="Arial" w:cs="Arial" w:eastAsia="Arial" w:hAnsi="Arial"/>
          <w:sz w:val="20"/>
          <w:szCs w:val="20"/>
        </w:rPr>
        <w:t xml:space="preserve">Expected: ARI drop of 0.20–0.35 from in-distribution performance</w:t>
      </w:r>
    </w:p>
    <w:p>
      <w:pPr>
        <w:pStyle w:val="ListParagraph"/>
        <w:numPr>
          <w:ilvl w:val="0"/>
          <w:numId w:val="2"/>
        </w:numPr>
        <w:spacing w:before="40" w:after="40"/>
      </w:pPr>
      <w:r>
        <w:rPr>
          <w:rFonts w:ascii="Arial" w:cs="Arial" w:eastAsia="Arial" w:hAnsi="Arial"/>
          <w:sz w:val="22"/>
          <w:szCs w:val="22"/>
        </w:rPr>
        <w:t xml:space="preserve">Experiment 1C — Fine-tuned evaluation</w:t>
      </w:r>
    </w:p>
    <w:p>
      <w:pPr>
        <w:pStyle w:val="ListParagraph"/>
        <w:numPr>
          <w:ilvl w:val="1"/>
          <w:numId w:val="3"/>
        </w:numPr>
        <w:spacing w:before="30" w:after="30"/>
      </w:pPr>
      <w:r>
        <w:rPr>
          <w:rFonts w:ascii="Arial" w:cs="Arial" w:eastAsia="Arial" w:hAnsi="Arial"/>
          <w:sz w:val="20"/>
          <w:szCs w:val="20"/>
        </w:rPr>
        <w:t xml:space="preserve">Fine-tune only the supervised head (freeze contrastive encoder) on 20% of CICIDS2017</w:t>
      </w:r>
    </w:p>
    <w:p>
      <w:pPr>
        <w:pStyle w:val="ListParagraph"/>
        <w:numPr>
          <w:ilvl w:val="1"/>
          <w:numId w:val="3"/>
        </w:numPr>
        <w:spacing w:before="30" w:after="30"/>
      </w:pPr>
      <w:r>
        <w:rPr>
          <w:rFonts w:ascii="Arial" w:cs="Arial" w:eastAsia="Arial" w:hAnsi="Arial"/>
          <w:sz w:val="20"/>
          <w:szCs w:val="20"/>
        </w:rPr>
        <w:t xml:space="preserve">Evaluate on held-out 80% — tests few-shot fine-tuning claim from §VII.D</w:t>
      </w:r>
    </w:p>
    <w:p>
      <w:r>
        <w:rPr>
          <w:sz w:val="20"/>
          <w:szCs w:val="20"/>
        </w:rPr>
        <w:t xml:space="preserve"/>
      </w:r>
    </w:p>
    <w:p>
      <w:pPr>
        <w:pStyle w:val="Heading2"/>
        <w:spacing w:before="240" w:after="80"/>
      </w:pPr>
      <w:r>
        <w:rPr>
          <w:rFonts w:ascii="Arial" w:cs="Arial" w:eastAsia="Arial" w:hAnsi="Arial"/>
          <w:b/>
          <w:bCs/>
          <w:color w:val="2E75B6"/>
          <w:sz w:val="26"/>
          <w:szCs w:val="26"/>
        </w:rPr>
        <w:t xml:space="preserve">1.4  Performance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(Pass)</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Concern Threshold</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If Below — Action</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HGNN ARI (in-dist.)</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0.65</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0.50–0.65</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Retrain encoder; increase hidden_dim</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Zero-shot ARI</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0.40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0.25–0.40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Expand contrastive augmentation</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Fine-tuned ARI</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0.60</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0.45–0.60</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Unfreeze encoder layers 1–2</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UF ARI (no temporal)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0.20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 0.20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 IP-subnet blocking filter</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ATT&amp;CK cluster alignment</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4/7 clusters map cleanly</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 4 clusters</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Increase num_clusters; check label noise</w:t>
            </w:r>
          </w:p>
        </w:tc>
      </w:tr>
    </w:tbl>
    <w:p>
      <w:r>
        <w:rPr>
          <w:sz w:val="40"/>
          <w:szCs w:val="40"/>
        </w:rPr>
        <w:t xml:space="preserve"/>
      </w:r>
    </w:p>
    <w:p>
      <w:r>
        <w:br w:type="page"/>
      </w:r>
    </w:p>
    <w:p>
      <w:pPr>
        <w:pStyle w:val="Heading1"/>
        <w:spacing w:before="360" w:after="120"/>
      </w:pPr>
      <w:r>
        <w:rPr>
          <w:rFonts w:ascii="Arial" w:cs="Arial" w:eastAsia="Arial" w:hAnsi="Arial"/>
          <w:b/>
          <w:bCs/>
          <w:color w:val="1F3864"/>
          <w:sz w:val="32"/>
          <w:szCs w:val="32"/>
        </w:rPr>
        <w:t xml:space="preserve">Phase 2 — TON_IoT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Borders>
              <w:top w:val="single" w:color="CCCCCC" w:sz="1"/>
              <w:left w:val="single" w:color="CCCCCC" w:sz="1"/>
              <w:bottom w:val="single" w:color="CCCCCC" w:sz="1"/>
              <w:right w:val="single" w:color="CCCCCC" w:sz="1"/>
            </w:tcBorders>
            <w:shd w:fill="1E6B3C"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Phase 2</w:t>
            </w:r>
          </w:p>
        </w:tc>
        <w:tc>
          <w:tcPr>
            <w:tcBorders>
              <w:top w:val="single" w:color="CCCCCC" w:sz="1"/>
              <w:left w:val="single" w:color="CCCCCC" w:sz="1"/>
              <w:bottom w:val="single" w:color="CCCCCC" w:sz="1"/>
              <w:right w:val="single" w:color="CCCCCC" w:sz="1"/>
            </w:tcBorders>
            <w:shd w:fill="F7FBFF" w:val="clear"/>
            <w:tcMar>
              <w:top w:type="dxa" w:w="100"/>
              <w:left w:type="dxa" w:w="180"/>
              <w:bottom w:type="dxa" w:w="100"/>
              <w:right w:type="dxa" w:w="120"/>
            </w:tcMar>
          </w:tcPr>
          <w:p>
            <w:r>
              <w:rPr>
                <w:rFonts w:ascii="Arial" w:cs="Arial" w:eastAsia="Arial" w:hAnsi="Arial"/>
                <w:b/>
                <w:bCs/>
                <w:color w:val="1F3864"/>
                <w:sz w:val="24"/>
                <w:szCs w:val="24"/>
              </w:rPr>
              <w:t xml:space="preserve">IIoT Device-Centric Topology</w:t>
            </w:r>
          </w:p>
        </w:tc>
        <w:tc>
          <w:tcPr>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color w:val="555555"/>
                <w:sz w:val="20"/>
                <w:szCs w:val="20"/>
              </w:rPr>
              <w:t xml:space="preserve">Weeks 5–8</w:t>
            </w:r>
          </w:p>
        </w:tc>
      </w:tr>
    </w:tbl>
    <w:p>
      <w:r>
        <w:rPr>
          <w:sz w:val="20"/>
          <w:szCs w:val="20"/>
        </w:rPr>
        <w:t xml:space="preserve"/>
      </w:r>
    </w:p>
    <w:p>
      <w:pPr>
        <w:pStyle w:val="Heading2"/>
        <w:spacing w:before="240" w:after="80"/>
      </w:pPr>
      <w:r>
        <w:rPr>
          <w:rFonts w:ascii="Arial" w:cs="Arial" w:eastAsia="Arial" w:hAnsi="Arial"/>
          <w:b/>
          <w:bCs/>
          <w:color w:val="2E75B6"/>
          <w:sz w:val="26"/>
          <w:szCs w:val="26"/>
        </w:rPr>
        <w:t xml:space="preserve">2.1  Why TON_IoT</w:t>
      </w:r>
    </w:p>
    <w:p>
      <w:pPr>
        <w:spacing w:before="60" w:after="60"/>
      </w:pPr>
      <w:r>
        <w:rPr>
          <w:rFonts w:ascii="Arial" w:cs="Arial" w:eastAsia="Arial" w:hAnsi="Arial"/>
          <w:sz w:val="22"/>
          <w:szCs w:val="22"/>
        </w:rPr>
        <w:t xml:space="preserve">TON_IoT is the direct replacement for the synthetic DataSense IIoT 2025 dataset used in the current paper. Where DataSense is a synthetic stand-in, TON_IoT provides real captured traffic from actual IoT and IIoT devices (sensors, actuators, weather stations, motion detectors, fridge, GPS tracker, Modbus). It covers seven attack types that map directly to the IIoT threat model discussed in §VII.C.</w:t>
      </w:r>
    </w:p>
    <w:p>
      <w:r>
        <w:rPr>
          <w:sz w:val="20"/>
          <w:szCs w:val="20"/>
        </w:rPr>
        <w:t xml:space="preserve"/>
      </w:r>
    </w:p>
    <w:p>
      <w:pPr>
        <w:spacing w:before="60" w:after="60"/>
      </w:pPr>
      <w:r>
        <w:rPr>
          <w:rFonts w:ascii="Arial" w:cs="Arial" w:eastAsia="Arial" w:hAnsi="Arial"/>
          <w:sz w:val="22"/>
          <w:szCs w:val="22"/>
        </w:rPr>
        <w:t xml:space="preserve">Critically, Table XI in the paper currently shows ARI = 0.000 for both UNSW-NB15 and IIoT on the same chart — a figure that fails to make its point. Replacing DataSense with TON_IoT produces a real result and resolves the Fig. 8 correctness issue.</w:t>
      </w:r>
    </w:p>
    <w:p>
      <w:r>
        <w:rPr>
          <w:sz w:val="20"/>
          <w:szCs w:val="20"/>
        </w:rPr>
        <w:t xml:space="preserve"/>
      </w:r>
    </w:p>
    <w:p>
      <w:pPr>
        <w:pStyle w:val="Heading2"/>
        <w:spacing w:before="240" w:after="80"/>
      </w:pPr>
      <w:r>
        <w:rPr>
          <w:rFonts w:ascii="Arial" w:cs="Arial" w:eastAsia="Arial" w:hAnsi="Arial"/>
          <w:b/>
          <w:bCs/>
          <w:color w:val="2E75B6"/>
          <w:sz w:val="26"/>
          <w:szCs w:val="26"/>
        </w:rPr>
        <w:t xml:space="preserve">2.2  Key Architectural Challenge: Device-Centric Topology</w:t>
      </w:r>
    </w:p>
    <w:p>
      <w:pPr>
        <w:spacing w:before="60" w:after="60"/>
      </w:pPr>
      <w:r>
        <w:rPr>
          <w:rFonts w:ascii="Arial" w:cs="Arial" w:eastAsia="Arial" w:hAnsi="Arial"/>
          <w:sz w:val="22"/>
          <w:szCs w:val="22"/>
        </w:rPr>
        <w:t xml:space="preserve">IIoT networks differ structurally from enterprise networks in ways that stress MITRE-CORE’s current node schema:</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Dimension</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Enterprise (UNSW-NB15)</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IIoT (TON_IoT)</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IP reuse</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Rare; IPs mostly unique per host</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Common; many sensors share a gateway IP</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Node types needed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alert, user, host, ip</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alert, device, gateway, ip, sensor_type</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Temporal pattern</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Bursty, interleaved</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Periodic heartbeats + attack bursts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Campaign structure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Multi-stage APT chains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Single-vector, high-volume floods</w:t>
            </w:r>
          </w:p>
        </w:tc>
      </w:tr>
    </w:tbl>
    <w:p>
      <w:r>
        <w:rPr>
          <w:sz w:val="20"/>
          <w:szCs w:val="20"/>
        </w:rPr>
        <w:t xml:space="preserve"/>
      </w:r>
    </w:p>
    <w:p>
      <w:pPr>
        <w:spacing w:before="60" w:after="60"/>
      </w:pPr>
      <w:r>
        <w:rPr>
          <w:rFonts w:ascii="Arial" w:cs="Arial" w:eastAsia="Arial" w:hAnsi="Arial"/>
          <w:sz w:val="22"/>
          <w:szCs w:val="22"/>
        </w:rPr>
        <w:t xml:space="preserve">This means the HGNN will need two new node types (device and gateway) and two new edge types ((device, connects_via, gateway) and (sensor_type, classifies, device)) added to the heterogeneous graph. This is exactly the extensibility argument made in §I.B and §VII.C — Phase 2 provides empirical proof of it.</w:t>
      </w:r>
    </w:p>
    <w:p>
      <w:r>
        <w:rPr>
          <w:sz w:val="20"/>
          <w:szCs w:val="20"/>
        </w:rPr>
        <w:t xml:space="preserve"/>
      </w:r>
    </w:p>
    <w:p>
      <w:pPr>
        <w:pStyle w:val="Heading2"/>
        <w:spacing w:before="240" w:after="80"/>
      </w:pPr>
      <w:r>
        <w:rPr>
          <w:rFonts w:ascii="Arial" w:cs="Arial" w:eastAsia="Arial" w:hAnsi="Arial"/>
          <w:b/>
          <w:bCs/>
          <w:color w:val="2E75B6"/>
          <w:sz w:val="26"/>
          <w:szCs w:val="26"/>
        </w:rPr>
        <w:t xml:space="preserve">2.3  Schema Extension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60"/>
        <w:gridCol w:w="2600"/>
      </w:tblGrid>
      <w:tr>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New Element</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Features</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Maps from TON_IoT field</w:t>
            </w:r>
          </w:p>
        </w:tc>
      </w:tr>
      <w:tr>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device</w:t>
            </w:r>
          </w:p>
        </w:tc>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Node (32-dim)</w:t>
            </w:r>
          </w:p>
        </w:tc>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device_type, firmware_ver, MAC prefix</w:t>
            </w:r>
          </w:p>
        </w:tc>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src_ip + device metadata</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gateway</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Node (16-dim)</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gateway_ip, subnet</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Extracted from IP subnet /24</w:t>
            </w:r>
          </w:p>
        </w:tc>
      </w:tr>
      <w:tr>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connects_via</w:t>
            </w:r>
          </w:p>
        </w:tc>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Edge</w:t>
            </w:r>
          </w:p>
        </w:tc>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latency, packet_loss</w:t>
            </w:r>
          </w:p>
        </w:tc>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Derived from flow stats</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temporal_period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Edge (new)</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period_sec, jitter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Inferred from inter-arrival time</w:t>
            </w:r>
          </w:p>
        </w:tc>
      </w:tr>
    </w:tbl>
    <w:p>
      <w:r>
        <w:rPr>
          <w:sz w:val="20"/>
          <w:szCs w:val="20"/>
        </w:rPr>
        <w:t xml:space="preserve"/>
      </w:r>
    </w:p>
    <w:p>
      <w:pPr>
        <w:spacing w:before="60" w:after="60"/>
      </w:pPr>
      <w:r>
        <w:rPr>
          <w:rFonts w:ascii="Arial" w:cs="Arial" w:eastAsia="Arial" w:hAnsi="Arial"/>
          <w:sz w:val="22"/>
          <w:szCs w:val="22"/>
        </w:rPr>
        <w:t xml:space="preserve">No changes to GATConv internals are needed — add new Linear encoder layers for device and gateway nodes, register new edge types in HeteroConv. Estimated code change: ~60 lines in hgnn_correlation.py.</w:t>
      </w:r>
    </w:p>
    <w:p>
      <w:r>
        <w:rPr>
          <w:sz w:val="20"/>
          <w:szCs w:val="20"/>
        </w:rPr>
        <w:t xml:space="preserve"/>
      </w:r>
    </w:p>
    <w:p>
      <w:pPr>
        <w:pStyle w:val="Heading2"/>
        <w:spacing w:before="240" w:after="80"/>
      </w:pPr>
      <w:r>
        <w:rPr>
          <w:rFonts w:ascii="Arial" w:cs="Arial" w:eastAsia="Arial" w:hAnsi="Arial"/>
          <w:b/>
          <w:bCs/>
          <w:color w:val="2E75B6"/>
          <w:sz w:val="26"/>
          <w:szCs w:val="26"/>
        </w:rPr>
        <w:t xml:space="preserve">2.4  Fine-Tuning Strategy</w:t>
      </w:r>
    </w:p>
    <w:p>
      <w:pPr>
        <w:pStyle w:val="ListParagraph"/>
        <w:numPr>
          <w:ilvl w:val="0"/>
          <w:numId w:val="4"/>
        </w:numPr>
        <w:spacing w:before="60" w:after="40"/>
      </w:pPr>
      <w:r>
        <w:rPr>
          <w:rFonts w:ascii="Arial" w:cs="Arial" w:eastAsia="Arial" w:hAnsi="Arial"/>
          <w:sz w:val="22"/>
          <w:szCs w:val="22"/>
        </w:rPr>
        <w:t xml:space="preserve">Freeze contrastive encoder, retrain supervised head only (5 epochs). Baseline: does schema extension alone recover performance?</w:t>
      </w:r>
    </w:p>
    <w:p>
      <w:pPr>
        <w:pStyle w:val="ListParagraph"/>
        <w:numPr>
          <w:ilvl w:val="0"/>
          <w:numId w:val="4"/>
        </w:numPr>
        <w:spacing w:before="60" w:after="40"/>
      </w:pPr>
      <w:r>
        <w:rPr>
          <w:rFonts w:ascii="Arial" w:cs="Arial" w:eastAsia="Arial" w:hAnsi="Arial"/>
          <w:sz w:val="22"/>
          <w:szCs w:val="22"/>
        </w:rPr>
        <w:t xml:space="preserve">Unfreeze final GATConv layer, fine-tune for 10 epochs with reduced LR (1e-4). Target: ARI ≥ 0.60.</w:t>
      </w:r>
    </w:p>
    <w:p>
      <w:pPr>
        <w:pStyle w:val="ListParagraph"/>
        <w:numPr>
          <w:ilvl w:val="0"/>
          <w:numId w:val="4"/>
        </w:numPr>
        <w:spacing w:before="60" w:after="40"/>
      </w:pPr>
      <w:r>
        <w:rPr>
          <w:rFonts w:ascii="Arial" w:cs="Arial" w:eastAsia="Arial" w:hAnsi="Arial"/>
          <w:sz w:val="22"/>
          <w:szCs w:val="22"/>
        </w:rPr>
        <w:t xml:space="preserve">If still below 0.55: full re-run of contrastive pre-training on TON_IoT. This tests the transfer learning hypothesis from §VII.D.</w:t>
      </w:r>
    </w:p>
    <w:p>
      <w:r>
        <w:rPr>
          <w:sz w:val="40"/>
          <w:szCs w:val="40"/>
        </w:rPr>
        <w:t xml:space="preserve"/>
      </w:r>
    </w:p>
    <w:p>
      <w:r>
        <w:br w:type="page"/>
      </w:r>
    </w:p>
    <w:p>
      <w:pPr>
        <w:pStyle w:val="Heading1"/>
        <w:spacing w:before="360" w:after="120"/>
      </w:pPr>
      <w:r>
        <w:rPr>
          <w:rFonts w:ascii="Arial" w:cs="Arial" w:eastAsia="Arial" w:hAnsi="Arial"/>
          <w:b/>
          <w:bCs/>
          <w:color w:val="1F3864"/>
          <w:sz w:val="32"/>
          <w:szCs w:val="32"/>
        </w:rPr>
        <w:t xml:space="preserve">Phase 3 — Linux-APT Dataset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Borders>
              <w:top w:val="single" w:color="CCCCCC" w:sz="1"/>
              <w:left w:val="single" w:color="CCCCCC" w:sz="1"/>
              <w:bottom w:val="single" w:color="CCCCCC" w:sz="1"/>
              <w:right w:val="single" w:color="CCCCCC" w:sz="1"/>
            </w:tcBorders>
            <w:shd w:fill="C55A11"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Phase 3</w:t>
            </w:r>
          </w:p>
        </w:tc>
        <w:tc>
          <w:tcPr>
            <w:tcBorders>
              <w:top w:val="single" w:color="CCCCCC" w:sz="1"/>
              <w:left w:val="single" w:color="CCCCCC" w:sz="1"/>
              <w:bottom w:val="single" w:color="CCCCCC" w:sz="1"/>
              <w:right w:val="single" w:color="CCCCCC" w:sz="1"/>
            </w:tcBorders>
            <w:shd w:fill="F7FBFF" w:val="clear"/>
            <w:tcMar>
              <w:top w:type="dxa" w:w="100"/>
              <w:left w:type="dxa" w:w="180"/>
              <w:bottom w:type="dxa" w:w="100"/>
              <w:right w:type="dxa" w:w="120"/>
            </w:tcMar>
          </w:tcPr>
          <w:p>
            <w:r>
              <w:rPr>
                <w:rFonts w:ascii="Arial" w:cs="Arial" w:eastAsia="Arial" w:hAnsi="Arial"/>
                <w:b/>
                <w:bCs/>
                <w:color w:val="1F3864"/>
                <w:sz w:val="24"/>
                <w:szCs w:val="24"/>
              </w:rPr>
              <w:t xml:space="preserve">Native ATT&amp;CK Label Validation</w:t>
            </w:r>
          </w:p>
        </w:tc>
        <w:tc>
          <w:tcPr>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color w:val="555555"/>
                <w:sz w:val="20"/>
                <w:szCs w:val="20"/>
              </w:rPr>
              <w:t xml:space="preserve">Weeks 9–12</w:t>
            </w:r>
          </w:p>
        </w:tc>
      </w:tr>
    </w:tbl>
    <w:p>
      <w:r>
        <w:rPr>
          <w:sz w:val="20"/>
          <w:szCs w:val="20"/>
        </w:rPr>
        <w:t xml:space="preserve"/>
      </w:r>
    </w:p>
    <w:p>
      <w:pPr>
        <w:pStyle w:val="Heading2"/>
        <w:spacing w:before="240" w:after="80"/>
      </w:pPr>
      <w:r>
        <w:rPr>
          <w:rFonts w:ascii="Arial" w:cs="Arial" w:eastAsia="Arial" w:hAnsi="Arial"/>
          <w:b/>
          <w:bCs/>
          <w:color w:val="2E75B6"/>
          <w:sz w:val="26"/>
          <w:szCs w:val="26"/>
        </w:rPr>
        <w:t xml:space="preserve">3.1  Why Linux-APT 2024</w:t>
      </w:r>
    </w:p>
    <w:p>
      <w:pPr>
        <w:spacing w:before="60" w:after="60"/>
      </w:pPr>
      <w:r>
        <w:rPr>
          <w:rFonts w:ascii="Arial" w:cs="Arial" w:eastAsia="Arial" w:hAnsi="Arial"/>
          <w:sz w:val="22"/>
          <w:szCs w:val="22"/>
        </w:rPr>
        <w:t xml:space="preserve">Every other dataset in MITRE-CORE’s evaluation requires ATT&amp;CK tactic labels to be inferred from alert type names via a lookup table (§III.G). Linux-APT 2024 is the only publicly available dataset that ships with native MITRE Tactic IDs and Technique IDs per record — removing the inference step entirely and enabling direct validation of the ATT&amp;CK classification contribution.</w:t>
      </w:r>
    </w:p>
    <w:p>
      <w:r>
        <w:rPr>
          <w:sz w:val="20"/>
          <w:szCs w:val="20"/>
        </w:rPr>
        <w:t xml:space="preserve"/>
      </w:r>
    </w:p>
    <w:p>
      <w:pPr>
        <w:spacing w:before="60" w:after="60"/>
      </w:pPr>
      <w:r>
        <w:rPr>
          <w:rFonts w:ascii="Arial" w:cs="Arial" w:eastAsia="Arial" w:hAnsi="Arial"/>
          <w:sz w:val="22"/>
          <w:szCs w:val="22"/>
        </w:rPr>
        <w:t xml:space="preserve">The dataset covers real APT campaigns (Turla, APT41-style payloads) captured from October 2023 to January 2024 on Linux systems, with Wazuh HIDS logs containing command payloads, file hashes (MD5 + SHA256), and rule descriptions. This introduces the host log modality absent from UNSW-NB15 and CICIDS2017.</w:t>
      </w:r>
    </w:p>
    <w:p>
      <w:r>
        <w:rPr>
          <w:sz w:val="20"/>
          <w:szCs w:val="20"/>
        </w:rPr>
        <w:t xml:space="preserve"/>
      </w:r>
    </w:p>
    <w:p>
      <w:pPr>
        <w:pStyle w:val="Heading2"/>
        <w:spacing w:before="240" w:after="80"/>
      </w:pPr>
      <w:r>
        <w:rPr>
          <w:rFonts w:ascii="Arial" w:cs="Arial" w:eastAsia="Arial" w:hAnsi="Arial"/>
          <w:b/>
          <w:bCs/>
          <w:color w:val="2E75B6"/>
          <w:sz w:val="26"/>
          <w:szCs w:val="26"/>
        </w:rPr>
        <w:t xml:space="preserve">3.2  New Evaluation: ATT&amp;CK Tactic Classification</w:t>
      </w:r>
    </w:p>
    <w:p>
      <w:pPr>
        <w:spacing w:before="60" w:after="60"/>
      </w:pPr>
      <w:r>
        <w:rPr>
          <w:rFonts w:ascii="Arial" w:cs="Arial" w:eastAsia="Arial" w:hAnsi="Arial"/>
          <w:sz w:val="22"/>
          <w:szCs w:val="22"/>
        </w:rPr>
        <w:t xml:space="preserve">Current paper evaluation (§VII.A, Table IX) maps 7 predicted HGNN clusters to ATT&amp;CK categories post-hoc and claims coherence. Linux-APT 2024 enables a direct F1-score measurement against ground truth tactic labels: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ATT&amp;CK Tactic</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Linux-APT Records</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Current Paper Method</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 3 Method</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Initial Access</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Native label</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Inferred from alert type</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Direct ground truth F1</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Execution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Native label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Inferred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Direct ground truth F1</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Persistence</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Native label</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Inferred</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Direct ground truth F1</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Privilege Escalation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Native label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Inferred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Direct ground truth F1</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Lateral Movement</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Native label</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covered</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Direct ground truth F1</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Exfiltration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Native label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covered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Direct ground truth F1</w:t>
            </w:r>
          </w:p>
        </w:tc>
      </w:tr>
    </w:tbl>
    <w:p>
      <w:r>
        <w:rPr>
          <w:sz w:val="20"/>
          <w:szCs w:val="20"/>
        </w:rPr>
        <w:t xml:space="preserve"/>
      </w:r>
    </w:p>
    <w:p>
      <w:pPr>
        <w:pStyle w:val="Heading2"/>
        <w:spacing w:before="240" w:after="80"/>
      </w:pPr>
      <w:r>
        <w:rPr>
          <w:rFonts w:ascii="Arial" w:cs="Arial" w:eastAsia="Arial" w:hAnsi="Arial"/>
          <w:b/>
          <w:bCs/>
          <w:color w:val="2E75B6"/>
          <w:sz w:val="26"/>
          <w:szCs w:val="26"/>
        </w:rPr>
        <w:t xml:space="preserve">3.3  Schema Extensions for Host Logs</w:t>
      </w:r>
    </w:p>
    <w:p>
      <w:pPr>
        <w:pStyle w:val="ListParagraph"/>
        <w:numPr>
          <w:ilvl w:val="0"/>
          <w:numId w:val="2"/>
        </w:numPr>
        <w:spacing w:before="40" w:after="40"/>
      </w:pPr>
      <w:r>
        <w:rPr>
          <w:rFonts w:ascii="Arial" w:cs="Arial" w:eastAsia="Arial" w:hAnsi="Arial"/>
          <w:sz w:val="22"/>
          <w:szCs w:val="22"/>
        </w:rPr>
        <w:t xml:space="preserve">Add process node type (32-dim): command_hash, parent_pid, elevated_flag</w:t>
      </w:r>
    </w:p>
    <w:p>
      <w:pPr>
        <w:pStyle w:val="ListParagraph"/>
        <w:numPr>
          <w:ilvl w:val="0"/>
          <w:numId w:val="2"/>
        </w:numPr>
        <w:spacing w:before="40" w:after="40"/>
      </w:pPr>
      <w:r>
        <w:rPr>
          <w:rFonts w:ascii="Arial" w:cs="Arial" w:eastAsia="Arial" w:hAnsi="Arial"/>
          <w:sz w:val="22"/>
          <w:szCs w:val="22"/>
        </w:rPr>
        <w:t xml:space="preserve">Add file node type (16-dim): md5_hash, sha256_hash, path_depth</w:t>
      </w:r>
    </w:p>
    <w:p>
      <w:pPr>
        <w:pStyle w:val="ListParagraph"/>
        <w:numPr>
          <w:ilvl w:val="0"/>
          <w:numId w:val="2"/>
        </w:numPr>
        <w:spacing w:before="40" w:after="40"/>
      </w:pPr>
      <w:r>
        <w:rPr>
          <w:rFonts w:ascii="Arial" w:cs="Arial" w:eastAsia="Arial" w:hAnsi="Arial"/>
          <w:sz w:val="22"/>
          <w:szCs w:val="22"/>
        </w:rPr>
        <w:t xml:space="preserve">New edge types: (alert, triggers, process), (process, modifies, file)</w:t>
      </w:r>
    </w:p>
    <w:p>
      <w:pPr>
        <w:pStyle w:val="ListParagraph"/>
        <w:numPr>
          <w:ilvl w:val="0"/>
          <w:numId w:val="2"/>
        </w:numPr>
        <w:spacing w:before="40" w:after="40"/>
      </w:pPr>
      <w:r>
        <w:rPr>
          <w:rFonts w:ascii="Arial" w:cs="Arial" w:eastAsia="Arial" w:hAnsi="Arial"/>
          <w:sz w:val="22"/>
          <w:szCs w:val="22"/>
        </w:rPr>
        <w:t xml:space="preserve">Map Wazuh rule severity (1–15) to MITRE-CORE AttackSeverity (Low/Med/High/Critical)</w:t>
      </w:r>
    </w:p>
    <w:p>
      <w:r>
        <w:rPr>
          <w:sz w:val="20"/>
          <w:szCs w:val="20"/>
        </w:rPr>
        <w:t xml:space="preserve"/>
      </w:r>
    </w:p>
    <w:p>
      <w:pPr>
        <w:pStyle w:val="Heading2"/>
        <w:spacing w:before="240" w:after="80"/>
      </w:pPr>
      <w:r>
        <w:rPr>
          <w:rFonts w:ascii="Arial" w:cs="Arial" w:eastAsia="Arial" w:hAnsi="Arial"/>
          <w:b/>
          <w:bCs/>
          <w:color w:val="2E75B6"/>
          <w:sz w:val="26"/>
          <w:szCs w:val="26"/>
        </w:rPr>
        <w:t xml:space="preserve">3.4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Minimum</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If Below Minimum</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ATT&amp;CK tactic macro-F1</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0.70</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0.55</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Review tactic lookup table in §III.G</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Campaign ARI</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0.55</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0.40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Adjust mini-campaign window (10→20 alerts)</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Multi-stage chain recall</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0.60</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0.45</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Enable temporal graph edges (TGAT)</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False campaign split rate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0.15</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0.25</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Lower Union-Find threshold; check transitivity</w:t>
            </w:r>
          </w:p>
        </w:tc>
      </w:tr>
    </w:tbl>
    <w:p>
      <w:r>
        <w:rPr>
          <w:sz w:val="40"/>
          <w:szCs w:val="40"/>
        </w:rPr>
        <w:t xml:space="preserve"/>
      </w:r>
    </w:p>
    <w:p>
      <w:r>
        <w:br w:type="page"/>
      </w:r>
    </w:p>
    <w:p>
      <w:pPr>
        <w:pStyle w:val="Heading1"/>
        <w:spacing w:before="360" w:after="120"/>
      </w:pPr>
      <w:r>
        <w:rPr>
          <w:rFonts w:ascii="Arial" w:cs="Arial" w:eastAsia="Arial" w:hAnsi="Arial"/>
          <w:b/>
          <w:bCs/>
          <w:color w:val="1F3864"/>
          <w:sz w:val="32"/>
          <w:szCs w:val="32"/>
        </w:rPr>
        <w:t xml:space="preserve">Performance Assessment Framework</w:t>
      </w:r>
    </w:p>
    <w:p>
      <w:pPr>
        <w:spacing w:before="60" w:after="60"/>
      </w:pPr>
      <w:r>
        <w:rPr>
          <w:rFonts w:ascii="Arial" w:cs="Arial" w:eastAsia="Arial" w:hAnsi="Arial"/>
          <w:sz w:val="22"/>
          <w:szCs w:val="22"/>
        </w:rPr>
        <w:t xml:space="preserve">This section defines how to interpret results across all three phases and decide whether fine-tuning is needed, what kind, and at which layer.</w:t>
      </w:r>
    </w:p>
    <w:p>
      <w:r>
        <w:rPr>
          <w:sz w:val="20"/>
          <w:szCs w:val="20"/>
        </w:rPr>
        <w:t xml:space="preserve"/>
      </w:r>
    </w:p>
    <w:p>
      <w:pPr>
        <w:pStyle w:val="Heading2"/>
        <w:spacing w:before="240" w:after="80"/>
      </w:pPr>
      <w:r>
        <w:rPr>
          <w:rFonts w:ascii="Arial" w:cs="Arial" w:eastAsia="Arial" w:hAnsi="Arial"/>
          <w:b/>
          <w:bCs/>
          <w:color w:val="2E75B6"/>
          <w:sz w:val="26"/>
          <w:szCs w:val="26"/>
        </w:rPr>
        <w:t xml:space="preserve">Decision Tree: What to Do with the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Observed Result</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Diagnosis</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r>
      <w:tr>
        <w:tc>
          <w:tcPr>
            <w:gridSpan w:val="1"/>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ARI ≥ target on all phases</w:t>
            </w:r>
          </w:p>
        </w:tc>
        <w:tc>
          <w:tcPr>
            <w:gridSpan w:val="1"/>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generalises</w:t>
            </w:r>
          </w:p>
        </w:tc>
        <w:tc>
          <w:tcPr>
            <w:gridSpan w:val="1"/>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Paper is ready. Add results to Table III equivalent for each dataset. Claim confirmed cross-domain validity.</w:t>
            </w:r>
          </w:p>
        </w:tc>
      </w:tr>
      <w:tr>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ARI drops on CICIDS but recovers after fine-tune</w:t>
            </w:r>
          </w:p>
        </w:tc>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Encoder transfer works; head needs calibration</w:t>
            </w:r>
          </w:p>
        </w:tc>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Keep frozen-encoder fine-tune as the recommended deployment strategy. Add to §VII.D.</w:t>
            </w:r>
          </w:p>
        </w:tc>
      </w:tr>
      <w:tr>
        <w:tc>
          <w:tcPr>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ARI drops even after full fine-tune on CICIDS</w:t>
            </w:r>
          </w:p>
        </w:tc>
        <w:tc>
          <w:tcPr>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Contrastive pre-training is dataset-specific</w:t>
            </w:r>
          </w:p>
        </w:tc>
        <w:tc>
          <w:tcPr>
            <w:gridSpan w:val="1"/>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Run full contrastive re-training on CICIDS. Reframe transfer claim: 'architecture transfers; pre-training does not.'</w:t>
            </w:r>
          </w:p>
        </w:tc>
      </w:tr>
      <w:tr>
        <w:tc>
          <w:tcPr>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TON_IoT: ARI ≤ 0.30 even after schema extension</w:t>
            </w:r>
          </w:p>
        </w:tc>
        <w:tc>
          <w:tcPr>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Device-centric topology breaks shared-IP assumption</w:t>
            </w:r>
          </w:p>
        </w:tc>
        <w:tc>
          <w:tcPr>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Replace w_net with w_device edge weight. Retrain edge scoring function.</w:t>
            </w:r>
          </w:p>
        </w:tc>
      </w:tr>
      <w:tr>
        <w:tc>
          <w:tcPr>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Linux-APT: Tactic F1 ≤ 0.40</w:t>
            </w:r>
          </w:p>
        </w:tc>
        <w:tc>
          <w:tcPr>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Tactic lookup table incomplete</w:t>
            </w:r>
          </w:p>
        </w:tc>
        <w:tc>
          <w:tcPr>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Extend the 12-tactic map in §III.G to cover Lateral Movement and Exfiltration. Re-evaluate.</w:t>
            </w:r>
          </w:p>
        </w:tc>
      </w:tr>
    </w:tbl>
    <w:p>
      <w:r>
        <w:rPr>
          <w:sz w:val="20"/>
          <w:szCs w:val="20"/>
        </w:rPr>
        <w:t xml:space="preserve"/>
      </w:r>
    </w:p>
    <w:p>
      <w:pPr>
        <w:pStyle w:val="Heading2"/>
        <w:spacing w:before="240" w:after="80"/>
      </w:pPr>
      <w:r>
        <w:rPr>
          <w:rFonts w:ascii="Arial" w:cs="Arial" w:eastAsia="Arial" w:hAnsi="Arial"/>
          <w:b/>
          <w:bCs/>
          <w:color w:val="2E75B6"/>
          <w:sz w:val="26"/>
          <w:szCs w:val="26"/>
        </w:rPr>
        <w:t xml:space="preserve">Layer-by-Layer Fine-Tuning Guide</w:t>
      </w:r>
    </w:p>
    <w:p>
      <w:pPr>
        <w:spacing w:before="60" w:after="60"/>
      </w:pPr>
      <w:r>
        <w:rPr>
          <w:rFonts w:ascii="Arial" w:cs="Arial" w:eastAsia="Arial" w:hAnsi="Arial"/>
          <w:sz w:val="22"/>
          <w:szCs w:val="22"/>
        </w:rPr>
        <w:t xml:space="preserve">When performance falls below threshold, try fixes in this order to isolate the problem:</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160"/>
        <w:gridCol w:w="3200"/>
      </w:tblGrid>
      <w:tr>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Step</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to Tune</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How</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Impact</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Supervised head only</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Re-train MLP classifier, freeze encoder, 5–10 epochs, LR=5e-4</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Quick fix for distribution shift in labels. Low risk of catastrophic forgetting.</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Final GATConv layer</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Unfreeze last HeteroConv layer, LR=1e-4, 10 epochs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Adapts edge attention to new topology. Medium risk.</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GATConv layers</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Unfreeze full encoder, LR=5e-5, 20 epochs with warm-up</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 adaptation. May overwrite UNSW-NB15 patterns — keep separate checkpoint.</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Contrastive pre-training</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Re-run InfoNCE on new dataset graphs (20 epochs, same augmentation config)</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 representation reset. Only if Steps 1–3 all fail.</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Hyperparameters</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Re-run Optuna (15 trials) on new dataset. Check if hidden_dim=64 (Optuna original) outperforms 128.</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Sometimes smaller models generalise better to domain-shifted data.</w:t>
            </w:r>
          </w:p>
        </w:tc>
      </w:tr>
    </w:tbl>
    <w:p>
      <w:r>
        <w:rPr>
          <w:sz w:val="20"/>
          <w:szCs w:val="20"/>
        </w:rPr>
        <w:t xml:space="preserve"/>
      </w:r>
    </w:p>
    <w:p>
      <w:pPr>
        <w:pStyle w:val="Heading2"/>
        <w:spacing w:before="240" w:after="80"/>
      </w:pPr>
      <w:r>
        <w:rPr>
          <w:rFonts w:ascii="Arial" w:cs="Arial" w:eastAsia="Arial" w:hAnsi="Arial"/>
          <w:b/>
          <w:bCs/>
          <w:color w:val="2E75B6"/>
          <w:sz w:val="26"/>
          <w:szCs w:val="26"/>
        </w:rPr>
        <w:t xml:space="preserve">Union-Find Tuning Guide</w:t>
      </w:r>
    </w:p>
    <w:p>
      <w:pPr>
        <w:spacing w:before="60" w:after="60"/>
      </w:pPr>
      <w:r>
        <w:rPr>
          <w:rFonts w:ascii="Arial" w:cs="Arial" w:eastAsia="Arial" w:hAnsi="Arial"/>
          <w:sz w:val="22"/>
          <w:szCs w:val="22"/>
        </w:rPr>
        <w:t xml:space="preserve">If Union-Find ARI falls below target on any new dataset, the following targeted adjustments apply:</w:t>
      </w:r>
    </w:p>
    <w:p>
      <w:r>
        <w:rPr>
          <w:sz w:val="20"/>
          <w:szCs w:val="20"/>
        </w:rPr>
        <w:t xml:space="preserve"/>
      </w:r>
    </w:p>
    <w:p>
      <w:pPr>
        <w:pStyle w:val="ListParagraph"/>
        <w:numPr>
          <w:ilvl w:val="0"/>
          <w:numId w:val="2"/>
        </w:numPr>
        <w:spacing w:before="40" w:after="40"/>
      </w:pPr>
      <w:r>
        <w:rPr>
          <w:rFonts w:ascii="Arial" w:cs="Arial" w:eastAsia="Arial" w:hAnsi="Arial"/>
          <w:sz w:val="22"/>
          <w:szCs w:val="22"/>
        </w:rPr>
        <w:t xml:space="preserve">Temporal over-correlation recurs: Confirm w_temp = 0.0 is set. If yes, the issue is that the adaptive threshold is too low — manually set threshold_override = 0.7 as a baseline.</w:t>
      </w:r>
    </w:p>
    <w:p>
      <w:pPr>
        <w:pStyle w:val="ListParagraph"/>
        <w:numPr>
          <w:ilvl w:val="0"/>
          <w:numId w:val="2"/>
        </w:numPr>
        <w:spacing w:before="40" w:after="40"/>
      </w:pPr>
      <w:r>
        <w:rPr>
          <w:rFonts w:ascii="Arial" w:cs="Arial" w:eastAsia="Arial" w:hAnsi="Arial"/>
          <w:sz w:val="22"/>
          <w:szCs w:val="22"/>
        </w:rPr>
        <w:t xml:space="preserve">Under-merging (too many micro-clusters): Reduce threshold by 0.05; check IP subnet overlap rate in the new dataset to calibrate w_net vs w_host ratio.</w:t>
      </w:r>
    </w:p>
    <w:p>
      <w:pPr>
        <w:pStyle w:val="ListParagraph"/>
        <w:numPr>
          <w:ilvl w:val="0"/>
          <w:numId w:val="2"/>
        </w:numPr>
        <w:spacing w:before="40" w:after="40"/>
      </w:pPr>
      <w:r>
        <w:rPr>
          <w:rFonts w:ascii="Arial" w:cs="Arial" w:eastAsia="Arial" w:hAnsi="Arial"/>
          <w:sz w:val="22"/>
          <w:szCs w:val="22"/>
        </w:rPr>
        <w:t xml:space="preserve">O(n²) timeout on large IIoT dataset: Implement IP-subnet blocking first (filter pairs where /24 subnets don’t match). This reduces effective pairs by ~80% on device-centric topologies.</w:t>
      </w:r>
    </w:p>
    <w:p>
      <w:pPr>
        <w:pStyle w:val="ListParagraph"/>
        <w:numPr>
          <w:ilvl w:val="0"/>
          <w:numId w:val="2"/>
        </w:numPr>
        <w:spacing w:before="40" w:after="40"/>
      </w:pPr>
      <w:r>
        <w:rPr>
          <w:rFonts w:ascii="Arial" w:cs="Arial" w:eastAsia="Arial" w:hAnsi="Arial"/>
          <w:sz w:val="22"/>
          <w:szCs w:val="22"/>
        </w:rPr>
        <w:t xml:space="preserve">False campaign splits on multi-stage APT chains: Consider lowering threshold to 0.5 only when temporal edges are disabled, since IP reuse across attack stages is the primary signal.</w:t>
      </w:r>
    </w:p>
    <w:p>
      <w:r>
        <w:rPr>
          <w:sz w:val="40"/>
          <w:szCs w:val="40"/>
        </w:rPr>
        <w:t xml:space="preserve"/>
      </w:r>
    </w:p>
    <w:p>
      <w:r>
        <w:br w:type="page"/>
      </w:r>
    </w:p>
    <w:p>
      <w:pPr>
        <w:pStyle w:val="Heading1"/>
        <w:spacing w:before="360" w:after="120"/>
      </w:pPr>
      <w:r>
        <w:rPr>
          <w:rFonts w:ascii="Arial" w:cs="Arial" w:eastAsia="Arial" w:hAnsi="Arial"/>
          <w:b/>
          <w:bCs/>
          <w:color w:val="1F3864"/>
          <w:sz w:val="32"/>
          <w:szCs w:val="32"/>
        </w:rPr>
        <w:t xml:space="preserve">Paper Integration Plan</w:t>
      </w:r>
    </w:p>
    <w:p>
      <w:pPr>
        <w:spacing w:before="60" w:after="60"/>
      </w:pPr>
      <w:r>
        <w:rPr>
          <w:rFonts w:ascii="Arial" w:cs="Arial" w:eastAsia="Arial" w:hAnsi="Arial"/>
          <w:sz w:val="22"/>
          <w:szCs w:val="22"/>
        </w:rPr>
        <w:t xml:space="preserve">Each phase produces specific additions to the IEEE T-IFS paper. This section maps phase outputs to paper sections.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00"/>
        <w:gridCol w:w="2960"/>
      </w:tblGrid>
      <w:tr>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New Result</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Goes Into</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Replaces / Supplements</w:t>
            </w:r>
          </w:p>
        </w:tc>
      </w:tr>
      <w:tr>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CICIDS2017 all-methods table</w:t>
            </w:r>
          </w:p>
        </w:tc>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New Table III-B or §VI.A extension</w:t>
            </w:r>
          </w:p>
        </w:tc>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Supplements existing Table III</w:t>
            </w:r>
          </w:p>
        </w:tc>
      </w:tr>
      <w:tr>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Cross-dataset zero-shot ARI</w:t>
            </w:r>
          </w:p>
        </w:tc>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§VII.D (Contrastive Learning)</w:t>
            </w:r>
          </w:p>
        </w:tc>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Strengthens transfer learning claim</w:t>
            </w:r>
          </w:p>
        </w:tc>
      </w:tr>
      <w:tr>
        <w:tc>
          <w:tcPr>
            <w:gridSpan w:val="1"/>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gridSpan w:val="1"/>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TON_IoT schema extension</w:t>
            </w:r>
          </w:p>
        </w:tc>
        <w:tc>
          <w:tcPr>
            <w:gridSpan w:val="1"/>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§IV.A (HGNN Architecture)</w:t>
            </w:r>
          </w:p>
        </w:tc>
        <w:tc>
          <w:tcPr>
            <w:gridSpan w:val="1"/>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Adds device/gateway node types</w:t>
            </w:r>
          </w:p>
        </w:tc>
      </w:tr>
      <w:tr>
        <w:tc>
          <w:tcPr>
            <w:gridSpan w:val="1"/>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gridSpan w:val="1"/>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Real IIoT ARI vs UNSW-NB15</w:t>
            </w:r>
          </w:p>
        </w:tc>
        <w:tc>
          <w:tcPr>
            <w:gridSpan w:val="1"/>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Table XI (replaces synthetic rows)</w:t>
            </w:r>
          </w:p>
        </w:tc>
        <w:tc>
          <w:tcPr>
            <w:gridSpan w:val="1"/>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Fixes Fig. 8 correctness issue</w:t>
            </w:r>
          </w:p>
        </w:tc>
      </w:tr>
      <w:tr>
        <w:tc>
          <w:tcPr>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ATT&amp;CK tactic macro-F1</w:t>
            </w:r>
          </w:p>
        </w:tc>
        <w:tc>
          <w:tcPr>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New Table in §VI or §VII.A</w:t>
            </w:r>
          </w:p>
        </w:tc>
        <w:tc>
          <w:tcPr>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First direct ATT&amp;CK validation in paper</w:t>
            </w:r>
          </w:p>
        </w:tc>
      </w:tr>
      <w:tr>
        <w:tc>
          <w:tcPr>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Multi-stage campaign chain recall</w:t>
            </w:r>
          </w:p>
        </w:tc>
        <w:tc>
          <w:tcPr>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§VII.B (Temporal Over-Correlation)</w:t>
            </w:r>
          </w:p>
        </w:tc>
        <w:tc>
          <w:tcPr>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Extends temporal analysis to real APT data</w:t>
            </w:r>
          </w:p>
        </w:tc>
      </w:tr>
    </w:tbl>
    <w:p>
      <w:r>
        <w:rPr>
          <w:sz w:val="20"/>
          <w:szCs w:val="20"/>
        </w:rPr>
        <w:t xml:space="preserve"/>
      </w:r>
    </w:p>
    <w:p>
      <w:pPr>
        <w:pStyle w:val="Heading2"/>
        <w:spacing w:before="240" w:after="80"/>
      </w:pPr>
      <w:r>
        <w:rPr>
          <w:rFonts w:ascii="Arial" w:cs="Arial" w:eastAsia="Arial" w:hAnsi="Arial"/>
          <w:b/>
          <w:bCs/>
          <w:color w:val="2E75B6"/>
          <w:sz w:val="26"/>
          <w:szCs w:val="26"/>
        </w:rPr>
        <w:t xml:space="preserve">Abstract Update (After All Phases)</w:t>
      </w:r>
    </w:p>
    <w:p>
      <w:pPr>
        <w:spacing w:before="60" w:after="60"/>
      </w:pPr>
      <w:r>
        <w:rPr>
          <w:rFonts w:ascii="Arial" w:cs="Arial" w:eastAsia="Arial" w:hAnsi="Arial"/>
          <w:sz w:val="22"/>
          <w:szCs w:val="22"/>
        </w:rPr>
        <w:t xml:space="preserve">Replace the current abstract contribution (3):</w:t>
      </w:r>
    </w:p>
    <w:p>
      <w:r>
        <w:rPr>
          <w:sz w:val="20"/>
          <w:szCs w:val="20"/>
        </w:rPr>
        <w:t xml:space="preserve"/>
      </w:r>
    </w:p>
    <w:p>
      <w:pPr>
        <w:spacing w:before="60" w:after="60"/>
        <w:ind w:left="720"/>
      </w:pPr>
      <w:r>
        <w:rPr>
          <w:rFonts w:ascii="Arial" w:cs="Arial" w:eastAsia="Arial" w:hAnsi="Arial"/>
          <w:color w:val="C00000"/>
          <w:sz w:val="22"/>
          <w:szCs w:val="22"/>
        </w:rPr>
        <w:t xml:space="preserve">BEFORE: “a contrastive self-supervised pre-training pipeline that improves downstream accuracy by 24.0 percentage points without labeled data”</w:t>
      </w:r>
    </w:p>
    <w:p>
      <w:pPr>
        <w:spacing w:before="60" w:after="60"/>
        <w:ind w:left="720"/>
      </w:pPr>
      <w:r>
        <w:rPr>
          <w:rFonts w:ascii="Arial" w:cs="Arial" w:eastAsia="Arial" w:hAnsi="Arial"/>
          <w:color w:val="1E6B3C"/>
          <w:sz w:val="22"/>
          <w:szCs w:val="22"/>
        </w:rPr>
        <w:t xml:space="preserve">AFTER: “a contrastive self-supervised pre-training pipeline that improves downstream accuracy by 24.0 percentage points without labeled data and transfers across three heterogeneous benchmarks (UNSW-NB15, CICIDS2017, TON_IoT) with fine-tuning recovering ARI ≥ 0.60 in each domain”</w:t>
      </w:r>
    </w:p>
    <w:p>
      <w:r>
        <w:rPr>
          <w:sz w:val="40"/>
          <w:szCs w:val="40"/>
        </w:rPr>
        <w:t xml:space="preserve"/>
      </w:r>
    </w:p>
    <w:p>
      <w:r>
        <w:br w:type="page"/>
      </w:r>
    </w:p>
    <w:p>
      <w:pPr>
        <w:pStyle w:val="Heading1"/>
        <w:spacing w:before="360" w:after="120"/>
      </w:pPr>
      <w:r>
        <w:rPr>
          <w:rFonts w:ascii="Arial" w:cs="Arial" w:eastAsia="Arial" w:hAnsi="Arial"/>
          <w:b/>
          <w:bCs/>
          <w:color w:val="1F3864"/>
          <w:sz w:val="32"/>
          <w:szCs w:val="32"/>
        </w:rPr>
        <w:t xml:space="preserve">Execution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560"/>
        <w:gridCol w:w="2400"/>
      </w:tblGrid>
      <w:tr>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Week</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Acceptance Gate</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Download CICIDS2017; implement schema mapper; run preprocessing pipeline</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cicids_mapper.py + preprocessed parquet files</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Schema maps without errors on 5-day capture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Run all-methods comparison Exp 1A; generate Table III-B</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experiment_cicids_exp1a.json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HGNN ARI ≥ 0.55 (sanity check)</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Zero-shot and fine-tuned evaluations (Exp 1B, 1C); run ablation on temporal features</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experiment_cicids_exp1bc.json + ablation table</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Fine-tuned ARI ≥ 0.60</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Analyse CICIDS results; update §VI.A and §VII.D in paper draft; fix Fig. 8 baseline</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Updated paper sections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CICIDS targets met or documented</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Download TON_IoT; add device/gateway node types to MITREHeteroGNN; schema extension</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Updated hgnn_correlation.py (+~60 lines)</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regression on UNSW-NB15 after extension</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6–7</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Run TON_IoT experiments; fine-tuning steps 1–3; generate updated Table XI</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experiment_toniot.json + updated Table XI</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ARI ≥ 0.55 after fine-tune</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Update paper: Table XI, Fig. 8 regenerated with real data, §IV.A schema extension section</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Paper sections IV.A, VI.G, Fig. 8 updated</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Fig. 8 now shows meaningful contrast</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9–10</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Download Linux-APT 2024; implement process/file node types; extend ATT&amp;CK tactic map</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linux_apt_mapper.py; extended tactic_map.json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Tactic map covers all 14 ATT&amp;CK tactics</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Run Phase 3 experiments; compute tactic macro-F1; multi-stage chain recall</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experiment_linuxapt.json + new ATT&amp;CK table</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Tactic macro-F1 ≥ 0.60 (minimum)</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Integrate all results into paper; run final consistency check; prepare camera-ready v2</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IEEE_Research_Paper_MITRE_CORE_v2.md</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3 dataset targets met or documented with fine-tuning explanation</w:t>
            </w:r>
          </w:p>
        </w:tc>
      </w:tr>
    </w:tbl>
    <w:p>
      <w:r>
        <w:rPr>
          <w:sz w:val="40"/>
          <w:szCs w:val="40"/>
        </w:rPr>
        <w:t xml:space="preserve"/>
      </w:r>
    </w:p>
    <w:p>
      <w:pPr>
        <w:pStyle w:val="Heading1"/>
        <w:spacing w:before="360" w:after="120"/>
      </w:pPr>
      <w:r>
        <w:rPr>
          <w:rFonts w:ascii="Arial" w:cs="Arial" w:eastAsia="Arial" w:hAnsi="Arial"/>
          <w:b/>
          <w:bCs/>
          <w:color w:val="1F3864"/>
          <w:sz w:val="32"/>
          <w:szCs w:val="32"/>
        </w:rPr>
        <w:t xml:space="preserve">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400"/>
        <w:gridCol w:w="2560"/>
      </w:tblGrid>
      <w:tr>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Likelihood</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CICIDS2017 known label noise (benign mislabelled as attack)</w:t>
            </w:r>
          </w:p>
        </w:tc>
        <w:tc>
          <w:tcPr>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w:t>
            </w:r>
          </w:p>
        </w:tc>
        <w:tc>
          <w:tcPr>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ARI artificially deflated</w:t>
            </w:r>
          </w:p>
        </w:tc>
        <w:tc>
          <w:tcPr>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 CIC-IDS2018 as backup; document noise issue in paper</w:t>
            </w:r>
          </w:p>
        </w:tc>
      </w:tr>
      <w:tr>
        <w:tc>
          <w:tcPr>
            <w:gridSpan w:val="1"/>
            <w:tcBorders>
              <w:top w:val="single" w:color="CCCCCC" w:sz="1"/>
              <w:left w:val="single" w:color="CCCCCC" w:sz="1"/>
              <w:bottom w:val="single" w:color="CCCCCC" w:sz="1"/>
              <w:right w:val="single" w:color="CCCCCC" w:sz="1"/>
            </w:tcBorders>
            <w:shd w:fill="FFFACD"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TON_IoT IP reuse breaks shared-IP Union-Find assumption</w:t>
            </w:r>
          </w:p>
        </w:tc>
        <w:tc>
          <w:tcPr>
            <w:gridSpan w:val="1"/>
            <w:tcBorders>
              <w:top w:val="single" w:color="CCCCCC" w:sz="1"/>
              <w:left w:val="single" w:color="CCCCCC" w:sz="1"/>
              <w:bottom w:val="single" w:color="CCCCCC" w:sz="1"/>
              <w:right w:val="single" w:color="CCCCCC" w:sz="1"/>
            </w:tcBorders>
            <w:shd w:fill="FFFACD"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c>
          <w:tcPr>
            <w:gridSpan w:val="1"/>
            <w:tcBorders>
              <w:top w:val="single" w:color="CCCCCC" w:sz="1"/>
              <w:left w:val="single" w:color="CCCCCC" w:sz="1"/>
              <w:bottom w:val="single" w:color="CCCCCC" w:sz="1"/>
              <w:right w:val="single" w:color="CCCCCC" w:sz="1"/>
            </w:tcBorders>
            <w:shd w:fill="FFFACD"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UF ARI near zero</w:t>
            </w:r>
          </w:p>
        </w:tc>
        <w:tc>
          <w:tcPr>
            <w:gridSpan w:val="1"/>
            <w:tcBorders>
              <w:top w:val="single" w:color="CCCCCC" w:sz="1"/>
              <w:left w:val="single" w:color="CCCCCC" w:sz="1"/>
              <w:bottom w:val="single" w:color="CCCCCC" w:sz="1"/>
              <w:right w:val="single" w:color="CCCCCC" w:sz="1"/>
            </w:tcBorders>
            <w:shd w:fill="FFFACD"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Switch to MAC address as primary correlation field; add w_mac weight</w:t>
            </w:r>
          </w:p>
        </w:tc>
      </w:tr>
      <w:tr>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Linux-APT 2024 too small (10K records) for HGNN training</w:t>
            </w:r>
          </w:p>
        </w:tc>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Underfitting; low accuracy</w:t>
            </w:r>
          </w:p>
        </w:tc>
        <w:tc>
          <w:tcPr>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 it for evaluation only; train on CICIDS2017+UNSW-NB15 combined</w:t>
            </w:r>
          </w:p>
        </w:tc>
      </w:tr>
      <w:tr>
        <w:tc>
          <w:tcPr>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Zero-shot transfer ARI &lt; 0.25 on all new datasets</w:t>
            </w:r>
          </w:p>
        </w:tc>
        <w:tc>
          <w:tcPr>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w:t>
            </w:r>
          </w:p>
        </w:tc>
        <w:tc>
          <w:tcPr>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Weakens transfer learning claim</w:t>
            </w:r>
          </w:p>
        </w:tc>
        <w:tc>
          <w:tcPr>
            <w:gridSpan w:val="1"/>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Reframe: prove architecture generalises; show fine-tuning efficiency (epochs to target)</w:t>
            </w:r>
          </w:p>
        </w:tc>
      </w:tr>
      <w:tr>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O(n²) timeout on TON_IoT n=1000</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Phase 2 UF evaluation blocked</w:t>
            </w:r>
          </w:p>
        </w:tc>
        <w:tc>
          <w:tcPr>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Implement IP-subnet filter before Phase 2 starts (Week 5, Day 1)</w:t>
            </w:r>
          </w:p>
        </w:tc>
      </w:tr>
    </w:tbl>
    <w:p>
      <w:r>
        <w:rPr>
          <w:sz w:val="40"/>
          <w:szCs w:val="40"/>
        </w:rPr>
        <w:t xml:space="preserve"/>
      </w:r>
    </w:p>
    <w:p>
      <w:pPr>
        <w:pStyle w:val="Heading1"/>
        <w:spacing w:before="360" w:after="120"/>
      </w:pPr>
      <w:r>
        <w:rPr>
          <w:rFonts w:ascii="Arial" w:cs="Arial" w:eastAsia="Arial" w:hAnsi="Arial"/>
          <w:b/>
          <w:bCs/>
          <w:color w:val="1F3864"/>
          <w:sz w:val="32"/>
          <w:szCs w:val="32"/>
        </w:rPr>
        <w:t xml:space="preserve">Quick Wins (Before Starting Phase 1)</w:t>
      </w:r>
    </w:p>
    <w:p>
      <w:pPr>
        <w:spacing w:before="60" w:after="60"/>
      </w:pPr>
      <w:r>
        <w:rPr>
          <w:rFonts w:ascii="Arial" w:cs="Arial" w:eastAsia="Arial" w:hAnsi="Arial"/>
          <w:sz w:val="22"/>
          <w:szCs w:val="22"/>
        </w:rPr>
        <w:t xml:space="preserve">These can be done immediately against the current codebase, before any new dataset work:</w:t>
      </w:r>
    </w:p>
    <w:p>
      <w:r>
        <w:rPr>
          <w:sz w:val="20"/>
          <w:szCs w:val="20"/>
        </w:rPr>
        <w:t xml:space="preserve"/>
      </w:r>
    </w:p>
    <w:p>
      <w:pPr>
        <w:pStyle w:val="ListParagraph"/>
        <w:numPr>
          <w:ilvl w:val="0"/>
          <w:numId w:val="2"/>
        </w:numPr>
        <w:spacing w:before="40" w:after="40"/>
      </w:pPr>
      <w:r>
        <w:rPr>
          <w:rFonts w:ascii="Arial" w:cs="Arial" w:eastAsia="Arial" w:hAnsi="Arial"/>
          <w:sz w:val="22"/>
          <w:szCs w:val="22"/>
        </w:rPr>
        <w:t xml:space="preserve">Fix Fig. 8: Regenerate the cross-dataset comparison chart using UF no-temporal result (ARI=0.2977) for the UNSW-NB15 bar. This is a one-line data fix in the plotting script.</w:t>
      </w:r>
    </w:p>
    <w:p>
      <w:pPr>
        <w:pStyle w:val="ListParagraph"/>
        <w:numPr>
          <w:ilvl w:val="0"/>
          <w:numId w:val="2"/>
        </w:numPr>
        <w:spacing w:before="40" w:after="40"/>
      </w:pPr>
      <w:r>
        <w:rPr>
          <w:rFonts w:ascii="Arial" w:cs="Arial" w:eastAsia="Arial" w:hAnsi="Arial"/>
          <w:sz w:val="22"/>
          <w:szCs w:val="22"/>
        </w:rPr>
        <w:t xml:space="preserve">Remove ‘directly addresses Reviewer Concern [R2]’ from §VI.F. This is internal review-response language that must not appear in the published manuscript.</w:t>
      </w:r>
    </w:p>
    <w:p>
      <w:pPr>
        <w:pStyle w:val="ListParagraph"/>
        <w:numPr>
          <w:ilvl w:val="0"/>
          <w:numId w:val="2"/>
        </w:numPr>
        <w:spacing w:before="40" w:after="40"/>
      </w:pPr>
      <w:r>
        <w:rPr>
          <w:rFonts w:ascii="Arial" w:cs="Arial" w:eastAsia="Arial" w:hAnsi="Arial"/>
          <w:sz w:val="22"/>
          <w:szCs w:val="22"/>
        </w:rPr>
        <w:t xml:space="preserve">Add IP-subnet blocking to correlation_indexer.py as an optional pre-filter. This is needed for Phase 2 anyway and immediately reduces UF runtime for large samples.</w:t>
      </w:r>
    </w:p>
    <w:p>
      <w:pPr>
        <w:pStyle w:val="ListParagraph"/>
        <w:numPr>
          <w:ilvl w:val="0"/>
          <w:numId w:val="2"/>
        </w:numPr>
        <w:spacing w:before="40" w:after="40"/>
      </w:pPr>
      <w:r>
        <w:rPr>
          <w:rFonts w:ascii="Arial" w:cs="Arial" w:eastAsia="Arial" w:hAnsi="Arial"/>
          <w:sz w:val="22"/>
          <w:szCs w:val="22"/>
        </w:rPr>
        <w:t xml:space="preserve">Extend tactic_map in §III.G from 12 to 14 tactics (add Lateral Movement and Exfiltration). These are needed for Phase 3 and are simple lookup table additions.</w:t>
      </w:r>
    </w:p>
    <w:p>
      <w:r>
        <w:rPr>
          <w:sz w:val="40"/>
          <w:szCs w:val="40"/>
        </w:rPr>
        <w:t xml:space="preserve"/>
      </w:r>
    </w:p>
    <w:p>
      <w:pPr>
        <w:pBdr>
          <w:bottom w:val="single" w:color="2E75B6" w:sz="4" w:space="1"/>
        </w:pBdr>
        <w:spacing w:before="120" w:after="120"/>
      </w:pPr>
      <w:r>
        <w:t xml:space="preserve"/>
      </w:r>
    </w:p>
    <w:p>
      <w:pPr>
        <w:jc w:val="center"/>
      </w:pPr>
      <w:r>
        <w:rPr>
          <w:rFonts w:ascii="Arial" w:cs="Arial" w:eastAsia="Arial" w:hAnsi="Arial"/>
          <w:color w:val="999999"/>
          <w:sz w:val="18"/>
          <w:szCs w:val="18"/>
        </w:rPr>
        <w:t xml:space="preserve">MITRE-CORE Upgrade Plan  •  Confidential Working Document  •  February 2026</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32"/>
      <w:szCs w:val="32"/>
    </w:rPr>
  </w:style>
  <w:style w:type="paragraph" w:styleId="Heading2">
    <w:name w:val="Heading 2"/>
    <w:basedOn w:val="Normal"/>
    <w:next w:val="Normal"/>
    <w:qFormat/>
    <w:pPr>
      <w:spacing w:before="240" w:after="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2026-02-26T23:44:35.211Z</dcterms:created>
  <dcterms:modified xsi:type="dcterms:W3CDTF">2026-02-26T23:44:35.212Z</dcterms:modified>
</cp:coreProperties>
</file>

<file path=docProps/custom.xml><?xml version="1.0" encoding="utf-8"?>
<Properties xmlns="http://schemas.openxmlformats.org/officeDocument/2006/custom-properties" xmlns:vt="http://schemas.openxmlformats.org/officeDocument/2006/docPropsVTypes"/>
</file>