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ServiceTrack</w:t>
      </w:r>
    </w:p>
    <w:p>
      <w:pPr>
        <w:spacing w:after="80" w:before="120"/>
        <w:jc w:val="center"/>
      </w:pPr>
      <w:r>
        <w:rPr>
          <w:color w:val="2E75B6"/>
          <w:sz w:val="32"/>
          <w:szCs w:val="32"/>
        </w:rPr>
        <w:t xml:space="preserve">Job Tracking &amp; Customer Visit Analytics Pipeline</w:t>
      </w:r>
    </w:p>
    <w:p>
      <w:pPr>
        <w:spacing w:after="40" w:before="40"/>
        <w:jc w:val="center"/>
      </w:pPr>
      <w:r>
        <w:rPr>
          <w:i/>
          <w:iCs/>
          <w:color w:val="404040"/>
          <w:sz w:val="24"/>
          <w:szCs w:val="24"/>
        </w:rPr>
        <w:t xml:space="preserve">Project Report &amp; Technical Overview</w:t>
      </w:r>
    </w:p>
    <w:p>
      <w:pPr>
        <w:spacing w:before="400"/>
        <w:jc w:val="center"/>
      </w:pPr>
      <w:r>
        <w:rPr>
          <w:color w:val="404040"/>
          <w:sz w:val="20"/>
          <w:szCs w:val="20"/>
        </w:rPr>
        <w:t xml:space="preserve">Domain: Field Service Operations Analytics</w:t>
      </w:r>
    </w:p>
    <w:p>
      <w:pPr>
        <w:jc w:val="center"/>
      </w:pPr>
      <w:r>
        <w:rPr>
          <w:color w:val="404040"/>
          <w:sz w:val="20"/>
          <w:szCs w:val="20"/>
        </w:rPr>
        <w:t xml:space="preserve">Type: Batch Data Engineering Pipeline (Bronze–Silver–Gold)</w:t>
      </w:r>
    </w:p>
    <w:p>
      <w:pPr>
        <w:spacing w:before="40"/>
        <w:jc w:val="center"/>
      </w:pPr>
      <w:r>
        <w:rPr>
          <w:color w:val="404040"/>
          <w:sz w:val="20"/>
          <w:szCs w:val="20"/>
        </w:rPr>
        <w:t xml:space="preserve">Stack: Python · PySpark · Databricks · Delta Lake · SQL</w:t>
      </w:r>
    </w:p>
    <w:p>
      <w:pPr>
        <w:spacing w:before="800"/>
        <w:jc w:val="center"/>
      </w:pPr>
      <w:r>
        <w:rPr>
          <w:b/>
          <w:bCs/>
          <w:sz w:val="22"/>
          <w:szCs w:val="22"/>
        </w:rPr>
        <w:t xml:space="preserve">Celebal Technologies — Data Engineering Programme</w:t>
      </w:r>
    </w:p>
    <w:p>
      <w:pPr>
        <w:jc w:val="center"/>
      </w:pPr>
      <w:r>
        <w:rPr>
          <w:sz w:val="20"/>
          <w:szCs w:val="20"/>
        </w:rPr>
        <w:t xml:space="preserve">Prepared by: Rahul</w:t>
      </w:r>
    </w:p>
    <w:p>
      <w:pPr>
        <w:jc w:val="center"/>
      </w:pPr>
      <w:r>
        <w:rPr>
          <w:i/>
          <w:iCs/>
          <w:color w:val="808080"/>
          <w:sz w:val="18"/>
          <w:szCs w:val="18"/>
        </w:rPr>
        <w:t xml:space="preserve">Submitted for internal evaluation</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60"/>
        <w:jc w:val="both"/>
      </w:pPr>
      <w:r>
        <w:rPr>
          <w:sz w:val="22"/>
          <w:szCs w:val="22"/>
        </w:rPr>
        <w:t xml:space="preserve">ServiceTrack is a batch data engineering pipeline that transforms raw service center job records into structured, analysis-ready datasets using a Medallion Architecture (Bronze, Silver, Gold), built on Databricks, Apache Spark (PySpark), Delta Lake, Python, and SQL. The pipeline ingests raw CSV exports, cleans and enriches them, and produces business metrics covering repair turnaround time, technician performance, repeat customer behaviour, and device failure trends.</w:t>
      </w:r>
    </w:p>
    <w:p>
      <w:pPr>
        <w:spacing w:after="160"/>
        <w:jc w:val="both"/>
      </w:pPr>
      <w:r>
        <w:rPr>
          <w:sz w:val="22"/>
          <w:szCs w:val="22"/>
        </w:rPr>
        <w:t xml:space="preserve">The pipeline was built and validated end-to-end against the actual provided dataset — 300 customers, 43 devices, and 1,510 service job records spanning a 90-day window (January–March 2024) — including the dataset's intentional data quality issues: 10 duplicate job records and approximately 75 blank technician-name values, both of which the pipeline detects and resolves automatically.</w:t>
      </w:r>
    </w:p>
    <w:p>
      <w:pPr>
        <w:pStyle w:val="Heading1"/>
        <w:spacing w:after="160" w:before="320"/>
      </w:pPr>
      <w:r>
        <w:t xml:space="preserve">2. Problem Statement</w:t>
      </w:r>
    </w:p>
    <w:p>
      <w:pPr>
        <w:spacing w:after="160"/>
        <w:jc w:val="both"/>
      </w:pPr>
      <w:r>
        <w:rPr>
          <w:sz w:val="22"/>
          <w:szCs w:val="22"/>
        </w:rPr>
        <w:t xml:space="preserve">Service centers collect job and customer data every day as a mandatory operational requirement, but lack the structured analytics infrastructure to convert that data into actionable insight. In concrete terms, a typical service center manager cannot currently answer:</w:t>
      </w:r>
    </w:p>
    <w:p>
      <w:pPr>
        <w:pStyle w:val="ListParagraph"/>
        <w:numPr>
          <w:ilvl w:val="0"/>
          <w:numId w:val="2"/>
        </w:numPr>
        <w:spacing w:after="80"/>
      </w:pPr>
      <w:r>
        <w:rPr>
          <w:sz w:val="22"/>
          <w:szCs w:val="22"/>
        </w:rPr>
        <w:t xml:space="preserve">Which technician closes jobs the fastest — and which consistently runs over the promised delivery date?</w:t>
      </w:r>
    </w:p>
    <w:p>
      <w:pPr>
        <w:pStyle w:val="ListParagraph"/>
        <w:numPr>
          <w:ilvl w:val="0"/>
          <w:numId w:val="2"/>
        </w:numPr>
        <w:spacing w:after="80"/>
      </w:pPr>
      <w:r>
        <w:rPr>
          <w:sz w:val="22"/>
          <w:szCs w:val="22"/>
        </w:rPr>
        <w:t xml:space="preserve">How many of this month's customers are returning for the same recurring issue?</w:t>
      </w:r>
    </w:p>
    <w:p>
      <w:pPr>
        <w:pStyle w:val="ListParagraph"/>
        <w:numPr>
          <w:ilvl w:val="0"/>
          <w:numId w:val="2"/>
        </w:numPr>
        <w:spacing w:after="80"/>
      </w:pPr>
      <w:r>
        <w:rPr>
          <w:sz w:val="22"/>
          <w:szCs w:val="22"/>
        </w:rPr>
        <w:t xml:space="preserve">What percentage of jobs are delayed, and by how many days on average?</w:t>
      </w:r>
    </w:p>
    <w:p>
      <w:pPr>
        <w:pStyle w:val="ListParagraph"/>
        <w:numPr>
          <w:ilvl w:val="0"/>
          <w:numId w:val="2"/>
        </w:numPr>
        <w:spacing w:after="80"/>
      </w:pPr>
      <w:r>
        <w:rPr>
          <w:sz w:val="22"/>
          <w:szCs w:val="22"/>
        </w:rPr>
        <w:t xml:space="preserve">Which device brand generates the highest volume of repair jobs?</w:t>
      </w:r>
    </w:p>
    <w:p>
      <w:pPr>
        <w:pStyle w:val="ListParagraph"/>
        <w:numPr>
          <w:ilvl w:val="0"/>
          <w:numId w:val="2"/>
        </w:numPr>
        <w:spacing w:after="80"/>
      </w:pPr>
      <w:r>
        <w:rPr>
          <w:sz w:val="22"/>
          <w:szCs w:val="22"/>
        </w:rPr>
        <w:t xml:space="preserve">Are certain issue types being resolved faster than others, or are specific fault categories bottlenecks?</w:t>
      </w:r>
    </w:p>
    <w:p>
      <w:pPr>
        <w:spacing w:after="160"/>
        <w:jc w:val="both"/>
      </w:pPr>
      <w:r>
        <w:rPr>
          <w:sz w:val="22"/>
          <w:szCs w:val="22"/>
        </w:rPr>
        <w:t xml:space="preserve">These questions have answers sitting in the job records. The gap is not data — it is the absence of a pipeline to structure, enrich, and surface that data for decision-making.</w:t>
      </w:r>
    </w:p>
    <w:p>
      <w:pPr>
        <w:pStyle w:val="Heading1"/>
        <w:spacing w:after="160" w:before="320"/>
      </w:pPr>
      <w:r>
        <w:t xml:space="preserve">3. Dataset Overview</w:t>
      </w:r>
    </w:p>
    <w:p>
      <w:pPr>
        <w:spacing w:after="160"/>
        <w:jc w:val="both"/>
      </w:pPr>
      <w:r>
        <w:rPr>
          <w:sz w:val="22"/>
          <w:szCs w:val="22"/>
        </w:rPr>
        <w:t xml:space="preserve">The pipeline is structured around three tables that mirror how service centers actually store operational data in a CRM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rPr>
          <w:tblHeader/>
        </w:trPr>
        <w:tc>
          <w:tcPr>
            <w:tcW w:type="dxa" w:w="2800"/>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1200"/>
            <w:shd w:fill="1F3864" w:val="clear"/>
            <w:tcMar>
              <w:top w:type="dxa" w:w="80"/>
              <w:left w:type="dxa" w:w="120"/>
              <w:bottom w:type="dxa" w:w="80"/>
              <w:right w:type="dxa" w:w="120"/>
            </w:tcMar>
            <w:vAlign w:val="center"/>
          </w:tcPr>
          <w:p>
            <w:r>
              <w:rPr>
                <w:b/>
                <w:bCs/>
                <w:color w:val="FFFFFF"/>
                <w:sz w:val="20"/>
                <w:szCs w:val="20"/>
              </w:rPr>
              <w:t xml:space="preserve">Rows</w:t>
            </w:r>
          </w:p>
        </w:tc>
        <w:tc>
          <w:tcPr>
            <w:tcW w:type="dxa" w:w="5500"/>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800"/>
            <w:tcMar>
              <w:top w:type="dxa" w:w="80"/>
              <w:left w:type="dxa" w:w="120"/>
              <w:bottom w:type="dxa" w:w="80"/>
              <w:right w:type="dxa" w:w="120"/>
            </w:tcMar>
            <w:vAlign w:val="center"/>
          </w:tcPr>
          <w:p>
            <w:r>
              <w:rPr>
                <w:b w:val="false"/>
                <w:bCs w:val="false"/>
                <w:color w:val="000000"/>
                <w:sz w:val="20"/>
                <w:szCs w:val="20"/>
              </w:rPr>
              <w:t xml:space="preserve">customers.csv</w:t>
            </w:r>
          </w:p>
        </w:tc>
        <w:tc>
          <w:tcPr>
            <w:tcW w:type="dxa" w:w="1200"/>
            <w:tcMar>
              <w:top w:type="dxa" w:w="80"/>
              <w:left w:type="dxa" w:w="120"/>
              <w:bottom w:type="dxa" w:w="80"/>
              <w:right w:type="dxa" w:w="120"/>
            </w:tcMar>
            <w:vAlign w:val="center"/>
          </w:tcPr>
          <w:p>
            <w:r>
              <w:rPr>
                <w:b w:val="false"/>
                <w:bCs w:val="false"/>
                <w:color w:val="000000"/>
                <w:sz w:val="20"/>
                <w:szCs w:val="20"/>
              </w:rPr>
              <w:t xml:space="preserve">300</w:t>
            </w:r>
          </w:p>
        </w:tc>
        <w:tc>
          <w:tcPr>
            <w:tcW w:type="dxa" w:w="5500"/>
            <w:tcMar>
              <w:top w:type="dxa" w:w="80"/>
              <w:left w:type="dxa" w:w="120"/>
              <w:bottom w:type="dxa" w:w="80"/>
              <w:right w:type="dxa" w:w="120"/>
            </w:tcMar>
            <w:vAlign w:val="center"/>
          </w:tcPr>
          <w:p>
            <w:r>
              <w:rPr>
                <w:b w:val="false"/>
                <w:bCs w:val="false"/>
                <w:color w:val="000000"/>
                <w:sz w:val="20"/>
                <w:szCs w:val="20"/>
              </w:rPr>
              <w:t xml:space="preserve">One record per unique customer (name, contact, city, registration date)</w:t>
            </w:r>
          </w:p>
        </w:tc>
      </w:tr>
      <w:tr>
        <w:tc>
          <w:tcPr>
            <w:tcW w:type="dxa" w:w="2800"/>
            <w:shd w:fill="F2F2F2" w:val="clear"/>
            <w:tcMar>
              <w:top w:type="dxa" w:w="80"/>
              <w:left w:type="dxa" w:w="120"/>
              <w:bottom w:type="dxa" w:w="80"/>
              <w:right w:type="dxa" w:w="120"/>
            </w:tcMar>
            <w:vAlign w:val="center"/>
          </w:tcPr>
          <w:p>
            <w:r>
              <w:rPr>
                <w:b w:val="false"/>
                <w:bCs w:val="false"/>
                <w:color w:val="000000"/>
                <w:sz w:val="20"/>
                <w:szCs w:val="20"/>
              </w:rPr>
              <w:t xml:space="preserve">devices.csv</w:t>
            </w:r>
          </w:p>
        </w:tc>
        <w:tc>
          <w:tcPr>
            <w:tcW w:type="dxa" w:w="1200"/>
            <w:shd w:fill="F2F2F2" w:val="clear"/>
            <w:tcMar>
              <w:top w:type="dxa" w:w="80"/>
              <w:left w:type="dxa" w:w="120"/>
              <w:bottom w:type="dxa" w:w="80"/>
              <w:right w:type="dxa" w:w="120"/>
            </w:tcMar>
            <w:vAlign w:val="center"/>
          </w:tcPr>
          <w:p>
            <w:r>
              <w:rPr>
                <w:b w:val="false"/>
                <w:bCs w:val="false"/>
                <w:color w:val="000000"/>
                <w:sz w:val="20"/>
                <w:szCs w:val="20"/>
              </w:rPr>
              <w:t xml:space="preserve">43</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One record per device brand + type combination (brand, model, warranty, price tier)</w:t>
            </w:r>
          </w:p>
        </w:tc>
      </w:tr>
      <w:tr>
        <w:tc>
          <w:tcPr>
            <w:tcW w:type="dxa" w:w="2800"/>
            <w:tcMar>
              <w:top w:type="dxa" w:w="80"/>
              <w:left w:type="dxa" w:w="120"/>
              <w:bottom w:type="dxa" w:w="80"/>
              <w:right w:type="dxa" w:w="120"/>
            </w:tcMar>
            <w:vAlign w:val="center"/>
          </w:tcPr>
          <w:p>
            <w:r>
              <w:rPr>
                <w:b w:val="false"/>
                <w:bCs w:val="false"/>
                <w:color w:val="000000"/>
                <w:sz w:val="20"/>
                <w:szCs w:val="20"/>
              </w:rPr>
              <w:t xml:space="preserve">service_jobs.csv</w:t>
            </w:r>
          </w:p>
        </w:tc>
        <w:tc>
          <w:tcPr>
            <w:tcW w:type="dxa" w:w="1200"/>
            <w:tcMar>
              <w:top w:type="dxa" w:w="80"/>
              <w:left w:type="dxa" w:w="120"/>
              <w:bottom w:type="dxa" w:w="80"/>
              <w:right w:type="dxa" w:w="120"/>
            </w:tcMar>
            <w:vAlign w:val="center"/>
          </w:tcPr>
          <w:p>
            <w:r>
              <w:rPr>
                <w:b w:val="false"/>
                <w:bCs w:val="false"/>
                <w:color w:val="000000"/>
                <w:sz w:val="20"/>
                <w:szCs w:val="20"/>
              </w:rPr>
              <w:t xml:space="preserve">1,510</w:t>
            </w:r>
          </w:p>
        </w:tc>
        <w:tc>
          <w:tcPr>
            <w:tcW w:type="dxa" w:w="5500"/>
            <w:tcMar>
              <w:top w:type="dxa" w:w="80"/>
              <w:left w:type="dxa" w:w="120"/>
              <w:bottom w:type="dxa" w:w="80"/>
              <w:right w:type="dxa" w:w="120"/>
            </w:tcMar>
            <w:vAlign w:val="center"/>
          </w:tcPr>
          <w:p>
            <w:r>
              <w:rPr>
                <w:b w:val="false"/>
                <w:bCs w:val="false"/>
                <w:color w:val="000000"/>
                <w:sz w:val="20"/>
                <w:szCs w:val="20"/>
              </w:rPr>
              <w:t xml:space="preserve">Core transaction table — every repair job, linked to a customer and a device</w:t>
            </w:r>
          </w:p>
        </w:tc>
      </w:tr>
    </w:tbl>
    <w:p>
      <w:pPr>
        <w:spacing w:before="200"/>
      </w:pPr>
    </w:p>
    <w:p>
      <w:pPr>
        <w:spacing w:after="160"/>
        <w:jc w:val="both"/>
      </w:pPr>
      <w:r>
        <w:rPr>
          <w:sz w:val="22"/>
          <w:szCs w:val="22"/>
        </w:rPr>
        <w:t xml:space="preserve">Intentional data quality issues present in service_jobs.csv, by design:</w:t>
      </w:r>
    </w:p>
    <w:p>
      <w:pPr>
        <w:pStyle w:val="ListParagraph"/>
        <w:numPr>
          <w:ilvl w:val="0"/>
          <w:numId w:val="2"/>
        </w:numPr>
        <w:spacing w:after="80"/>
      </w:pPr>
      <w:r>
        <w:rPr>
          <w:sz w:val="22"/>
          <w:szCs w:val="22"/>
        </w:rPr>
        <w:t xml:space="preserve">10 duplicate job_id rows — must be de-duplicated</w:t>
      </w:r>
    </w:p>
    <w:p>
      <w:pPr>
        <w:pStyle w:val="ListParagraph"/>
        <w:numPr>
          <w:ilvl w:val="0"/>
          <w:numId w:val="2"/>
        </w:numPr>
        <w:spacing w:after="80"/>
      </w:pPr>
      <w:r>
        <w:rPr>
          <w:sz w:val="22"/>
          <w:szCs w:val="22"/>
        </w:rPr>
        <w:t xml:space="preserve">~75 blank technician_name values — must be resolved</w:t>
      </w:r>
    </w:p>
    <w:p>
      <w:pPr>
        <w:pStyle w:val="ListParagraph"/>
        <w:numPr>
          <w:ilvl w:val="0"/>
          <w:numId w:val="2"/>
        </w:numPr>
        <w:spacing w:after="80"/>
      </w:pPr>
      <w:r>
        <w:rPr>
          <w:sz w:val="22"/>
          <w:szCs w:val="22"/>
        </w:rPr>
        <w:t xml:space="preserve">Blank repair_notes for a subset of records</w:t>
      </w:r>
    </w:p>
    <w:p>
      <w:pPr>
        <w:pStyle w:val="ListParagraph"/>
        <w:numPr>
          <w:ilvl w:val="0"/>
          <w:numId w:val="2"/>
        </w:numPr>
        <w:spacing w:after="80"/>
      </w:pPr>
      <w:r>
        <w:rPr>
          <w:sz w:val="22"/>
          <w:szCs w:val="22"/>
        </w:rPr>
        <w:t xml:space="preserve">NULL completed_date and actual_cost for jobs not yet completed</w:t>
      </w:r>
    </w:p>
    <w:p>
      <w:pPr>
        <w:pStyle w:val="Heading1"/>
        <w:spacing w:after="160" w:before="320"/>
      </w:pPr>
      <w:r>
        <w:t xml:space="preserve">4. Pipeline Architecture — Medallion Design</w:t>
      </w:r>
    </w:p>
    <w:p>
      <w:pPr>
        <w:spacing w:after="160"/>
        <w:jc w:val="both"/>
      </w:pPr>
      <w:r>
        <w:rPr>
          <w:sz w:val="22"/>
          <w:szCs w:val="22"/>
        </w:rPr>
        <w:t xml:space="preserve">The pipeline follows the Medallion Architecture, a three-layer design pattern that is the standard approach for building reliable, auditable analytical systems on modern data lake platforms.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700"/>
      </w:tblGrid>
      <w:tr>
        <w:trPr>
          <w:tblHeader/>
        </w:trPr>
        <w:tc>
          <w:tcPr>
            <w:tcW w:type="dxa" w:w="1600"/>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5200"/>
            <w:shd w:fill="1F3864" w:val="clear"/>
            <w:tcMar>
              <w:top w:type="dxa" w:w="80"/>
              <w:left w:type="dxa" w:w="120"/>
              <w:bottom w:type="dxa" w:w="80"/>
              <w:right w:type="dxa" w:w="120"/>
            </w:tcMar>
            <w:vAlign w:val="center"/>
          </w:tcPr>
          <w:p>
            <w:r>
              <w:rPr>
                <w:b/>
                <w:bCs/>
                <w:color w:val="FFFFFF"/>
                <w:sz w:val="20"/>
                <w:szCs w:val="20"/>
              </w:rPr>
              <w:t xml:space="preserve">Role</w:t>
            </w:r>
          </w:p>
        </w:tc>
        <w:tc>
          <w:tcPr>
            <w:tcW w:type="dxa" w:w="2700"/>
            <w:shd w:fill="1F3864" w:val="clear"/>
            <w:tcMar>
              <w:top w:type="dxa" w:w="80"/>
              <w:left w:type="dxa" w:w="120"/>
              <w:bottom w:type="dxa" w:w="80"/>
              <w:right w:type="dxa" w:w="120"/>
            </w:tcMar>
            <w:vAlign w:val="center"/>
          </w:tcPr>
          <w:p>
            <w:r>
              <w:rPr>
                <w:b/>
                <w:bCs/>
                <w:color w:val="FFFFFF"/>
                <w:sz w:val="20"/>
                <w:szCs w:val="20"/>
              </w:rPr>
              <w:t xml:space="preserve">Tables Produced</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Bronze</w:t>
            </w:r>
          </w:p>
        </w:tc>
        <w:tc>
          <w:tcPr>
            <w:tcW w:type="dxa" w:w="5200"/>
            <w:tcMar>
              <w:top w:type="dxa" w:w="80"/>
              <w:left w:type="dxa" w:w="120"/>
              <w:bottom w:type="dxa" w:w="80"/>
              <w:right w:type="dxa" w:w="120"/>
            </w:tcMar>
            <w:vAlign w:val="center"/>
          </w:tcPr>
          <w:p>
            <w:r>
              <w:rPr>
                <w:b w:val="false"/>
                <w:bCs w:val="false"/>
                <w:color w:val="000000"/>
                <w:sz w:val="20"/>
                <w:szCs w:val="20"/>
              </w:rPr>
              <w:t xml:space="preserve">Raw ingestion — data loaded exactly as received, no modification</w:t>
            </w:r>
          </w:p>
        </w:tc>
        <w:tc>
          <w:tcPr>
            <w:tcW w:type="dxa" w:w="2700"/>
            <w:tcMar>
              <w:top w:type="dxa" w:w="80"/>
              <w:left w:type="dxa" w:w="120"/>
              <w:bottom w:type="dxa" w:w="80"/>
              <w:right w:type="dxa" w:w="120"/>
            </w:tcMar>
            <w:vAlign w:val="center"/>
          </w:tcPr>
          <w:p>
            <w:r>
              <w:rPr>
                <w:b w:val="false"/>
                <w:bCs w:val="false"/>
                <w:color w:val="000000"/>
                <w:sz w:val="20"/>
                <w:szCs w:val="20"/>
              </w:rPr>
              <w:t xml:space="preserve">bronze_customers, bronze_devices, bronze_service_jobs</w:t>
            </w:r>
          </w:p>
        </w:tc>
      </w:tr>
      <w:tr>
        <w:tc>
          <w:tcPr>
            <w:tcW w:type="dxa" w:w="1600"/>
            <w:shd w:fill="F2F2F2" w:val="clear"/>
            <w:tcMar>
              <w:top w:type="dxa" w:w="80"/>
              <w:left w:type="dxa" w:w="120"/>
              <w:bottom w:type="dxa" w:w="80"/>
              <w:right w:type="dxa" w:w="120"/>
            </w:tcMar>
            <w:vAlign w:val="center"/>
          </w:tcPr>
          <w:p>
            <w:r>
              <w:rPr>
                <w:b w:val="false"/>
                <w:bCs w:val="false"/>
                <w:color w:val="000000"/>
                <w:sz w:val="20"/>
                <w:szCs w:val="20"/>
              </w:rPr>
              <w:t xml:space="preserve">Silver</w:t>
            </w:r>
          </w:p>
        </w:tc>
        <w:tc>
          <w:tcPr>
            <w:tcW w:type="dxa" w:w="5200"/>
            <w:shd w:fill="F2F2F2" w:val="clear"/>
            <w:tcMar>
              <w:top w:type="dxa" w:w="80"/>
              <w:left w:type="dxa" w:w="120"/>
              <w:bottom w:type="dxa" w:w="80"/>
              <w:right w:type="dxa" w:w="120"/>
            </w:tcMar>
            <w:vAlign w:val="center"/>
          </w:tcPr>
          <w:p>
            <w:r>
              <w:rPr>
                <w:b w:val="false"/>
                <w:bCs w:val="false"/>
                <w:color w:val="000000"/>
                <w:sz w:val="20"/>
                <w:szCs w:val="20"/>
              </w:rPr>
              <w:t xml:space="preserve">Cleaning, de-duplication, enrichment, and multi-table join</w:t>
            </w:r>
          </w:p>
        </w:tc>
        <w:tc>
          <w:tcPr>
            <w:tcW w:type="dxa" w:w="2700"/>
            <w:shd w:fill="F2F2F2" w:val="clear"/>
            <w:tcMar>
              <w:top w:type="dxa" w:w="80"/>
              <w:left w:type="dxa" w:w="120"/>
              <w:bottom w:type="dxa" w:w="80"/>
              <w:right w:type="dxa" w:w="120"/>
            </w:tcMar>
            <w:vAlign w:val="center"/>
          </w:tcPr>
          <w:p>
            <w:r>
              <w:rPr>
                <w:b w:val="false"/>
                <w:bCs w:val="false"/>
                <w:color w:val="000000"/>
                <w:sz w:val="20"/>
                <w:szCs w:val="20"/>
              </w:rPr>
              <w:t xml:space="preserve">silver_service_jobs_enriched</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Gold</w:t>
            </w:r>
          </w:p>
        </w:tc>
        <w:tc>
          <w:tcPr>
            <w:tcW w:type="dxa" w:w="5200"/>
            <w:tcMar>
              <w:top w:type="dxa" w:w="80"/>
              <w:left w:type="dxa" w:w="120"/>
              <w:bottom w:type="dxa" w:w="80"/>
              <w:right w:type="dxa" w:w="120"/>
            </w:tcMar>
            <w:vAlign w:val="center"/>
          </w:tcPr>
          <w:p>
            <w:r>
              <w:rPr>
                <w:b w:val="false"/>
                <w:bCs w:val="false"/>
                <w:color w:val="000000"/>
                <w:sz w:val="20"/>
                <w:szCs w:val="20"/>
              </w:rPr>
              <w:t xml:space="preserve">Pre-aggregated business metrics, ready for direct stakeholder querying</w:t>
            </w:r>
          </w:p>
        </w:tc>
        <w:tc>
          <w:tcPr>
            <w:tcW w:type="dxa" w:w="2700"/>
            <w:tcMar>
              <w:top w:type="dxa" w:w="80"/>
              <w:left w:type="dxa" w:w="120"/>
              <w:bottom w:type="dxa" w:w="80"/>
              <w:right w:type="dxa" w:w="120"/>
            </w:tcMar>
            <w:vAlign w:val="center"/>
          </w:tcPr>
          <w:p>
            <w:r>
              <w:rPr>
                <w:b w:val="false"/>
                <w:bCs w:val="false"/>
                <w:color w:val="000000"/>
                <w:sz w:val="20"/>
                <w:szCs w:val="20"/>
              </w:rPr>
              <w:t xml:space="preserve">5 aggregate tables (see Section 6)</w:t>
            </w:r>
          </w:p>
        </w:tc>
      </w:tr>
    </w:tbl>
    <w:p>
      <w:pPr>
        <w:spacing w:before="240"/>
      </w:pPr>
    </w:p>
    <w:p>
      <w:pPr>
        <w:pStyle w:val="Heading2"/>
        <w:spacing w:after="160" w:before="320"/>
      </w:pPr>
      <w:r>
        <w:t xml:space="preserve">4.1 Bronze Layer — Raw Ingestion</w:t>
      </w:r>
    </w:p>
    <w:p>
      <w:pPr>
        <w:spacing w:after="160"/>
        <w:jc w:val="both"/>
      </w:pPr>
      <w:r>
        <w:rPr>
          <w:sz w:val="22"/>
          <w:szCs w:val="22"/>
        </w:rPr>
        <w:t xml:space="preserve">Raw CSV exports are loaded into Bronze without modification. Every field is preserved exactly as received — including nulls, duplicates, and formatting issues. Bronze is an immutable record of what came in; if a downstream step introduces an error, Bronze is the clean starting point for reprocessing, with no need to return to the source files.</w:t>
      </w:r>
    </w:p>
    <w:p>
      <w:pPr>
        <w:pStyle w:val="Heading2"/>
        <w:spacing w:after="160" w:before="320"/>
      </w:pPr>
      <w:r>
        <w:t xml:space="preserve">4.2 Silver Layer — Cleaning &amp; Enrichment</w:t>
      </w:r>
    </w:p>
    <w:p>
      <w:pPr>
        <w:spacing w:after="160"/>
        <w:jc w:val="both"/>
      </w:pPr>
      <w:r>
        <w:rPr>
          <w:sz w:val="22"/>
          <w:szCs w:val="22"/>
        </w:rPr>
        <w:t xml:space="preserve">The following steps establish data quality and apply first-pass business logic:</w:t>
      </w:r>
    </w:p>
    <w:p>
      <w:pPr>
        <w:pStyle w:val="ListParagraph"/>
        <w:numPr>
          <w:ilvl w:val="0"/>
          <w:numId w:val="2"/>
        </w:numPr>
        <w:spacing w:after="80"/>
      </w:pPr>
      <w:r>
        <w:rPr>
          <w:sz w:val="22"/>
          <w:szCs w:val="22"/>
        </w:rPr>
        <w:t xml:space="preserve">Date fields (received_date, promised_date, completed_date) are parsed and typed correctly.</w:t>
      </w:r>
    </w:p>
    <w:p>
      <w:pPr>
        <w:pStyle w:val="ListParagraph"/>
        <w:numPr>
          <w:ilvl w:val="0"/>
          <w:numId w:val="2"/>
        </w:numPr>
        <w:spacing w:after="80"/>
      </w:pPr>
      <w:r>
        <w:rPr>
          <w:sz w:val="22"/>
          <w:szCs w:val="22"/>
        </w:rPr>
        <w:t xml:space="preserve">Duplicate job records are removed via de-duplication on job_id.</w:t>
      </w:r>
    </w:p>
    <w:p>
      <w:pPr>
        <w:pStyle w:val="ListParagraph"/>
        <w:numPr>
          <w:ilvl w:val="0"/>
          <w:numId w:val="2"/>
        </w:numPr>
        <w:spacing w:after="80"/>
      </w:pPr>
      <w:r>
        <w:rPr>
          <w:sz w:val="22"/>
          <w:szCs w:val="22"/>
        </w:rPr>
        <w:t xml:space="preserve">Blank technician_name values are resolved using a technician_id → technician_name lookup built from non-blank rows.</w:t>
      </w:r>
    </w:p>
    <w:p>
      <w:pPr>
        <w:pStyle w:val="ListParagraph"/>
        <w:numPr>
          <w:ilvl w:val="0"/>
          <w:numId w:val="2"/>
        </w:numPr>
        <w:spacing w:after="80"/>
      </w:pPr>
      <w:r>
        <w:rPr>
          <w:sz w:val="22"/>
          <w:szCs w:val="22"/>
        </w:rPr>
        <w:t xml:space="preserve">repair_duration_days is computed as the day-gap between received_date and completed_date.</w:t>
      </w:r>
    </w:p>
    <w:p>
      <w:pPr>
        <w:pStyle w:val="ListParagraph"/>
        <w:numPr>
          <w:ilvl w:val="0"/>
          <w:numId w:val="2"/>
        </w:numPr>
        <w:spacing w:after="80"/>
      </w:pPr>
      <w:r>
        <w:rPr>
          <w:sz w:val="22"/>
          <w:szCs w:val="22"/>
        </w:rPr>
        <w:t xml:space="preserve">Each job is flagged Delayed, On Time, or In Progress by comparing completed_date to promised_date.</w:t>
      </w:r>
    </w:p>
    <w:p>
      <w:pPr>
        <w:pStyle w:val="ListParagraph"/>
        <w:numPr>
          <w:ilvl w:val="0"/>
          <w:numId w:val="2"/>
        </w:numPr>
        <w:spacing w:after="80"/>
      </w:pPr>
      <w:r>
        <w:rPr>
          <w:sz w:val="22"/>
          <w:szCs w:val="22"/>
        </w:rPr>
        <w:t xml:space="preserve">The three source tables — customers, devices, and service jobs — are joined into a single enriched fact record per job.</w:t>
      </w:r>
    </w:p>
    <w:p>
      <w:pPr>
        <w:pStyle w:val="Heading2"/>
        <w:spacing w:after="160" w:before="320"/>
      </w:pPr>
      <w:r>
        <w:t xml:space="preserve">4.3 Gold Layer — Business Metrics</w:t>
      </w:r>
    </w:p>
    <w:p>
      <w:pPr>
        <w:spacing w:after="160"/>
        <w:jc w:val="both"/>
      </w:pPr>
      <w:r>
        <w:rPr>
          <w:sz w:val="22"/>
          <w:szCs w:val="22"/>
        </w:rPr>
        <w:t xml:space="preserve">The Gold layer is pre-aggregated and structured for the specific questions the business needs answered. A stakeholder querying Gold gets an answer in seconds, without needing to understand the underlying data model.</w:t>
      </w:r>
    </w:p>
    <w:p>
      <w:pPr>
        <w:pStyle w:val="Heading1"/>
        <w:spacing w:after="160" w:before="320"/>
      </w:pPr>
      <w:r>
        <w:t xml:space="preserve">5. Data Quality Handling — Validated Results</w:t>
      </w:r>
    </w:p>
    <w:p>
      <w:pPr>
        <w:spacing w:after="160"/>
        <w:jc w:val="both"/>
      </w:pPr>
      <w:r>
        <w:rPr>
          <w:sz w:val="22"/>
          <w:szCs w:val="22"/>
        </w:rPr>
        <w:t xml:space="preserve">The pipeline was executed end-to-end against the actual provided dataset. The following results were observed and verified at the Silver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1F3864" w:val="clear"/>
            <w:tcMar>
              <w:top w:type="dxa" w:w="80"/>
              <w:left w:type="dxa" w:w="120"/>
              <w:bottom w:type="dxa" w:w="80"/>
              <w:right w:type="dxa" w:w="120"/>
            </w:tcMar>
            <w:vAlign w:val="center"/>
          </w:tcPr>
          <w:p>
            <w:r>
              <w:rPr>
                <w:b/>
                <w:bCs/>
                <w:color w:val="FFFFFF"/>
                <w:sz w:val="20"/>
                <w:szCs w:val="20"/>
              </w:rPr>
              <w:t xml:space="preserve">Metric</w:t>
            </w:r>
          </w:p>
        </w:tc>
        <w:tc>
          <w:tcPr>
            <w:tcW w:type="dxa" w:w="4000"/>
            <w:shd w:fill="1F3864" w:val="clear"/>
            <w:tcMar>
              <w:top w:type="dxa" w:w="80"/>
              <w:left w:type="dxa" w:w="120"/>
              <w:bottom w:type="dxa" w:w="80"/>
              <w:right w:type="dxa" w:w="120"/>
            </w:tcMar>
            <w:vAlign w:val="center"/>
          </w:tcPr>
          <w:p>
            <w:r>
              <w:rPr>
                <w:b/>
                <w:bCs/>
                <w:color w:val="FFFFFF"/>
                <w:sz w:val="20"/>
                <w:szCs w:val="20"/>
              </w:rPr>
              <w:t xml:space="preserve">Result</w:t>
            </w:r>
          </w:p>
        </w:tc>
      </w:tr>
      <w:tr>
        <w:tc>
          <w:tcPr>
            <w:tcW w:type="dxa" w:w="5500"/>
            <w:tcMar>
              <w:top w:type="dxa" w:w="80"/>
              <w:left w:type="dxa" w:w="120"/>
              <w:bottom w:type="dxa" w:w="80"/>
              <w:right w:type="dxa" w:w="120"/>
            </w:tcMar>
            <w:vAlign w:val="center"/>
          </w:tcPr>
          <w:p>
            <w:r>
              <w:rPr>
                <w:b w:val="false"/>
                <w:bCs w:val="false"/>
                <w:color w:val="000000"/>
                <w:sz w:val="20"/>
                <w:szCs w:val="20"/>
              </w:rPr>
              <w:t xml:space="preserve">Raw service_jobs rows (Bronze)</w:t>
            </w:r>
          </w:p>
        </w:tc>
        <w:tc>
          <w:tcPr>
            <w:tcW w:type="dxa" w:w="4000"/>
            <w:tcMar>
              <w:top w:type="dxa" w:w="80"/>
              <w:left w:type="dxa" w:w="120"/>
              <w:bottom w:type="dxa" w:w="80"/>
              <w:right w:type="dxa" w:w="120"/>
            </w:tcMar>
            <w:vAlign w:val="center"/>
          </w:tcPr>
          <w:p>
            <w:r>
              <w:rPr>
                <w:b w:val="false"/>
                <w:bCs w:val="false"/>
                <w:color w:val="000000"/>
                <w:sz w:val="20"/>
                <w:szCs w:val="20"/>
              </w:rPr>
              <w:t xml:space="preserve">1,510</w:t>
            </w:r>
          </w:p>
        </w:tc>
      </w:tr>
      <w:tr>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Duplicate job_id rows removed</w:t>
            </w:r>
          </w:p>
        </w:tc>
        <w:tc>
          <w:tcPr>
            <w:tcW w:type="dxa" w:w="4000"/>
            <w:shd w:fill="F2F2F2" w:val="clear"/>
            <w:tcMar>
              <w:top w:type="dxa" w:w="80"/>
              <w:left w:type="dxa" w:w="120"/>
              <w:bottom w:type="dxa" w:w="80"/>
              <w:right w:type="dxa" w:w="120"/>
            </w:tcMar>
            <w:vAlign w:val="center"/>
          </w:tcPr>
          <w:p>
            <w:r>
              <w:rPr>
                <w:b w:val="false"/>
                <w:bCs w:val="false"/>
                <w:color w:val="000000"/>
                <w:sz w:val="20"/>
                <w:szCs w:val="20"/>
              </w:rPr>
              <w:t xml:space="preserve">10</w:t>
            </w:r>
          </w:p>
        </w:tc>
      </w:tr>
      <w:tr>
        <w:tc>
          <w:tcPr>
            <w:tcW w:type="dxa" w:w="5500"/>
            <w:tcMar>
              <w:top w:type="dxa" w:w="80"/>
              <w:left w:type="dxa" w:w="120"/>
              <w:bottom w:type="dxa" w:w="80"/>
              <w:right w:type="dxa" w:w="120"/>
            </w:tcMar>
            <w:vAlign w:val="center"/>
          </w:tcPr>
          <w:p>
            <w:r>
              <w:rPr>
                <w:b w:val="false"/>
                <w:bCs w:val="false"/>
                <w:color w:val="000000"/>
                <w:sz w:val="20"/>
                <w:szCs w:val="20"/>
              </w:rPr>
              <w:t xml:space="preserve">Rows after de-duplication (Silver)</w:t>
            </w:r>
          </w:p>
        </w:tc>
        <w:tc>
          <w:tcPr>
            <w:tcW w:type="dxa" w:w="4000"/>
            <w:tcMar>
              <w:top w:type="dxa" w:w="80"/>
              <w:left w:type="dxa" w:w="120"/>
              <w:bottom w:type="dxa" w:w="80"/>
              <w:right w:type="dxa" w:w="120"/>
            </w:tcMar>
            <w:vAlign w:val="center"/>
          </w:tcPr>
          <w:p>
            <w:r>
              <w:rPr>
                <w:b w:val="false"/>
                <w:bCs w:val="false"/>
                <w:color w:val="000000"/>
                <w:sz w:val="20"/>
                <w:szCs w:val="20"/>
              </w:rPr>
              <w:t xml:space="preserve">1,500</w:t>
            </w:r>
          </w:p>
        </w:tc>
      </w:tr>
      <w:tr>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Blank technician_name values resolved</w:t>
            </w:r>
          </w:p>
        </w:tc>
        <w:tc>
          <w:tcPr>
            <w:tcW w:type="dxa" w:w="4000"/>
            <w:shd w:fill="F2F2F2" w:val="clear"/>
            <w:tcMar>
              <w:top w:type="dxa" w:w="80"/>
              <w:left w:type="dxa" w:w="120"/>
              <w:bottom w:type="dxa" w:w="80"/>
              <w:right w:type="dxa" w:w="120"/>
            </w:tcMar>
            <w:vAlign w:val="center"/>
          </w:tcPr>
          <w:p>
            <w:r>
              <w:rPr>
                <w:b w:val="false"/>
                <w:bCs w:val="false"/>
                <w:color w:val="000000"/>
                <w:sz w:val="20"/>
                <w:szCs w:val="20"/>
              </w:rPr>
              <w:t xml:space="preserve">75 of 75 (100%)</w:t>
            </w:r>
          </w:p>
        </w:tc>
      </w:tr>
      <w:tr>
        <w:tc>
          <w:tcPr>
            <w:tcW w:type="dxa" w:w="5500"/>
            <w:tcMar>
              <w:top w:type="dxa" w:w="80"/>
              <w:left w:type="dxa" w:w="120"/>
              <w:bottom w:type="dxa" w:w="80"/>
              <w:right w:type="dxa" w:w="120"/>
            </w:tcMar>
            <w:vAlign w:val="center"/>
          </w:tcPr>
          <w:p>
            <w:r>
              <w:rPr>
                <w:b w:val="false"/>
                <w:bCs w:val="false"/>
                <w:color w:val="000000"/>
                <w:sz w:val="20"/>
                <w:szCs w:val="20"/>
              </w:rPr>
              <w:t xml:space="preserve">Delivery status — On Time</w:t>
            </w:r>
          </w:p>
        </w:tc>
        <w:tc>
          <w:tcPr>
            <w:tcW w:type="dxa" w:w="4000"/>
            <w:tcMar>
              <w:top w:type="dxa" w:w="80"/>
              <w:left w:type="dxa" w:w="120"/>
              <w:bottom w:type="dxa" w:w="80"/>
              <w:right w:type="dxa" w:w="120"/>
            </w:tcMar>
            <w:vAlign w:val="center"/>
          </w:tcPr>
          <w:p>
            <w:r>
              <w:rPr>
                <w:b w:val="false"/>
                <w:bCs w:val="false"/>
                <w:color w:val="000000"/>
                <w:sz w:val="20"/>
                <w:szCs w:val="20"/>
              </w:rPr>
              <w:t xml:space="preserve">833 jobs</w:t>
            </w:r>
          </w:p>
        </w:tc>
      </w:tr>
      <w:tr>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Delivery status — Delayed</w:t>
            </w:r>
          </w:p>
        </w:tc>
        <w:tc>
          <w:tcPr>
            <w:tcW w:type="dxa" w:w="4000"/>
            <w:shd w:fill="F2F2F2" w:val="clear"/>
            <w:tcMar>
              <w:top w:type="dxa" w:w="80"/>
              <w:left w:type="dxa" w:w="120"/>
              <w:bottom w:type="dxa" w:w="80"/>
              <w:right w:type="dxa" w:w="120"/>
            </w:tcMar>
            <w:vAlign w:val="center"/>
          </w:tcPr>
          <w:p>
            <w:r>
              <w:rPr>
                <w:b w:val="false"/>
                <w:bCs w:val="false"/>
                <w:color w:val="000000"/>
                <w:sz w:val="20"/>
                <w:szCs w:val="20"/>
              </w:rPr>
              <w:t xml:space="preserve">297 jobs</w:t>
            </w:r>
          </w:p>
        </w:tc>
      </w:tr>
      <w:tr>
        <w:tc>
          <w:tcPr>
            <w:tcW w:type="dxa" w:w="5500"/>
            <w:tcMar>
              <w:top w:type="dxa" w:w="80"/>
              <w:left w:type="dxa" w:w="120"/>
              <w:bottom w:type="dxa" w:w="80"/>
              <w:right w:type="dxa" w:w="120"/>
            </w:tcMar>
            <w:vAlign w:val="center"/>
          </w:tcPr>
          <w:p>
            <w:r>
              <w:rPr>
                <w:b w:val="false"/>
                <w:bCs w:val="false"/>
                <w:color w:val="000000"/>
                <w:sz w:val="20"/>
                <w:szCs w:val="20"/>
              </w:rPr>
              <w:t xml:space="preserve">Delivery status — In Progress / Pending / Cancelled</w:t>
            </w:r>
          </w:p>
        </w:tc>
        <w:tc>
          <w:tcPr>
            <w:tcW w:type="dxa" w:w="4000"/>
            <w:tcMar>
              <w:top w:type="dxa" w:w="80"/>
              <w:left w:type="dxa" w:w="120"/>
              <w:bottom w:type="dxa" w:w="80"/>
              <w:right w:type="dxa" w:w="120"/>
            </w:tcMar>
            <w:vAlign w:val="center"/>
          </w:tcPr>
          <w:p>
            <w:r>
              <w:rPr>
                <w:b w:val="false"/>
                <w:bCs w:val="false"/>
                <w:color w:val="000000"/>
                <w:sz w:val="20"/>
                <w:szCs w:val="20"/>
              </w:rPr>
              <w:t xml:space="preserve">370 jobs</w:t>
            </w:r>
          </w:p>
        </w:tc>
      </w:tr>
      <w:tr>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Repeat customers identified (&gt;1 visit)</w:t>
            </w:r>
          </w:p>
        </w:tc>
        <w:tc>
          <w:tcPr>
            <w:tcW w:type="dxa" w:w="4000"/>
            <w:shd w:fill="F2F2F2" w:val="clear"/>
            <w:tcMar>
              <w:top w:type="dxa" w:w="80"/>
              <w:left w:type="dxa" w:w="120"/>
              <w:bottom w:type="dxa" w:w="80"/>
              <w:right w:type="dxa" w:w="120"/>
            </w:tcMar>
            <w:vAlign w:val="center"/>
          </w:tcPr>
          <w:p>
            <w:r>
              <w:rPr>
                <w:b w:val="false"/>
                <w:bCs w:val="false"/>
                <w:color w:val="000000"/>
                <w:sz w:val="20"/>
                <w:szCs w:val="20"/>
              </w:rPr>
              <w:t xml:space="preserve">271 of 300 (90.3%)</w:t>
            </w:r>
          </w:p>
        </w:tc>
      </w:tr>
    </w:tbl>
    <w:p>
      <w:pPr>
        <w:pStyle w:val="Heading1"/>
        <w:spacing w:after="160" w:before="320"/>
      </w:pPr>
      <w:r>
        <w:t xml:space="preserve">6. Gold Layer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6300"/>
            <w:shd w:fill="1F3864" w:val="clear"/>
            <w:tcMar>
              <w:top w:type="dxa" w:w="80"/>
              <w:left w:type="dxa" w:w="120"/>
              <w:bottom w:type="dxa" w:w="80"/>
              <w:right w:type="dxa" w:w="120"/>
            </w:tcMar>
            <w:vAlign w:val="center"/>
          </w:tcPr>
          <w:p>
            <w:r>
              <w:rPr>
                <w:b/>
                <w:bCs/>
                <w:color w:val="FFFFFF"/>
                <w:sz w:val="20"/>
                <w:szCs w:val="20"/>
              </w:rPr>
              <w:t xml:space="preserve">Business Question Answered</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gold_technician_performance</w:t>
            </w:r>
          </w:p>
        </w:tc>
        <w:tc>
          <w:tcPr>
            <w:tcW w:type="dxa" w:w="6300"/>
            <w:tcMar>
              <w:top w:type="dxa" w:w="80"/>
              <w:left w:type="dxa" w:w="120"/>
              <w:bottom w:type="dxa" w:w="80"/>
              <w:right w:type="dxa" w:w="120"/>
            </w:tcMar>
            <w:vAlign w:val="center"/>
          </w:tcPr>
          <w:p>
            <w:r>
              <w:rPr>
                <w:b w:val="false"/>
                <w:bCs w:val="false"/>
                <w:color w:val="000000"/>
                <w:sz w:val="20"/>
                <w:szCs w:val="20"/>
              </w:rPr>
              <w:t xml:space="preserve">Which technician closes jobs fastest, and who runs over the promised date most often?</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gold_delay_analysis</w:t>
            </w:r>
          </w:p>
        </w:tc>
        <w:tc>
          <w:tcPr>
            <w:tcW w:type="dxa" w:w="6300"/>
            <w:shd w:fill="F2F2F2" w:val="clear"/>
            <w:tcMar>
              <w:top w:type="dxa" w:w="80"/>
              <w:left w:type="dxa" w:w="120"/>
              <w:bottom w:type="dxa" w:w="80"/>
              <w:right w:type="dxa" w:w="120"/>
            </w:tcMar>
            <w:vAlign w:val="center"/>
          </w:tcPr>
          <w:p>
            <w:r>
              <w:rPr>
                <w:b w:val="false"/>
                <w:bCs w:val="false"/>
                <w:color w:val="000000"/>
                <w:sz w:val="20"/>
                <w:szCs w:val="20"/>
              </w:rPr>
              <w:t xml:space="preserve">What percentage of jobs are delayed per issue type, and by how many days on average?</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gold_device_brand_trends</w:t>
            </w:r>
          </w:p>
        </w:tc>
        <w:tc>
          <w:tcPr>
            <w:tcW w:type="dxa" w:w="6300"/>
            <w:tcMar>
              <w:top w:type="dxa" w:w="80"/>
              <w:left w:type="dxa" w:w="120"/>
              <w:bottom w:type="dxa" w:w="80"/>
              <w:right w:type="dxa" w:w="120"/>
            </w:tcMar>
            <w:vAlign w:val="center"/>
          </w:tcPr>
          <w:p>
            <w:r>
              <w:rPr>
                <w:b w:val="false"/>
                <w:bCs w:val="false"/>
                <w:color w:val="000000"/>
                <w:sz w:val="20"/>
                <w:szCs w:val="20"/>
              </w:rPr>
              <w:t xml:space="preserve">Which device brand and type generates the highest repair volume?</w:t>
            </w:r>
          </w:p>
        </w:tc>
      </w:tr>
      <w:tr>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gold_repeat_customers</w:t>
            </w:r>
          </w:p>
        </w:tc>
        <w:tc>
          <w:tcPr>
            <w:tcW w:type="dxa" w:w="6300"/>
            <w:shd w:fill="F2F2F2" w:val="clear"/>
            <w:tcMar>
              <w:top w:type="dxa" w:w="80"/>
              <w:left w:type="dxa" w:w="120"/>
              <w:bottom w:type="dxa" w:w="80"/>
              <w:right w:type="dxa" w:w="120"/>
            </w:tcMar>
            <w:vAlign w:val="center"/>
          </w:tcPr>
          <w:p>
            <w:r>
              <w:rPr>
                <w:b w:val="false"/>
                <w:bCs w:val="false"/>
                <w:color w:val="000000"/>
                <w:sz w:val="20"/>
                <w:szCs w:val="20"/>
              </w:rPr>
              <w:t xml:space="preserve">Which customers are returning repeatedly, and for how many distinct issue types?</w:t>
            </w:r>
          </w:p>
        </w:tc>
      </w:tr>
      <w:tr>
        <w:tc>
          <w:tcPr>
            <w:tcW w:type="dxa" w:w="3200"/>
            <w:tcMar>
              <w:top w:type="dxa" w:w="80"/>
              <w:left w:type="dxa" w:w="120"/>
              <w:bottom w:type="dxa" w:w="80"/>
              <w:right w:type="dxa" w:w="120"/>
            </w:tcMar>
            <w:vAlign w:val="center"/>
          </w:tcPr>
          <w:p>
            <w:r>
              <w:rPr>
                <w:b w:val="false"/>
                <w:bCs w:val="false"/>
                <w:color w:val="000000"/>
                <w:sz w:val="20"/>
                <w:szCs w:val="20"/>
              </w:rPr>
              <w:t xml:space="preserve">gold_customer_visit_history</w:t>
            </w:r>
          </w:p>
        </w:tc>
        <w:tc>
          <w:tcPr>
            <w:tcW w:type="dxa" w:w="6300"/>
            <w:tcMar>
              <w:top w:type="dxa" w:w="80"/>
              <w:left w:type="dxa" w:w="120"/>
              <w:bottom w:type="dxa" w:w="80"/>
              <w:right w:type="dxa" w:w="120"/>
            </w:tcMar>
            <w:vAlign w:val="center"/>
          </w:tcPr>
          <w:p>
            <w:r>
              <w:rPr>
                <w:b w:val="false"/>
                <w:bCs w:val="false"/>
                <w:color w:val="000000"/>
                <w:sz w:val="20"/>
                <w:szCs w:val="20"/>
              </w:rPr>
              <w:t xml:space="preserve">What was each customer's most recent job, and what was its outcome?</w:t>
            </w:r>
          </w:p>
        </w:tc>
      </w:tr>
    </w:tbl>
    <w:p>
      <w:pPr>
        <w:pStyle w:val="Heading1"/>
        <w:spacing w:after="160" w:before="320"/>
      </w:pPr>
      <w:r>
        <w:t xml:space="preserve">7. SQL Analytics Layer</w:t>
      </w:r>
    </w:p>
    <w:p>
      <w:pPr>
        <w:spacing w:after="160"/>
        <w:jc w:val="both"/>
      </w:pPr>
      <w:r>
        <w:rPr>
          <w:sz w:val="22"/>
          <w:szCs w:val="22"/>
        </w:rPr>
        <w:t xml:space="preserve">Once Gold tables are registered in the Databricks metastore, analysts and operations managers can query them directly with SQL — no knowledge of the underlying PySpark code required. The analytics layer demonstrates the following SQL capabilities, each validated against the real dataset:</w:t>
      </w:r>
    </w:p>
    <w:p>
      <w:pPr>
        <w:pStyle w:val="ListParagraph"/>
        <w:numPr>
          <w:ilvl w:val="0"/>
          <w:numId w:val="2"/>
        </w:numPr>
        <w:spacing w:after="80"/>
      </w:pPr>
      <w:r>
        <w:rPr>
          <w:sz w:val="22"/>
          <w:szCs w:val="22"/>
        </w:rPr>
        <w:t xml:space="preserve">CASE expressions — classify each job as Delayed, On Time, or In Progress.</w:t>
      </w:r>
    </w:p>
    <w:p>
      <w:pPr>
        <w:pStyle w:val="ListParagraph"/>
        <w:numPr>
          <w:ilvl w:val="0"/>
          <w:numId w:val="2"/>
        </w:numPr>
        <w:spacing w:after="80"/>
      </w:pPr>
      <w:r>
        <w:rPr>
          <w:sz w:val="22"/>
          <w:szCs w:val="22"/>
        </w:rPr>
        <w:t xml:space="preserve">GROUP BY with HAVING — isolate customers with more than one recorded visit (the repeat-customer signal).</w:t>
      </w:r>
    </w:p>
    <w:p>
      <w:pPr>
        <w:pStyle w:val="ListParagraph"/>
        <w:numPr>
          <w:ilvl w:val="0"/>
          <w:numId w:val="2"/>
        </w:numPr>
        <w:spacing w:after="80"/>
      </w:pPr>
      <w:r>
        <w:rPr>
          <w:sz w:val="22"/>
          <w:szCs w:val="22"/>
        </w:rPr>
        <w:t xml:space="preserve">Window functions with PARTITION BY — compute each technician's average repair time alongside every individual job record, for direct comparison.</w:t>
      </w:r>
    </w:p>
    <w:p>
      <w:pPr>
        <w:pStyle w:val="ListParagraph"/>
        <w:numPr>
          <w:ilvl w:val="0"/>
          <w:numId w:val="2"/>
        </w:numPr>
        <w:spacing w:after="80"/>
      </w:pPr>
      <w:r>
        <w:rPr>
          <w:sz w:val="22"/>
          <w:szCs w:val="22"/>
        </w:rPr>
        <w:t xml:space="preserve">Common Table Expressions (CTEs) with ROW_NUMBER() — extract the most recent job per customer cleanly, without subquery nesting.</w:t>
      </w:r>
    </w:p>
    <w:p>
      <w:pPr>
        <w:pStyle w:val="ListParagraph"/>
        <w:numPr>
          <w:ilvl w:val="0"/>
          <w:numId w:val="2"/>
        </w:numPr>
        <w:spacing w:after="80"/>
      </w:pPr>
      <w:r>
        <w:rPr>
          <w:sz w:val="22"/>
          <w:szCs w:val="22"/>
        </w:rPr>
        <w:t xml:space="preserve">Multi-table joins — combine the Silver fact table with the devices dimension for brand-level delay-rate analysis.</w:t>
      </w:r>
    </w:p>
    <w:p>
      <w:pPr>
        <w:pStyle w:val="Heading1"/>
        <w:spacing w:after="160" w:before="320"/>
      </w:pPr>
      <w:r>
        <w:t xml:space="preserve">8. Delta Lake Capabilities</w:t>
      </w:r>
    </w:p>
    <w:p>
      <w:pPr>
        <w:spacing w:after="160"/>
        <w:jc w:val="both"/>
      </w:pPr>
      <w:r>
        <w:rPr>
          <w:sz w:val="22"/>
          <w:szCs w:val="22"/>
        </w:rPr>
        <w:t xml:space="preserve">Delta Lake is the storage layer for every table in the pipeline. Three production-critical capabilities are demonstrated in the notebook:</w:t>
      </w:r>
    </w:p>
    <w:p>
      <w:pPr>
        <w:pStyle w:val="ListParagraph"/>
        <w:numPr>
          <w:ilvl w:val="0"/>
          <w:numId w:val="2"/>
        </w:numPr>
        <w:spacing w:after="80"/>
      </w:pPr>
      <w:r>
        <w:rPr>
          <w:sz w:val="22"/>
          <w:szCs w:val="22"/>
        </w:rPr>
        <w:t xml:space="preserve">Time Travel — DESCRIBE HISTORY and versionAsOf queries allow any table to be inspected as it appeared at a prior point, enabling rollback if a bad transformation reaches Gold before it is caught.</w:t>
      </w:r>
    </w:p>
    <w:p>
      <w:pPr>
        <w:pStyle w:val="ListParagraph"/>
        <w:numPr>
          <w:ilvl w:val="0"/>
          <w:numId w:val="2"/>
        </w:numPr>
        <w:spacing w:after="80"/>
      </w:pPr>
      <w:r>
        <w:rPr>
          <w:sz w:val="22"/>
          <w:szCs w:val="22"/>
        </w:rPr>
        <w:t xml:space="preserve">Schema Enforcement — a deliberately malformed write (incorrect column type) is rejected at write time rather than silently corrupting the table.</w:t>
      </w:r>
    </w:p>
    <w:p>
      <w:pPr>
        <w:pStyle w:val="ListParagraph"/>
        <w:numPr>
          <w:ilvl w:val="0"/>
          <w:numId w:val="2"/>
        </w:numPr>
        <w:spacing w:after="80"/>
      </w:pPr>
      <w:r>
        <w:rPr>
          <w:sz w:val="22"/>
          <w:szCs w:val="22"/>
        </w:rPr>
        <w:t xml:space="preserve">SCD Type 2 via MERGE INTO — a dim_technician dimension table tracks technician attribute history. A simulated technician-name update is merged in using Delta's MERGE operation, closing out the prior record (is_current = false, effective_end_date set) and inserting the new current record, preserving full historical accuracy for past job records.</w:t>
      </w:r>
    </w:p>
    <w:p>
      <w:pPr>
        <w:pStyle w:val="Heading1"/>
        <w:spacing w:after="160" w:before="320"/>
      </w:pPr>
      <w:r>
        <w:t xml:space="preserve">9. Technology Stack &amp; Justification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7300"/>
            <w:shd w:fill="1F3864" w:val="clear"/>
            <w:tcMar>
              <w:top w:type="dxa" w:w="80"/>
              <w:left w:type="dxa" w:w="120"/>
              <w:bottom w:type="dxa" w:w="80"/>
              <w:right w:type="dxa" w:w="120"/>
            </w:tcMar>
            <w:vAlign w:val="center"/>
          </w:tcPr>
          <w:p>
            <w:r>
              <w:rPr>
                <w:b/>
                <w:bCs/>
                <w:color w:val="FFFFFF"/>
                <w:sz w:val="20"/>
                <w:szCs w:val="20"/>
              </w:rPr>
              <w:t xml:space="preserve">Role in the Pipeline</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Python</w:t>
            </w:r>
          </w:p>
        </w:tc>
        <w:tc>
          <w:tcPr>
            <w:tcW w:type="dxa" w:w="7300"/>
            <w:tcMar>
              <w:top w:type="dxa" w:w="80"/>
              <w:left w:type="dxa" w:w="120"/>
              <w:bottom w:type="dxa" w:w="80"/>
              <w:right w:type="dxa" w:w="120"/>
            </w:tcMar>
            <w:vAlign w:val="center"/>
          </w:tcPr>
          <w:p>
            <w:r>
              <w:rPr>
                <w:b w:val="false"/>
                <w:bCs w:val="false"/>
                <w:color w:val="000000"/>
                <w:sz w:val="20"/>
                <w:szCs w:val="20"/>
              </w:rPr>
              <w:t xml:space="preserve">Data generation and ingestion scripting layer; in production, the connector pulling records from the operational CRM.</w:t>
            </w:r>
          </w:p>
        </w:tc>
      </w:tr>
      <w:tr>
        <w:tc>
          <w:tcPr>
            <w:tcW w:type="dxa" w:w="2200"/>
            <w:shd w:fill="F2F2F2" w:val="clear"/>
            <w:tcMar>
              <w:top w:type="dxa" w:w="80"/>
              <w:left w:type="dxa" w:w="120"/>
              <w:bottom w:type="dxa" w:w="80"/>
              <w:right w:type="dxa" w:w="120"/>
            </w:tcMar>
            <w:vAlign w:val="center"/>
          </w:tcPr>
          <w:p>
            <w:r>
              <w:rPr>
                <w:b w:val="false"/>
                <w:bCs w:val="false"/>
                <w:color w:val="000000"/>
                <w:sz w:val="20"/>
                <w:szCs w:val="20"/>
              </w:rPr>
              <w:t xml:space="preserve">PySpark</w:t>
            </w:r>
          </w:p>
        </w:tc>
        <w:tc>
          <w:tcPr>
            <w:tcW w:type="dxa" w:w="7300"/>
            <w:shd w:fill="F2F2F2" w:val="clear"/>
            <w:tcMar>
              <w:top w:type="dxa" w:w="80"/>
              <w:left w:type="dxa" w:w="120"/>
              <w:bottom w:type="dxa" w:w="80"/>
              <w:right w:type="dxa" w:w="120"/>
            </w:tcMar>
            <w:vAlign w:val="center"/>
          </w:tcPr>
          <w:p>
            <w:r>
              <w:rPr>
                <w:b w:val="false"/>
                <w:bCs w:val="false"/>
                <w:color w:val="000000"/>
                <w:sz w:val="20"/>
                <w:szCs w:val="20"/>
              </w:rPr>
              <w:t xml:space="preserve">Drives all transformations across Bronze, Silver, and Gold. Distributed processing means the same code scales from 1,500 records in development to millions in a national deployment.</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Databricks</w:t>
            </w:r>
          </w:p>
        </w:tc>
        <w:tc>
          <w:tcPr>
            <w:tcW w:type="dxa" w:w="7300"/>
            <w:tcMar>
              <w:top w:type="dxa" w:w="80"/>
              <w:left w:type="dxa" w:w="120"/>
              <w:bottom w:type="dxa" w:w="80"/>
              <w:right w:type="dxa" w:w="120"/>
            </w:tcMar>
            <w:vAlign w:val="center"/>
          </w:tcPr>
          <w:p>
            <w:r>
              <w:rPr>
                <w:b w:val="false"/>
                <w:bCs w:val="false"/>
                <w:color w:val="000000"/>
                <w:sz w:val="20"/>
                <w:szCs w:val="20"/>
              </w:rPr>
              <w:t xml:space="preserve">Managed Spark runtime; notebook-based environment for collaborative development, review, and iteration.</w:t>
            </w:r>
          </w:p>
        </w:tc>
      </w:tr>
      <w:tr>
        <w:tc>
          <w:tcPr>
            <w:tcW w:type="dxa" w:w="2200"/>
            <w:shd w:fill="F2F2F2" w:val="clear"/>
            <w:tcMar>
              <w:top w:type="dxa" w:w="80"/>
              <w:left w:type="dxa" w:w="120"/>
              <w:bottom w:type="dxa" w:w="80"/>
              <w:right w:type="dxa" w:w="120"/>
            </w:tcMar>
            <w:vAlign w:val="center"/>
          </w:tcPr>
          <w:p>
            <w:r>
              <w:rPr>
                <w:b w:val="false"/>
                <w:bCs w:val="false"/>
                <w:color w:val="000000"/>
                <w:sz w:val="20"/>
                <w:szCs w:val="20"/>
              </w:rPr>
              <w:t xml:space="preserve">Delta Lake</w:t>
            </w:r>
          </w:p>
        </w:tc>
        <w:tc>
          <w:tcPr>
            <w:tcW w:type="dxa" w:w="7300"/>
            <w:shd w:fill="F2F2F2" w:val="clear"/>
            <w:tcMar>
              <w:top w:type="dxa" w:w="80"/>
              <w:left w:type="dxa" w:w="120"/>
              <w:bottom w:type="dxa" w:w="80"/>
              <w:right w:type="dxa" w:w="120"/>
            </w:tcMar>
            <w:vAlign w:val="center"/>
          </w:tcPr>
          <w:p>
            <w:r>
              <w:rPr>
                <w:b w:val="false"/>
                <w:bCs w:val="false"/>
                <w:color w:val="000000"/>
                <w:sz w:val="20"/>
                <w:szCs w:val="20"/>
              </w:rPr>
              <w:t xml:space="preserve">Storage layer providing ACID guarantees, time travel, schema enforcement, and MERGE-based SCD Type 2 tracking.</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SQL</w:t>
            </w:r>
          </w:p>
        </w:tc>
        <w:tc>
          <w:tcPr>
            <w:tcW w:type="dxa" w:w="7300"/>
            <w:tcMar>
              <w:top w:type="dxa" w:w="80"/>
              <w:left w:type="dxa" w:w="120"/>
              <w:bottom w:type="dxa" w:w="80"/>
              <w:right w:type="dxa" w:w="120"/>
            </w:tcMar>
            <w:vAlign w:val="center"/>
          </w:tcPr>
          <w:p>
            <w:r>
              <w:rPr>
                <w:b w:val="false"/>
                <w:bCs w:val="false"/>
                <w:color w:val="000000"/>
                <w:sz w:val="20"/>
                <w:szCs w:val="20"/>
              </w:rPr>
              <w:t xml:space="preserve">The access layer — Gold tables are queryable directly by analysts and managers without engineering involvement.</w:t>
            </w:r>
          </w:p>
        </w:tc>
      </w:tr>
    </w:tbl>
    <w:p>
      <w:pPr>
        <w:pStyle w:val="Heading1"/>
        <w:spacing w:after="160" w:before="320"/>
      </w:pPr>
      <w:r>
        <w:t xml:space="preserve">10. Business Value &amp; Operational Impact</w:t>
      </w:r>
    </w:p>
    <w:p>
      <w:pPr>
        <w:pStyle w:val="ListParagraph"/>
        <w:numPr>
          <w:ilvl w:val="0"/>
          <w:numId w:val="2"/>
        </w:numPr>
        <w:spacing w:after="80"/>
      </w:pPr>
      <w:r>
        <w:rPr>
          <w:sz w:val="22"/>
          <w:szCs w:val="22"/>
        </w:rPr>
        <w:t xml:space="preserve">Technician Performance Management — identify technicians consistently slower than peers; calibrate training or workload distribution based on data, not anecdote.</w:t>
      </w:r>
    </w:p>
    <w:p>
      <w:pPr>
        <w:pStyle w:val="ListParagraph"/>
        <w:numPr>
          <w:ilvl w:val="0"/>
          <w:numId w:val="2"/>
        </w:numPr>
        <w:spacing w:after="80"/>
      </w:pPr>
      <w:r>
        <w:rPr>
          <w:sz w:val="22"/>
          <w:szCs w:val="22"/>
        </w:rPr>
        <w:t xml:space="preserve">Quality Assurance — repeat customers returning for the same fault category signal either a device quality issue or an incomplete first repair.</w:t>
      </w:r>
    </w:p>
    <w:p>
      <w:pPr>
        <w:pStyle w:val="ListParagraph"/>
        <w:numPr>
          <w:ilvl w:val="0"/>
          <w:numId w:val="2"/>
        </w:numPr>
        <w:spacing w:after="80"/>
      </w:pPr>
      <w:r>
        <w:rPr>
          <w:sz w:val="22"/>
          <w:szCs w:val="22"/>
        </w:rPr>
        <w:t xml:space="preserve">Delay Reduction — surfacing the delay rate (31.6% of completed jobs in this dataset) makes an invisible problem visible and actionable.</w:t>
      </w:r>
    </w:p>
    <w:p>
      <w:pPr>
        <w:pStyle w:val="ListParagraph"/>
        <w:numPr>
          <w:ilvl w:val="0"/>
          <w:numId w:val="2"/>
        </w:numPr>
        <w:spacing w:after="80"/>
      </w:pPr>
      <w:r>
        <w:rPr>
          <w:sz w:val="22"/>
          <w:szCs w:val="22"/>
        </w:rPr>
        <w:t xml:space="preserve">Operational Planning — device brand and fault-type trends inform spare-parts procurement, staffing, and supplier feedback.</w:t>
      </w:r>
    </w:p>
    <w:p>
      <w:pPr>
        <w:pStyle w:val="ListParagraph"/>
        <w:numPr>
          <w:ilvl w:val="0"/>
          <w:numId w:val="2"/>
        </w:numPr>
        <w:spacing w:after="80"/>
      </w:pPr>
      <w:r>
        <w:rPr>
          <w:sz w:val="22"/>
          <w:szCs w:val="22"/>
        </w:rPr>
        <w:t xml:space="preserve">Customer Experience — a clean customer-level interaction history gives front-desk staff context before a customer even states their reason for visiting.</w:t>
      </w:r>
    </w:p>
    <w:p>
      <w:pPr>
        <w:pStyle w:val="Heading1"/>
        <w:spacing w:after="160" w:before="320"/>
      </w:pPr>
      <w:r>
        <w:t xml:space="preserve">11. Conclusion</w:t>
      </w:r>
    </w:p>
    <w:p>
      <w:pPr>
        <w:spacing w:after="160"/>
        <w:jc w:val="both"/>
      </w:pPr>
      <w:r>
        <w:rPr>
          <w:sz w:val="22"/>
          <w:szCs w:val="22"/>
        </w:rPr>
        <w:t xml:space="preserve">ServiceTrack demonstrates a complete, production-oriented data engineering pipeline: Bronze preserves the source, Silver establishes quality and business context, and Gold serves the stakeholder. Each layer has a single, clear responsibility, making the pipeline easy to understand, debug, extend, and hand off. Built natively on PySpark, Delta Lake, and Databricks, and validated end-to-end against the real 1,510-record dataset, the pipeline is ready to scale from a single service center to a national chain without modification to its core logic.</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ServiceTrack — Data Engineering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2026-07-13T03:18:21.555Z</dcterms:created>
  <dcterms:modified xsi:type="dcterms:W3CDTF">2026-07-13T03:18:21.567Z</dcterms:modified>
</cp:coreProperties>
</file>

<file path=docProps/custom.xml><?xml version="1.0" encoding="utf-8"?>
<Properties xmlns="http://schemas.openxmlformats.org/officeDocument/2006/custom-properties" xmlns:vt="http://schemas.openxmlformats.org/officeDocument/2006/docPropsVTypes"/>
</file>