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Healing &amp; Regenerative Peptides (Document 2)</w:t>
      </w:r>
    </w:p>
    <w:p>
      <w:pPr>
        <w:pStyle w:val="Heading2"/>
      </w:pPr>
      <w:r>
        <w:t>BPC‑157</w:t>
      </w:r>
    </w:p>
    <w:p>
      <w:r>
        <w:t>Category: Healing Peptide • Tissue Support • Gut &amp; Soft‑Tissue Wellness</w:t>
      </w:r>
    </w:p>
    <w:p/>
    <w:p>
      <w:r>
        <w:t>Description:</w:t>
      </w:r>
    </w:p>
    <w:p>
      <w:r>
        <w:t>BPC‑157 is a synthetic peptide fragment derived from a naturally occurring protein found in the stomach. In wellness settings, individuals explore BPC‑157 for its potential role in supporting soft‑tissue recovery, tendon comfort, and general wellness during physical activity. Some users also describe perceived digestive harmony or reduced local discomfort when BPC‑157 is included in a broader recovery routine.</w:t>
      </w:r>
    </w:p>
    <w:p/>
    <w:p>
      <w:r>
        <w:t>Research is still developing, and effects vary widely among users due to differences in activity level, wellness status, and dose tolerance.</w:t>
      </w:r>
    </w:p>
    <w:p/>
    <w:p>
      <w:r>
        <w:t>Commonly Reported Dosing Ranges (Wellness Settings):</w:t>
      </w:r>
    </w:p>
    <w:p>
      <w:r>
        <w:t>• 200–500 mcg once or twice daily</w:t>
      </w:r>
    </w:p>
    <w:p>
      <w:r>
        <w:t>• Some wellness routines use ~250 mcg daily for general support</w:t>
      </w:r>
    </w:p>
    <w:p/>
    <w:p>
      <w:r>
        <w:t>Typical Protocol (Educational Purposes Only):</w:t>
      </w:r>
    </w:p>
    <w:p>
      <w:r>
        <w:t>• 200–500 mcg subcutaneously near the area of discomfort, once or twice daily</w:t>
      </w:r>
    </w:p>
    <w:p>
      <w:r>
        <w:t>• Some individuals follow 2–4 week cycles</w:t>
      </w:r>
    </w:p>
    <w:p/>
    <w:p>
      <w:r>
        <w:t>Administration:</w:t>
      </w:r>
    </w:p>
    <w:p>
      <w:r>
        <w:t>• Subcutaneous injection (near target area if desired)</w:t>
      </w:r>
    </w:p>
    <w:p>
      <w:r>
        <w:t>• Rotate injection sites regularly</w:t>
      </w:r>
    </w:p>
    <w:p>
      <w:r>
        <w:t>• Store reconstituted vials in the refrigerator</w:t>
      </w:r>
    </w:p>
    <w:p/>
    <w:p>
      <w:r>
        <w:t>Notes:</w:t>
      </w:r>
    </w:p>
    <w:p>
      <w:r>
        <w:t>• Often discussed in combination with TB‑500, though stacking should be clinician‑guided</w:t>
      </w:r>
    </w:p>
    <w:p>
      <w:r>
        <w:t>• Effects, when present, may build gradually</w:t>
      </w:r>
    </w:p>
    <w:p>
      <w:r>
        <w:t>• Wellness users frequently combine BPC‑157 with stretching, physical therapy, or mobility work</w:t>
      </w:r>
    </w:p>
    <w:p/>
    <w:p>
      <w:r>
        <w:t>Disclaimer:</w:t>
      </w:r>
    </w:p>
    <w:p>
      <w:r>
        <w:t>This information is for educational purposes only and is not medical advice. BPC‑157 is not FDA‑approved for injury treatment, healing, or disease prevention.</w:t>
      </w:r>
    </w:p>
    <w:p/>
    <w:p>
      <w:r>
        <w:t>Medical Safety Notice:</w:t>
      </w:r>
    </w:p>
    <w:p>
      <w:r>
        <w:t>Always consult a licensed healthcare professional before starting, stopping, or combining any peptide.</w:t>
      </w:r>
    </w:p>
    <w:p>
      <w:pPr>
        <w:pStyle w:val="Heading2"/>
      </w:pPr>
      <w:r>
        <w:t>TB‑500</w:t>
      </w:r>
    </w:p>
    <w:p>
      <w:r>
        <w:t>Category: Regenerative Peptide • Tissue Mobility • Recovery Support</w:t>
      </w:r>
    </w:p>
    <w:p/>
    <w:p>
      <w:r>
        <w:t>Description:</w:t>
      </w:r>
    </w:p>
    <w:p>
      <w:r>
        <w:t>TB‑500 is a synthetic version of thymosin beta‑4, a protein involved in cell migration and tissue support. In wellness environments, individuals explore TB‑500 for perceived benefits related to flexibility, movement comfort, and post‑activity recovery. It is widely discussed in performance and athletic communities.</w:t>
      </w:r>
    </w:p>
    <w:p/>
    <w:p>
      <w:r>
        <w:t>Experiences vary, and TB‑500 is often used as part of a multi‑week wellness cycle rather than short-term use.</w:t>
      </w:r>
    </w:p>
    <w:p/>
    <w:p>
      <w:r>
        <w:t>Commonly Reported Dosing Ranges (Wellness Settings):</w:t>
      </w:r>
    </w:p>
    <w:p>
      <w:r>
        <w:t>• Loading phase: 2.0–2.5 mg twice weekly for several weeks</w:t>
      </w:r>
    </w:p>
    <w:p>
      <w:r>
        <w:t>• Maintenance: 2.0–2.5 mg weekly or biweekly</w:t>
      </w:r>
    </w:p>
    <w:p/>
    <w:p>
      <w:r>
        <w:t>Typical Protocol (Educational Purposes Only):</w:t>
      </w:r>
    </w:p>
    <w:p>
      <w:r>
        <w:t>• Weeks 1–4: 2.5 mg twice weekly</w:t>
      </w:r>
    </w:p>
    <w:p>
      <w:r>
        <w:t>• Weeks 5+: 2.5 mg every 1–2 weeks for maintenance</w:t>
      </w:r>
    </w:p>
    <w:p/>
    <w:p>
      <w:r>
        <w:t>Administration:</w:t>
      </w:r>
    </w:p>
    <w:p>
      <w:r>
        <w:t>• Subcutaneous injection</w:t>
      </w:r>
    </w:p>
    <w:p>
      <w:r>
        <w:t>• Some users inject near areas of tension or discomfort</w:t>
      </w:r>
    </w:p>
    <w:p>
      <w:r>
        <w:t>• Store reconstituted vials in the refrigerator</w:t>
      </w:r>
    </w:p>
    <w:p/>
    <w:p>
      <w:r>
        <w:t>Notes:</w:t>
      </w:r>
    </w:p>
    <w:p>
      <w:r>
        <w:t>• Often paired with BPC‑157 for broader recovery routines</w:t>
      </w:r>
    </w:p>
    <w:p>
      <w:r>
        <w:t>• May support mobility-focused wellness programs</w:t>
      </w:r>
    </w:p>
    <w:p>
      <w:r>
        <w:t>• Users frequently combine TB‑500 with stretching and physical training</w:t>
      </w:r>
    </w:p>
    <w:p/>
    <w:p>
      <w:r>
        <w:t>Disclaimer:</w:t>
      </w:r>
    </w:p>
    <w:p>
      <w:r>
        <w:t>This information is for educational purposes only and is not medical advice. TB‑500 is not FDA‑approved for injury treatment or regeneration.</w:t>
      </w:r>
    </w:p>
    <w:p/>
    <w:p>
      <w:r>
        <w:t>Medical Safety Notice:</w:t>
      </w:r>
    </w:p>
    <w:p>
      <w:r>
        <w:t>Always consult a licensed healthcare professional before starting, stopping, or combining any peptide.</w:t>
      </w:r>
    </w:p>
    <w:p>
      <w:pPr>
        <w:pStyle w:val="Heading2"/>
      </w:pPr>
      <w:r>
        <w:t>LL‑37</w:t>
      </w:r>
    </w:p>
    <w:p>
      <w:r>
        <w:t>Category: Antimicrobial Peptide • Immune &amp; Tissue Support</w:t>
      </w:r>
    </w:p>
    <w:p/>
    <w:p>
      <w:r>
        <w:t>Description:</w:t>
      </w:r>
    </w:p>
    <w:p>
      <w:r>
        <w:t>LL‑37 is a naturally occurring antimicrobial peptide involved in innate immune system signaling. In wellness spaces, LL‑37 is sometimes explored for its potential role in supporting general immune balance and tissue wellness, although experiences vary and research is still developing.</w:t>
      </w:r>
    </w:p>
    <w:p/>
    <w:p>
      <w:r>
        <w:t>Because LL‑37 affects immune pathways, wellness use should be approached cautiously and ideally under professional guidance.</w:t>
      </w:r>
    </w:p>
    <w:p/>
    <w:p>
      <w:r>
        <w:t>Commonly Reported Dosing Ranges (Wellness Settings):</w:t>
      </w:r>
    </w:p>
    <w:p>
      <w:r>
        <w:t>• Highly variable; 100–500 mcg administered intermittently in wellness routines</w:t>
      </w:r>
    </w:p>
    <w:p/>
    <w:p>
      <w:r>
        <w:t>Typical Protocol (Educational Purposes Only):</w:t>
      </w:r>
    </w:p>
    <w:p>
      <w:r>
        <w:t>• Short intermittent cycles (for example, 2–3 times per week) are commonly discussed in wellness communities</w:t>
      </w:r>
    </w:p>
    <w:p/>
    <w:p>
      <w:r>
        <w:t>Administration:</w:t>
      </w:r>
    </w:p>
    <w:p>
      <w:r>
        <w:t>• Subcutaneous injection</w:t>
      </w:r>
    </w:p>
    <w:p>
      <w:r>
        <w:t>• Rotate injection sites regularly</w:t>
      </w:r>
    </w:p>
    <w:p>
      <w:r>
        <w:t>• Refrigerate after reconstitution</w:t>
      </w:r>
    </w:p>
    <w:p/>
    <w:p>
      <w:r>
        <w:t>Notes:</w:t>
      </w:r>
    </w:p>
    <w:p>
      <w:r>
        <w:t>• May cause sensitivity reactions in some individuals</w:t>
      </w:r>
    </w:p>
    <w:p>
      <w:r>
        <w:t>• Due to immune‑modulating properties, clinician oversight is strongly recommended</w:t>
      </w:r>
    </w:p>
    <w:p/>
    <w:p>
      <w:r>
        <w:t>Disclaimer:</w:t>
      </w:r>
    </w:p>
    <w:p>
      <w:r>
        <w:t>This information is for educational purposes only and is not medical advice. LL‑37 is not FDA‑approved for immune treatment or antimicrobial therapy.</w:t>
      </w:r>
    </w:p>
    <w:p/>
    <w:p>
      <w:r>
        <w:t>Medical Safety Notice:</w:t>
      </w:r>
    </w:p>
    <w:p>
      <w:r>
        <w:t>Always consult a licensed healthcare professional before starting, stopping, or combining any peptide.</w:t>
      </w:r>
    </w:p>
    <w:p>
      <w:pPr>
        <w:pStyle w:val="Heading2"/>
      </w:pPr>
      <w:r>
        <w:t>KPV</w:t>
      </w:r>
    </w:p>
    <w:p>
      <w:r>
        <w:t>Category: Anti‑Inflammatory Support Peptide • Immune &amp; Tissue Comfort</w:t>
      </w:r>
    </w:p>
    <w:p/>
    <w:p>
      <w:r>
        <w:t>Description:</w:t>
      </w:r>
    </w:p>
    <w:p>
      <w:r>
        <w:t>KPV is a short peptide fragment derived from the alpha‑MSH hormone and is discussed in wellness environments for its potential role in supporting inflammation balance, skin comfort, and gut wellness. Individuals exploring KPV often include it as part of wellness routines focused on comfort and recovery.</w:t>
      </w:r>
    </w:p>
    <w:p/>
    <w:p>
      <w:r>
        <w:t>Individual responses vary, and effects may develop gradually.</w:t>
      </w:r>
    </w:p>
    <w:p/>
    <w:p>
      <w:r>
        <w:t>Commonly Reported Dosing Ranges (Wellness Settings):</w:t>
      </w:r>
    </w:p>
    <w:p>
      <w:r>
        <w:t>• 200–500 mcg once or twice daily</w:t>
      </w:r>
    </w:p>
    <w:p>
      <w:r>
        <w:t>• Some individuals use oral or capsule versions depending on supplier</w:t>
      </w:r>
    </w:p>
    <w:p/>
    <w:p>
      <w:r>
        <w:t>Typical Protocol (Educational Purposes Only):</w:t>
      </w:r>
    </w:p>
    <w:p>
      <w:r>
        <w:t>• 250–500 mcg subcutaneously once or twice daily</w:t>
      </w:r>
    </w:p>
    <w:p>
      <w:r>
        <w:t>• Cycles commonly range from 2–6 weeks</w:t>
      </w:r>
    </w:p>
    <w:p/>
    <w:p>
      <w:r>
        <w:t>Administration:</w:t>
      </w:r>
    </w:p>
    <w:p>
      <w:r>
        <w:t>• Subcutaneous injection</w:t>
      </w:r>
    </w:p>
    <w:p>
      <w:r>
        <w:t>• Oral versions also exist in some wellness settings</w:t>
      </w:r>
    </w:p>
    <w:p>
      <w:r>
        <w:t>• Store according to supplier guidance</w:t>
      </w:r>
    </w:p>
    <w:p/>
    <w:p>
      <w:r>
        <w:t>Notes:</w:t>
      </w:r>
    </w:p>
    <w:p>
      <w:r>
        <w:t>• Sometimes paired with BPC‑157 or TB‑500 in wellness stacks</w:t>
      </w:r>
    </w:p>
    <w:p>
      <w:r>
        <w:t>• Users often report mild effects related to comfort or calmness</w:t>
      </w:r>
    </w:p>
    <w:p/>
    <w:p>
      <w:r>
        <w:t>Disclaimer:</w:t>
      </w:r>
    </w:p>
    <w:p>
      <w:r>
        <w:t>This information is for educational purposes only and is not medical advice. KPV is not FDA‑approved for inflammation treatment or gut healing.</w:t>
      </w:r>
    </w:p>
    <w:p/>
    <w:p>
      <w:r>
        <w:t>Medical Safety Notice:</w:t>
      </w:r>
    </w:p>
    <w:p>
      <w:r>
        <w:t>Always consult a licensed healthcare professional before starting, stopping, or combining any peptide or supplement.</w:t>
      </w:r>
    </w:p>
    <w:p>
      <w:pPr>
        <w:pStyle w:val="Heading2"/>
      </w:pPr>
      <w:r>
        <w:t>ARA‑290</w:t>
      </w:r>
    </w:p>
    <w:p>
      <w:r>
        <w:t>Category: Tissue &amp; Nerve Wellness Peptide • Anti‑Inflammatory Support</w:t>
      </w:r>
    </w:p>
    <w:p/>
    <w:p>
      <w:r>
        <w:t>Description:</w:t>
      </w:r>
    </w:p>
    <w:p>
      <w:r>
        <w:t>ARA‑290 (also called Cibinetide) is a peptide studied for its potential interaction with receptors involved in inflammation regulation and nerve health. In wellness settings, individuals explore ARA‑290 for perceived support of comfort, nerve balance, or tissue wellness—though human data are limited.</w:t>
      </w:r>
    </w:p>
    <w:p/>
    <w:p>
      <w:r>
        <w:t>Commonly Reported Dosing Ranges (Wellness Settings):</w:t>
      </w:r>
    </w:p>
    <w:p>
      <w:r>
        <w:t>• 2 mg administered several times per week in wellness-style routines</w:t>
      </w:r>
    </w:p>
    <w:p/>
    <w:p>
      <w:r>
        <w:t>Typical Protocol (Educational Purposes Only):</w:t>
      </w:r>
    </w:p>
    <w:p>
      <w:r>
        <w:t>• 1–2 mg subcutaneously, 2–3× weekly for several weeks</w:t>
      </w:r>
    </w:p>
    <w:p>
      <w:r>
        <w:t>• Cycles vary widely as research is still developing</w:t>
      </w:r>
    </w:p>
    <w:p/>
    <w:p>
      <w:r>
        <w:t>Administration:</w:t>
      </w:r>
    </w:p>
    <w:p>
      <w:r>
        <w:t>• Subcutaneous injection</w:t>
      </w:r>
    </w:p>
    <w:p>
      <w:r>
        <w:t>• Rotate injection sites</w:t>
      </w:r>
    </w:p>
    <w:p>
      <w:r>
        <w:t>• Refrigerate after reconstitution</w:t>
      </w:r>
    </w:p>
    <w:p/>
    <w:p>
      <w:r>
        <w:t>Notes:</w:t>
      </w:r>
    </w:p>
    <w:p>
      <w:r>
        <w:t>• Considered an advanced peptide due to limited research</w:t>
      </w:r>
    </w:p>
    <w:p>
      <w:r>
        <w:t>• Should be used only with clinician oversight</w:t>
      </w:r>
    </w:p>
    <w:p/>
    <w:p>
      <w:r>
        <w:t>Disclaimer:</w:t>
      </w:r>
    </w:p>
    <w:p>
      <w:r>
        <w:t>This information is for educational purposes only and is not medical advice. ARA‑290 is not FDA‑approved for nerve healing or inflammation treatment.</w:t>
      </w:r>
    </w:p>
    <w:p/>
    <w:p>
      <w:r>
        <w:t>Medical Safety Notice:</w:t>
      </w:r>
    </w:p>
    <w:p>
      <w:r>
        <w:t>Always consult a licensed healthcare professional before starting, stopping, or combining any peptide.</w:t>
      </w:r>
    </w:p>
    <w:p>
      <w:pPr>
        <w:pStyle w:val="Heading2"/>
      </w:pPr>
      <w:r>
        <w:t>PNC‑27</w:t>
      </w:r>
    </w:p>
    <w:p>
      <w:r>
        <w:t>Category: Experimental Peptide • Cellular Wellness Research</w:t>
      </w:r>
    </w:p>
    <w:p/>
    <w:p>
      <w:r>
        <w:t>Description:</w:t>
      </w:r>
    </w:p>
    <w:p>
      <w:r>
        <w:t>PNC‑27 is an experimental research peptide primarily studied in laboratory models. Wellness discussions sometimes include PNC‑27 for speculative cellular‑support roles, but human safety data are extremely limited. It is considered a high‑risk, experimental compound.</w:t>
      </w:r>
    </w:p>
    <w:p/>
    <w:p>
      <w:r>
        <w:t>Commonly Reported Dosing Ranges (Wellness Settings):</w:t>
      </w:r>
    </w:p>
    <w:p>
      <w:r>
        <w:t>• No standardized or clinically supported dosing exists</w:t>
      </w:r>
    </w:p>
    <w:p/>
    <w:p>
      <w:r>
        <w:t>Typical Protocol (Educational Purposes Only):</w:t>
      </w:r>
    </w:p>
    <w:p>
      <w:r>
        <w:t>• No established wellness protocols due to limited research</w:t>
      </w:r>
    </w:p>
    <w:p/>
    <w:p>
      <w:r>
        <w:t>Administration:</w:t>
      </w:r>
    </w:p>
    <w:p>
      <w:r>
        <w:t>• Subcutaneous injection in research environments</w:t>
      </w:r>
    </w:p>
    <w:p/>
    <w:p>
      <w:r>
        <w:t>Notes:</w:t>
      </w:r>
    </w:p>
    <w:p>
      <w:r>
        <w:t>• Should be approached with extreme caution</w:t>
      </w:r>
    </w:p>
    <w:p>
      <w:r>
        <w:t>• Not recommended for general wellness use without clinician supervision</w:t>
      </w:r>
    </w:p>
    <w:p/>
    <w:p>
      <w:r>
        <w:t>Disclaimer:</w:t>
      </w:r>
    </w:p>
    <w:p>
      <w:r>
        <w:t>This information is for educational purposes only and is not medical advice. PNC‑27 is not FDA‑approved and lacks human safety validation.</w:t>
      </w:r>
    </w:p>
    <w:p/>
    <w:p>
      <w:r>
        <w:t>Medical Safety Notice:</w:t>
      </w:r>
    </w:p>
    <w:p>
      <w:r>
        <w:t>Always consult a licensed healthcare professional before using any experimental peptide.</w:t>
      </w:r>
    </w:p>
    <w:p>
      <w:pPr>
        <w:pStyle w:val="Heading2"/>
      </w:pPr>
      <w:r>
        <w:t>FOXO4‑DRI</w:t>
      </w:r>
    </w:p>
    <w:p>
      <w:r>
        <w:t>Category: Senolytic Research Peptide • Cellular Longevity Support</w:t>
      </w:r>
    </w:p>
    <w:p/>
    <w:p>
      <w:r>
        <w:t>Description:</w:t>
      </w:r>
    </w:p>
    <w:p>
      <w:r>
        <w:t>FOXO4‑DRI is a laboratory‑engineered peptide researched for its potential impact on senescent cell pathways. In longevity and wellness circles, FOXO4‑DRI is discussed for its speculative role in cellular health. Human data are extremely limited, and experiences vary widely.</w:t>
      </w:r>
    </w:p>
    <w:p/>
    <w:p>
      <w:r>
        <w:t>Because it may influence cell‑cycle processes, FOXO4‑DRI is considered highly experimental.</w:t>
      </w:r>
    </w:p>
    <w:p/>
    <w:p>
      <w:r>
        <w:t>Commonly Reported Dosing Ranges (Wellness Settings):</w:t>
      </w:r>
    </w:p>
    <w:p>
      <w:r>
        <w:t>• No validated or standardized dosing exists</w:t>
      </w:r>
    </w:p>
    <w:p>
      <w:r>
        <w:t>• Community reports describe intermittent cycle dosing, but these lack clinical basis</w:t>
      </w:r>
    </w:p>
    <w:p/>
    <w:p>
      <w:r>
        <w:t>Typical Protocol (Educational Purposes Only):</w:t>
      </w:r>
    </w:p>
    <w:p>
      <w:r>
        <w:t>• No established protocol due to limited human evidence</w:t>
      </w:r>
    </w:p>
    <w:p/>
    <w:p>
      <w:r>
        <w:t>Administration:</w:t>
      </w:r>
    </w:p>
    <w:p>
      <w:r>
        <w:t>• Subcutaneous injection in research environments</w:t>
      </w:r>
    </w:p>
    <w:p/>
    <w:p>
      <w:r>
        <w:t>Notes:</w:t>
      </w:r>
    </w:p>
    <w:p>
      <w:r>
        <w:t>• High‑risk experimental peptide</w:t>
      </w:r>
    </w:p>
    <w:p>
      <w:r>
        <w:t>• Should not be used without direct clinician guidance</w:t>
      </w:r>
    </w:p>
    <w:p/>
    <w:p>
      <w:r>
        <w:t>Disclaimer:</w:t>
      </w:r>
    </w:p>
    <w:p>
      <w:r>
        <w:t>This information is for educational purposes only and is not medical advice. FOXO4‑DRI is not FDA‑approved for longevity or cellular therapy.</w:t>
      </w:r>
    </w:p>
    <w:p/>
    <w:p>
      <w:r>
        <w:t>Medical Safety Notice:</w:t>
      </w:r>
    </w:p>
    <w:p>
      <w:r>
        <w:t>Always consult a licensed healthcare professional before starting, stopping, or combining any experimental peptide.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