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>IncuBrix 30-Day Social Launch Kit</w:t>
      </w:r>
    </w:p>
    <w:p>
      <w:pPr>
        <w:pStyle w:val="Heading1"/>
      </w:pPr>
      <w:r>
        <w:rPr/>
        <w:t>Executive summary</w:t>
      </w:r>
    </w:p>
    <w:p>
      <w:pPr/>
      <w:r>
        <w:rPr/>
        <w:t>Prepare a proof-led content program for podcasters, YouTubers, expert-led creators, editors, and small content teams. Publish across LinkedIn, Instagram, YouTube Shorts, X, and Threads. Every post carries an asset-level UTM. The first week establishes a baseline; all targets below are assumptions to reset after real data exists.</w:t>
      </w:r>
    </w:p>
    <w:p>
      <w:pPr>
        <w:pStyle w:val="Heading1"/>
      </w:pPr>
      <w:r>
        <w:rPr/>
        <w:t>Audience and geography</w:t>
      </w:r>
    </w:p>
    <w:p>
      <w:pPr/>
      <w:r>
        <w:rPr/>
        <w:t>Primary audience: solo and 1–5 person teams already producing long-form audio or video at least monthly and struggling to repurpose it consistently. Buyers and influencers include creators, editors, content managers, coaches, and founders. Priority regions: United States, Canada, United Kingdom, Ireland, Australia, New Zealand, and Singapore.</w:t>
      </w:r>
    </w:p>
    <w:p>
      <w:pPr>
        <w:pStyle w:val="Heading1"/>
      </w:pPr>
      <w:r>
        <w:rPr/>
        <w:t>Platform strategy</w:t>
      </w:r>
    </w:p>
    <w:tbl>
      <w:tblPr>
        <w:tblStyle w:val="TableGrid"/>
        <w:tblW w:w="0" w:type="auto"/>
      </w:tblPr>
      <w:tr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Platform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Role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Why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Starting cadence</w:t>
            </w:r>
          </w:p>
        </w:tc>
      </w:tr>
      <w:tr>
        <w:tc>
          <w:tcPr/>
          <w:p>
            <w:r>
              <w:rPr>
                <w:sz w:val="17"/>
              </w:rPr>
              <w:t>LinkedIn</w:t>
            </w:r>
          </w:p>
        </w:tc>
        <w:tc>
          <w:tcPr/>
          <w:p>
            <w:r>
              <w:rPr>
                <w:sz w:val="17"/>
              </w:rPr>
              <w:t>Primary</w:t>
            </w:r>
          </w:p>
        </w:tc>
        <w:tc>
          <w:tcPr/>
          <w:p>
            <w:r>
              <w:rPr>
                <w:sz w:val="17"/>
              </w:rPr>
              <w:t>Expert creators, founders, and saveable carousels</w:t>
            </w:r>
          </w:p>
        </w:tc>
        <w:tc>
          <w:tcPr/>
          <w:p>
            <w:r>
              <w:rPr>
                <w:sz w:val="17"/>
              </w:rPr>
              <w:t>5/week</w:t>
            </w:r>
          </w:p>
        </w:tc>
      </w:tr>
      <w:tr>
        <w:tc>
          <w:tcPr/>
          <w:p>
            <w:r>
              <w:rPr>
                <w:sz w:val="17"/>
              </w:rPr>
              <w:t>Instagram</w:t>
            </w:r>
          </w:p>
        </w:tc>
        <w:tc>
          <w:tcPr/>
          <w:p>
            <w:r>
              <w:rPr>
                <w:sz w:val="17"/>
              </w:rPr>
              <w:t>Primary</w:t>
            </w:r>
          </w:p>
        </w:tc>
        <w:tc>
          <w:tcPr/>
          <w:p>
            <w:r>
              <w:rPr>
                <w:sz w:val="17"/>
              </w:rPr>
              <w:t>Reels and carousel-native creator education</w:t>
            </w:r>
          </w:p>
        </w:tc>
        <w:tc>
          <w:tcPr/>
          <w:p>
            <w:r>
              <w:rPr>
                <w:sz w:val="17"/>
              </w:rPr>
              <w:t>4/week</w:t>
            </w:r>
          </w:p>
        </w:tc>
      </w:tr>
      <w:tr>
        <w:tc>
          <w:tcPr/>
          <w:p>
            <w:r>
              <w:rPr>
                <w:sz w:val="17"/>
              </w:rPr>
              <w:t>YouTube Shorts</w:t>
            </w:r>
          </w:p>
        </w:tc>
        <w:tc>
          <w:tcPr/>
          <w:p>
            <w:r>
              <w:rPr>
                <w:sz w:val="17"/>
              </w:rPr>
              <w:t>Primary</w:t>
            </w:r>
          </w:p>
        </w:tc>
        <w:tc>
          <w:tcPr/>
          <w:p>
            <w:r>
              <w:rPr>
                <w:sz w:val="17"/>
              </w:rPr>
              <w:t>Natural extension of long-form back catalogues</w:t>
            </w:r>
          </w:p>
        </w:tc>
        <w:tc>
          <w:tcPr/>
          <w:p>
            <w:r>
              <w:rPr>
                <w:sz w:val="17"/>
              </w:rPr>
              <w:t>3/week</w:t>
            </w:r>
          </w:p>
        </w:tc>
      </w:tr>
      <w:tr>
        <w:tc>
          <w:tcPr/>
          <w:p>
            <w:r>
              <w:rPr>
                <w:sz w:val="17"/>
              </w:rPr>
              <w:t>X</w:t>
            </w:r>
          </w:p>
        </w:tc>
        <w:tc>
          <w:tcPr/>
          <w:p>
            <w:r>
              <w:rPr>
                <w:sz w:val="17"/>
              </w:rPr>
              <w:t>Experiment</w:t>
            </w:r>
          </w:p>
        </w:tc>
        <w:tc>
          <w:tcPr/>
          <w:p>
            <w:r>
              <w:rPr>
                <w:sz w:val="17"/>
              </w:rPr>
              <w:t>Fast hook and copy testing</w:t>
            </w:r>
          </w:p>
        </w:tc>
        <w:tc>
          <w:tcPr/>
          <w:p>
            <w:r>
              <w:rPr>
                <w:sz w:val="17"/>
              </w:rPr>
              <w:t>5/week</w:t>
            </w:r>
          </w:p>
        </w:tc>
      </w:tr>
      <w:tr>
        <w:tc>
          <w:tcPr/>
          <w:p>
            <w:r>
              <w:rPr>
                <w:sz w:val="17"/>
              </w:rPr>
              <w:t>Threads</w:t>
            </w:r>
          </w:p>
        </w:tc>
        <w:tc>
          <w:tcPr/>
          <w:p>
            <w:r>
              <w:rPr>
                <w:sz w:val="17"/>
              </w:rPr>
              <w:t>Experiment</w:t>
            </w:r>
          </w:p>
        </w:tc>
        <w:tc>
          <w:tcPr/>
          <w:p>
            <w:r>
              <w:rPr>
                <w:sz w:val="17"/>
              </w:rPr>
              <w:t>Low-production conversation and reposting</w:t>
            </w:r>
          </w:p>
        </w:tc>
        <w:tc>
          <w:tcPr/>
          <w:p>
            <w:r>
              <w:rPr>
                <w:sz w:val="17"/>
              </w:rPr>
              <w:t>3/week</w:t>
            </w:r>
          </w:p>
        </w:tc>
      </w:tr>
    </w:tbl>
    <w:p>
      <w:pPr/>
      <w:r>
        <w:rPr/>
        <w:t>Keep the best two channels by qualified clicks per post after enough comparable posts exist. Do not call a platform a failure from one post.</w:t>
      </w:r>
    </w:p>
    <w:p>
      <w:pPr>
        <w:pStyle w:val="Heading1"/>
      </w:pPr>
      <w:r>
        <w:rPr/>
        <w:t>Content pillars and voice</w:t>
      </w:r>
    </w:p>
    <w:p>
      <w:pPr>
        <w:pStyle w:val="ListNumber"/>
      </w:pPr>
      <w:r>
        <w:rPr/>
        <w:t>Hooks and openings — earn the first two seconds.</w:t>
      </w:r>
    </w:p>
    <w:p>
      <w:pPr>
        <w:pStyle w:val="ListNumber"/>
      </w:pPr>
      <w:r>
        <w:rPr/>
        <w:t>Captions and editing craft — trims, safe areas, and readable copy.</w:t>
      </w:r>
    </w:p>
    <w:p>
      <w:pPr>
        <w:pStyle w:val="ListNumber"/>
      </w:pPr>
      <w:r>
        <w:rPr/>
        <w:t>Repurposing playbooks — turn one source into several useful formats.</w:t>
      </w:r>
    </w:p>
    <w:p>
      <w:pPr>
        <w:pStyle w:val="ListNumber"/>
      </w:pPr>
      <w:r>
        <w:rPr/>
        <w:t>Creator workflow — batching, approval, measurement, and iteration.</w:t>
      </w:r>
    </w:p>
    <w:p>
      <w:pPr>
        <w:pStyle w:val="ListNumber"/>
      </w:pPr>
      <w:r>
        <w:rPr/>
        <w:t>Trust and rights — consent, source preservation, and transparent AI use.</w:t>
      </w:r>
    </w:p>
    <w:p>
      <w:pPr/>
      <w:r>
        <w:rPr/>
        <w:t>Voice: practical, creator-to-creator, specific, short sentences, no guarantees, no unsupported statistics, and one action per post. Product features remain Draft until verified with evidence.</w:t>
      </w:r>
    </w:p>
    <w:p>
      <w:pPr>
        <w:pStyle w:val="Heading1"/>
      </w:pPr>
      <w:r>
        <w:rPr/>
        <w:t>Content-to-signup path</w:t>
      </w:r>
    </w:p>
    <w:p>
      <w:pPr/>
      <w:r>
        <w:rPr/>
        <w:t>Useful post → one CTA → asset-specific UTM link → landing page → signup. UTMs use utm_source, utm_medium=organic_social, campaign, asset ID in utm_content, and pillar in utm_term. Confirm that the signup system retains these fields before claiming social-attributed signups.</w:t>
      </w:r>
    </w:p>
    <w:p>
      <w:pPr>
        <w:pStyle w:val="Heading1"/>
      </w:pPr>
      <w:r>
        <w:rPr/>
        <w:t>30-day calendar</w:t>
      </w:r>
    </w:p>
    <w:p>
      <w:pPr/>
      <w:r>
        <w:rPr/>
        <w:t>The complete 40-row draft calendar is 30_Day_Content_Calendar.csv. It includes date, platform, asset, pillar, hook, caption, CTA, link, time, owner, and target/actual fields. It spans 2026-11-02 through 2026-12-01. Every row is pending human rights, brand, editorial, account, and publication approval. Dates are a planning template; the candidate must confirm the actual launch date.</w:t>
      </w:r>
    </w:p>
    <w:p>
      <w:pPr>
        <w:pStyle w:val="Heading1"/>
      </w:pPr>
      <w:r>
        <w:rPr/>
        <w:t>First Monday</w:t>
      </w:r>
    </w:p>
    <w:p>
      <w:pPr>
        <w:pStyle w:val="ListNumber"/>
      </w:pPr>
      <w:r>
        <w:rPr/>
        <w:t>09:00 — confirm product/account access, owner, approver, and launch date.</w:t>
      </w:r>
    </w:p>
    <w:p>
      <w:pPr>
        <w:pStyle w:val="ListNumber"/>
      </w:pPr>
      <w:r>
        <w:rPr/>
        <w:t>09:30 — verify product claims; unsupported claims remain Draft.</w:t>
      </w:r>
    </w:p>
    <w:p>
      <w:pPr>
        <w:pStyle w:val="ListNumber"/>
      </w:pPr>
      <w:r>
        <w:rPr/>
        <w:t>10:30 — confirm landing-page UTM persistence with one test conversion.</w:t>
      </w:r>
    </w:p>
    <w:p>
      <w:pPr>
        <w:pStyle w:val="ListNumber"/>
      </w:pPr>
      <w:r>
        <w:rPr/>
        <w:t>11:00 — inspect the first seven scheduled posts, media crops, and links.</w:t>
      </w:r>
    </w:p>
    <w:p>
      <w:pPr>
        <w:pStyle w:val="ListNumber"/>
      </w:pPr>
      <w:r>
        <w:rPr/>
        <w:t>13:00 — approver records signoff; do not publish unauthorized branding.</w:t>
      </w:r>
    </w:p>
    <w:p>
      <w:pPr>
        <w:pStyle w:val="ListNumber"/>
      </w:pPr>
      <w:r>
        <w:rPr/>
        <w:t>Scheduled slot — publish only if the first asset is explicitly approved.</w:t>
      </w:r>
    </w:p>
    <w:p>
      <w:pPr>
        <w:pStyle w:val="ListNumber"/>
      </w:pPr>
      <w:r>
        <w:rPr/>
        <w:t>Within 24 hours — reply to genuine comments and record the public URL.</w:t>
      </w:r>
    </w:p>
    <w:p>
      <w:pPr>
        <w:pStyle w:val="Heading1"/>
      </w:pPr>
      <w:r>
        <w:rPr/>
        <w:t>Operating workflows</w:t>
      </w:r>
    </w:p>
    <w:p>
      <w:pPr/>
      <w:r>
        <w:rPr/>
        <w:t>Daily: check due rows, preview the post, obtain approval, publish, verify the link, respond within 24 hours, and log the URL. After a consistent 48-hour window, record reach, interactions, clicks, and signups if attribution exists.</w:t>
      </w:r>
    </w:p>
    <w:p>
      <w:pPr/>
      <w:r>
        <w:rPr/>
        <w:t>Weekly: run one new input, review claims/rights, approve the batch, compare like-for-like posts, document keep/change/stop decisions, and update the next week. Never delete weak results.</w:t>
      </w:r>
    </w:p>
    <w:p>
      <w:pPr>
        <w:pStyle w:val="Heading1"/>
      </w:pPr>
      <w:r>
        <w:rPr/>
        <w:t>Owners and tools</w:t>
      </w:r>
    </w:p>
    <w:tbl>
      <w:tblPr>
        <w:tblStyle w:val="TableGrid"/>
        <w:tblW w:w="0" w:type="auto"/>
      </w:tblPr>
      <w:tr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Role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Responsibility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Assumption</w:t>
            </w:r>
          </w:p>
        </w:tc>
      </w:tr>
      <w:tr>
        <w:tc>
          <w:tcPr/>
          <w:p>
            <w:r>
              <w:rPr>
                <w:sz w:val="17"/>
              </w:rPr>
              <w:t>Growth owner</w:t>
            </w:r>
          </w:p>
        </w:tc>
        <w:tc>
          <w:tcPr/>
          <w:p>
            <w:r>
              <w:rPr>
                <w:sz w:val="17"/>
              </w:rPr>
              <w:t>Engine, calendar, publishing, community, report</w:t>
            </w:r>
          </w:p>
        </w:tc>
        <w:tc>
          <w:tcPr/>
          <w:p>
            <w:r>
              <w:rPr>
                <w:sz w:val="17"/>
              </w:rPr>
              <w:t>Candidate or named IncuBrix owner — pending confirmation</w:t>
            </w:r>
          </w:p>
        </w:tc>
      </w:tr>
      <w:tr>
        <w:tc>
          <w:tcPr/>
          <w:p>
            <w:r>
              <w:rPr>
                <w:sz w:val="17"/>
              </w:rPr>
              <w:t>Approver</w:t>
            </w:r>
          </w:p>
        </w:tc>
        <w:tc>
          <w:tcPr/>
          <w:p>
            <w:r>
              <w:rPr>
                <w:sz w:val="17"/>
              </w:rPr>
              <w:t>Claims, copy, brand, rights, final release</w:t>
            </w:r>
          </w:p>
        </w:tc>
        <w:tc>
          <w:tcPr/>
          <w:p>
            <w:r>
              <w:rPr>
                <w:sz w:val="17"/>
              </w:rPr>
              <w:t>Founder/marketing lead — pending</w:t>
            </w:r>
          </w:p>
        </w:tc>
      </w:tr>
      <w:tr>
        <w:tc>
          <w:tcPr/>
          <w:p>
            <w:r>
              <w:rPr>
                <w:sz w:val="17"/>
              </w:rPr>
              <w:t>Creator/founder</w:t>
            </w:r>
          </w:p>
        </w:tc>
        <w:tc>
          <w:tcPr/>
          <w:p>
            <w:r>
              <w:rPr>
                <w:sz w:val="17"/>
              </w:rPr>
              <w:t>One original screen/voice asset weekly</w:t>
            </w:r>
          </w:p>
        </w:tc>
        <w:tc>
          <w:tcPr/>
          <w:p>
            <w:r>
              <w:rPr>
                <w:sz w:val="17"/>
              </w:rPr>
              <w:t>Pending</w:t>
            </w:r>
          </w:p>
        </w:tc>
      </w:tr>
      <w:tr>
        <w:tc>
          <w:tcPr/>
          <w:p>
            <w:r>
              <w:rPr>
                <w:sz w:val="17"/>
              </w:rPr>
              <w:t>Analytics owner</w:t>
            </w:r>
          </w:p>
        </w:tc>
        <w:tc>
          <w:tcPr/>
          <w:p>
            <w:r>
              <w:rPr>
                <w:sz w:val="17"/>
              </w:rPr>
              <w:t>UTM persistence and signup report</w:t>
            </w:r>
          </w:p>
        </w:tc>
        <w:tc>
          <w:tcPr/>
          <w:p>
            <w:r>
              <w:rPr>
                <w:sz w:val="17"/>
              </w:rPr>
              <w:t>Pending</w:t>
            </w:r>
          </w:p>
        </w:tc>
      </w:tr>
    </w:tbl>
    <w:p>
      <w:pPr/>
      <w:r>
        <w:rPr/>
        <w:t>Tools: Python engine, FFmpeg, Pillow, native platform schedulers, spreadsheet, and IncuBrix publishing only after signed-in verification.</w:t>
      </w:r>
    </w:p>
    <w:p>
      <w:pPr>
        <w:pStyle w:val="Heading1"/>
      </w:pPr>
      <w:r>
        <w:rPr/>
        <w:t>Budget assumptions</w:t>
      </w:r>
    </w:p>
    <w:p>
      <w:pPr/>
      <w:r>
        <w:rPr/>
        <w:t>Offline engine, fonts, and native scheduling: USD 0 direct run cost. Optional paid test budget: USD 0 by default; up to USD 200 in weeks 3–4 only with written approval and only on the best proven organic post. Candidate AI subscription costs are pending disclosure.</w:t>
      </w:r>
    </w:p>
    <w:p>
      <w:pPr>
        <w:pStyle w:val="Heading1"/>
      </w:pPr>
      <w:r>
        <w:rPr/>
        <w:t>Planning targets</w:t>
      </w:r>
    </w:p>
    <w:tbl>
      <w:tblPr>
        <w:tblStyle w:val="TableGrid"/>
        <w:tblW w:w="0" w:type="auto"/>
      </w:tblPr>
      <w:tr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Metric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30-day assumption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Measurement</w:t>
            </w:r>
          </w:p>
        </w:tc>
      </w:tr>
      <w:tr>
        <w:tc>
          <w:tcPr/>
          <w:p>
            <w:r>
              <w:rPr>
                <w:sz w:val="17"/>
              </w:rPr>
              <w:t>Posts</w:t>
            </w:r>
          </w:p>
        </w:tc>
        <w:tc>
          <w:tcPr/>
          <w:p>
            <w:r>
              <w:rPr>
                <w:sz w:val="17"/>
              </w:rPr>
              <w:t>40 delivered assets; scale toward 80 only if capacity permits</w:t>
            </w:r>
          </w:p>
        </w:tc>
        <w:tc>
          <w:tcPr/>
          <w:p>
            <w:r>
              <w:rPr>
                <w:sz w:val="17"/>
              </w:rPr>
              <w:t>Public URLs</w:t>
            </w:r>
          </w:p>
        </w:tc>
      </w:tr>
      <w:tr>
        <w:tc>
          <w:tcPr/>
          <w:p>
            <w:r>
              <w:rPr>
                <w:sz w:val="17"/>
              </w:rPr>
              <w:t>Reach</w:t>
            </w:r>
          </w:p>
        </w:tc>
        <w:tc>
          <w:tcPr/>
          <w:p>
            <w:r>
              <w:rPr>
                <w:sz w:val="17"/>
              </w:rPr>
              <w:t>40,000 total</w:t>
            </w:r>
          </w:p>
        </w:tc>
        <w:tc>
          <w:tcPr/>
          <w:p>
            <w:r>
              <w:rPr>
                <w:sz w:val="17"/>
              </w:rPr>
              <w:t>Native impressions/views by asset</w:t>
            </w:r>
          </w:p>
        </w:tc>
      </w:tr>
      <w:tr>
        <w:tc>
          <w:tcPr/>
          <w:p>
            <w:r>
              <w:rPr>
                <w:sz w:val="17"/>
              </w:rPr>
              <w:t>Median engagement</w:t>
            </w:r>
          </w:p>
        </w:tc>
        <w:tc>
          <w:tcPr/>
          <w:p>
            <w:r>
              <w:rPr>
                <w:sz w:val="17"/>
              </w:rPr>
              <w:t>≥3% primary channels</w:t>
            </w:r>
          </w:p>
        </w:tc>
        <w:tc>
          <w:tcPr/>
          <w:p>
            <w:r>
              <w:rPr>
                <w:sz w:val="17"/>
              </w:rPr>
              <w:t>Consistent interactions ÷ impressions</w:t>
            </w:r>
          </w:p>
        </w:tc>
      </w:tr>
      <w:tr>
        <w:tc>
          <w:tcPr/>
          <w:p>
            <w:r>
              <w:rPr>
                <w:sz w:val="17"/>
              </w:rPr>
              <w:t>Link clicks</w:t>
            </w:r>
          </w:p>
        </w:tc>
        <w:tc>
          <w:tcPr/>
          <w:p>
            <w:r>
              <w:rPr>
                <w:sz w:val="17"/>
              </w:rPr>
              <w:t>200</w:t>
            </w:r>
          </w:p>
        </w:tc>
        <w:tc>
          <w:tcPr/>
          <w:p>
            <w:r>
              <w:rPr>
                <w:sz w:val="17"/>
              </w:rPr>
              <w:t>UTM report by asset</w:t>
            </w:r>
          </w:p>
        </w:tc>
      </w:tr>
      <w:tr>
        <w:tc>
          <w:tcPr/>
          <w:p>
            <w:r>
              <w:rPr>
                <w:sz w:val="17"/>
              </w:rPr>
              <w:t>Signups</w:t>
            </w:r>
          </w:p>
        </w:tc>
        <w:tc>
          <w:tcPr/>
          <w:p>
            <w:r>
              <w:rPr>
                <w:sz w:val="17"/>
              </w:rPr>
              <w:t>20 only if UTM capture works</w:t>
            </w:r>
          </w:p>
        </w:tc>
        <w:tc>
          <w:tcPr/>
          <w:p>
            <w:r>
              <w:rPr>
                <w:sz w:val="17"/>
              </w:rPr>
              <w:t>Signup records retaining source/content</w:t>
            </w:r>
          </w:p>
        </w:tc>
      </w:tr>
    </w:tbl>
    <w:p>
      <w:pPr/>
      <w:r>
        <w:rPr/>
        <w:t>These are forecasts, not results. Reset them after week-one baseline data.</w:t>
      </w:r>
    </w:p>
    <w:p>
      <w:pPr>
        <w:pStyle w:val="Heading1"/>
      </w:pPr>
      <w:r>
        <w:rPr/>
        <w:t>KPI review and reporting</w:t>
      </w:r>
    </w:p>
    <w:p>
      <w:pPr/>
      <w:r>
        <w:rPr/>
        <w:t>Report posts, reach, median engagement, clicks/post, click-through rate, and signups where attribution exists. Segment by platform, pillar, format, and hook. Keep observation windows consistent. The public LinkedIn follower-based proxy in the competitor audit is not a full engagement rate.</w:t>
      </w:r>
    </w:p>
    <w:p>
      <w:pPr>
        <w:pStyle w:val="Heading1"/>
      </w:pPr>
      <w:r>
        <w:rPr/>
        <w:t>Approval and compliance</w:t>
      </w:r>
    </w:p>
    <w:p>
      <w:pPr/>
      <w:r>
        <w:rPr/>
        <w:t>Technical draft → growth review → claim check → rights/brand check → platform preview → approver signoff → schedule → post verification. Required checks: source traceability, no unsupported feature claim, no third-party media without permission, no private data, appropriate AI label, correct crop/duration, working UTM, authorized brand treatment, and one CTA.</w:t>
      </w:r>
    </w:p>
    <w:p>
      <w:pPr>
        <w:pStyle w:val="Heading1"/>
      </w:pPr>
      <w:r>
        <w:rPr/>
        <w:t>Risk register</w:t>
      </w:r>
    </w:p>
    <w:tbl>
      <w:tblPr>
        <w:tblStyle w:val="TableGrid"/>
        <w:tblW w:w="0" w:type="auto"/>
      </w:tblPr>
      <w:tr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Risk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Owner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Mitigation</w:t>
            </w:r>
          </w:p>
        </w:tc>
        <w:tc>
          <w:tcPr>
            <w:shd w:fill="163B65"/>
          </w:tcPr>
          <w:p>
            <w:r>
              <w:rPr>
                <w:b/>
                <w:sz w:val="17"/>
                <w:color w:val="FFFFFF"/>
              </w:rPr>
              <w:t>Trigger</w:t>
            </w:r>
          </w:p>
        </w:tc>
      </w:tr>
      <w:tr>
        <w:tc>
          <w:tcPr/>
          <w:p>
            <w:r>
              <w:rPr>
                <w:sz w:val="17"/>
              </w:rPr>
              <w:t>Generic text-only creative</w:t>
            </w:r>
          </w:p>
        </w:tc>
        <w:tc>
          <w:tcPr/>
          <w:p>
            <w:r>
              <w:rPr>
                <w:sz w:val="17"/>
              </w:rPr>
              <w:t>Growth</w:t>
            </w:r>
          </w:p>
        </w:tc>
        <w:tc>
          <w:tcPr/>
          <w:p>
            <w:r>
              <w:rPr>
                <w:sz w:val="17"/>
              </w:rPr>
              <w:t>Add original screen/voice proof weekly</w:t>
            </w:r>
          </w:p>
        </w:tc>
        <w:tc>
          <w:tcPr/>
          <w:p>
            <w:r>
              <w:rPr>
                <w:sz w:val="17"/>
              </w:rPr>
              <w:t>Two posts below baseline</w:t>
            </w:r>
          </w:p>
        </w:tc>
      </w:tr>
      <w:tr>
        <w:tc>
          <w:tcPr/>
          <w:p>
            <w:r>
              <w:rPr>
                <w:sz w:val="17"/>
              </w:rPr>
              <w:t>Unsupported claim</w:t>
            </w:r>
          </w:p>
        </w:tc>
        <w:tc>
          <w:tcPr/>
          <w:p>
            <w:r>
              <w:rPr>
                <w:sz w:val="17"/>
              </w:rPr>
              <w:t>Approver</w:t>
            </w:r>
          </w:p>
        </w:tc>
        <w:tc>
          <w:tcPr/>
          <w:p>
            <w:r>
              <w:rPr>
                <w:sz w:val="17"/>
              </w:rPr>
              <w:t>Evidence-linked claim register and Draft hold</w:t>
            </w:r>
          </w:p>
        </w:tc>
        <w:tc>
          <w:tcPr/>
          <w:p>
            <w:r>
              <w:rPr>
                <w:sz w:val="17"/>
              </w:rPr>
              <w:t>Any feature wording</w:t>
            </w:r>
          </w:p>
        </w:tc>
      </w:tr>
      <w:tr>
        <w:tc>
          <w:tcPr/>
          <w:p>
            <w:r>
              <w:rPr>
                <w:sz w:val="17"/>
              </w:rPr>
              <w:t>Rights or privacy issue</w:t>
            </w:r>
          </w:p>
        </w:tc>
        <w:tc>
          <w:tcPr/>
          <w:p>
            <w:r>
              <w:rPr>
                <w:sz w:val="17"/>
              </w:rPr>
              <w:t>Approver</w:t>
            </w:r>
          </w:p>
        </w:tc>
        <w:tc>
          <w:tcPr/>
          <w:p>
            <w:r>
              <w:rPr>
                <w:sz w:val="17"/>
              </w:rPr>
              <w:t>Written consent/license and no private data</w:t>
            </w:r>
          </w:p>
        </w:tc>
        <w:tc>
          <w:tcPr/>
          <w:p>
            <w:r>
              <w:rPr>
                <w:sz w:val="17"/>
              </w:rPr>
              <w:t>Missing evidence</w:t>
            </w:r>
          </w:p>
        </w:tc>
      </w:tr>
      <w:tr>
        <w:tc>
          <w:tcPr/>
          <w:p>
            <w:r>
              <w:rPr>
                <w:sz w:val="17"/>
              </w:rPr>
              <w:t>UTM loss</w:t>
            </w:r>
          </w:p>
        </w:tc>
        <w:tc>
          <w:tcPr/>
          <w:p>
            <w:r>
              <w:rPr>
                <w:sz w:val="17"/>
              </w:rPr>
              <w:t>Analytics</w:t>
            </w:r>
          </w:p>
        </w:tc>
        <w:tc>
          <w:tcPr/>
          <w:p>
            <w:r>
              <w:rPr>
                <w:sz w:val="17"/>
              </w:rPr>
              <w:t>Test before launch; report clicks only if signup source is lost</w:t>
            </w:r>
          </w:p>
        </w:tc>
        <w:tc>
          <w:tcPr/>
          <w:p>
            <w:r>
              <w:rPr>
                <w:sz w:val="17"/>
              </w:rPr>
              <w:t>Click with no attribution</w:t>
            </w:r>
          </w:p>
        </w:tc>
      </w:tr>
      <w:tr>
        <w:tc>
          <w:tcPr/>
          <w:p>
            <w:r>
              <w:rPr>
                <w:sz w:val="17"/>
              </w:rPr>
              <w:t>Platform change</w:t>
            </w:r>
          </w:p>
        </w:tc>
        <w:tc>
          <w:tcPr/>
          <w:p>
            <w:r>
              <w:rPr>
                <w:sz w:val="17"/>
              </w:rPr>
              <w:t>Growth</w:t>
            </w:r>
          </w:p>
        </w:tc>
        <w:tc>
          <w:tcPr/>
          <w:p>
            <w:r>
              <w:rPr>
                <w:sz w:val="17"/>
              </w:rPr>
              <w:t>Recheck help guidance monthly</w:t>
            </w:r>
          </w:p>
        </w:tc>
        <w:tc>
          <w:tcPr/>
          <w:p>
            <w:r>
              <w:rPr>
                <w:sz w:val="17"/>
              </w:rPr>
              <w:t>Crop/rejection warning</w:t>
            </w:r>
          </w:p>
        </w:tc>
      </w:tr>
      <w:tr>
        <w:tc>
          <w:tcPr/>
          <w:p>
            <w:r>
              <w:rPr>
                <w:sz w:val="17"/>
              </w:rPr>
              <w:t>Low reach</w:t>
            </w:r>
          </w:p>
        </w:tc>
        <w:tc>
          <w:tcPr/>
          <w:p>
            <w:r>
              <w:rPr>
                <w:sz w:val="17"/>
              </w:rPr>
              <w:t>Growth</w:t>
            </w:r>
          </w:p>
        </w:tc>
        <w:tc>
          <w:tcPr/>
          <w:p>
            <w:r>
              <w:rPr>
                <w:sz w:val="17"/>
              </w:rPr>
              <w:t>Consistency, real replies, no purchased engagement</w:t>
            </w:r>
          </w:p>
        </w:tc>
        <w:tc>
          <w:tcPr/>
          <w:p>
            <w:r>
              <w:rPr>
                <w:sz w:val="17"/>
              </w:rPr>
              <w:t>Week-one miss</w:t>
            </w:r>
          </w:p>
        </w:tc>
      </w:tr>
      <w:tr>
        <w:tc>
          <w:tcPr/>
          <w:p>
            <w:r>
              <w:rPr>
                <w:sz w:val="17"/>
              </w:rPr>
              <w:t>Provider outage/unsafe AI</w:t>
            </w:r>
          </w:p>
        </w:tc>
        <w:tc>
          <w:tcPr/>
          <w:p>
            <w:r>
              <w:rPr>
                <w:sz w:val="17"/>
              </w:rPr>
              <w:t>Engineer</w:t>
            </w:r>
          </w:p>
        </w:tc>
        <w:tc>
          <w:tcPr/>
          <w:p>
            <w:r>
              <w:rPr>
                <w:sz w:val="17"/>
              </w:rPr>
              <w:t>Offline default and validation</w:t>
            </w:r>
          </w:p>
        </w:tc>
        <w:tc>
          <w:tcPr/>
          <w:p>
            <w:r>
              <w:rPr>
                <w:sz w:val="17"/>
              </w:rPr>
              <w:t>AI error or failed trace</w:t>
            </w:r>
          </w:p>
        </w:tc>
      </w:tr>
    </w:tbl>
    <w:p>
      <w:pPr>
        <w:pStyle w:val="Heading1"/>
      </w:pPr>
      <w:r>
        <w:rPr/>
        <w:t>End-of-month decision</w:t>
      </w:r>
    </w:p>
    <w:p>
      <w:pPr/>
      <w:r>
        <w:rPr/>
        <w:t>Continue channels with repeatable qualified clicks and manageable production; change weak hooks/formats with a documented hypothesis; stop channels that show repeatedly weak signal after comparable tests. Report uncertainty and all results, including zeroes.</w:t>
      </w:r>
    </w:p>
    <w:p>
      <w:pPr>
        <w:pStyle w:val="Heading1"/>
      </w:pPr>
      <w:r>
        <w:rPr/>
        <w:t>Appendix: 30-day asset calendar</w:t>
      </w:r>
    </w:p>
    <w:p>
      <w:pPr/>
      <w:r>
        <w:rPr/>
        <w:t>Planning dates and targets only. Every row remains pending human approval; actual-result fields are blank.</w:t>
      </w:r>
    </w:p>
    <w:tbl>
      <w:tblPr>
        <w:tblStyle w:val="TableGrid"/>
        <w:tblW w:w="0" w:type="auto"/>
      </w:tblPr>
      <w:tr>
        <w:tc>
          <w:tcPr>
            <w:tcW w:w="950" w:type="dxa"/>
            <w:shd w:fill="163B65"/>
          </w:tcPr>
          <w:p>
            <w:r>
              <w:rPr>
                <w:b/>
                <w:sz w:val="17"/>
                <w:color w:val="FFFFFF"/>
              </w:rPr>
              <w:t>Date</w:t>
            </w:r>
          </w:p>
        </w:tc>
        <w:tc>
          <w:tcPr>
            <w:tcW w:w="1000" w:type="dxa"/>
            <w:shd w:fill="163B65"/>
          </w:tcPr>
          <w:p>
            <w:r>
              <w:rPr>
                <w:b/>
                <w:sz w:val="17"/>
                <w:color w:val="FFFFFF"/>
              </w:rPr>
              <w:t>Platform</w:t>
            </w:r>
          </w:p>
        </w:tc>
        <w:tc>
          <w:tcPr>
            <w:tcW w:w="1000" w:type="dxa"/>
            <w:shd w:fill="163B65"/>
          </w:tcPr>
          <w:p>
            <w:r>
              <w:rPr>
                <w:b/>
                <w:sz w:val="17"/>
                <w:color w:val="FFFFFF"/>
              </w:rPr>
              <w:t>Asset</w:t>
            </w:r>
          </w:p>
        </w:tc>
        <w:tc>
          <w:tcPr>
            <w:tcW w:w="1500" w:type="dxa"/>
            <w:shd w:fill="163B65"/>
          </w:tcPr>
          <w:p>
            <w:r>
              <w:rPr>
                <w:b/>
                <w:sz w:val="17"/>
                <w:color w:val="FFFFFF"/>
              </w:rPr>
              <w:t>Pillar</w:t>
            </w:r>
          </w:p>
        </w:tc>
        <w:tc>
          <w:tcPr>
            <w:tcW w:w="650" w:type="dxa"/>
            <w:shd w:fill="163B65"/>
          </w:tcPr>
          <w:p>
            <w:r>
              <w:rPr>
                <w:b/>
                <w:sz w:val="17"/>
                <w:color w:val="FFFFFF"/>
              </w:rPr>
              <w:t>UTC</w:t>
            </w:r>
          </w:p>
        </w:tc>
        <w:tc>
          <w:tcPr>
            <w:tcW w:w="1500" w:type="dxa"/>
            <w:shd w:fill="163B65"/>
          </w:tcPr>
          <w:p>
            <w:r>
              <w:rPr>
                <w:b/>
                <w:sz w:val="17"/>
                <w:color w:val="FFFFFF"/>
              </w:rPr>
              <w:t>Status</w:t>
            </w:r>
          </w:p>
        </w:tc>
        <w:tc>
          <w:tcPr>
            <w:tcW w:w="2200" w:type="dxa"/>
            <w:shd w:fill="163B65"/>
          </w:tcPr>
          <w:p>
            <w:r>
              <w:rPr>
                <w:b/>
                <w:sz w:val="17"/>
                <w:color w:val="FFFFFF"/>
              </w:rPr>
              <w:t>Targets: reach / engagement / clicks / signups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2026-11-02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EORC57-C01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Repurposing playbooks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2026-11-02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EORC57-C02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2026-11-03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EORC57-C03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Creator workflow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2026-11-03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EORC57-C04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Trust and rights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2026-11-04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EORC57-G01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2026-11-04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EORC57-G02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Repurposing playbooks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EORC57-G03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Repurposing playbooks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Threads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EORC57-G04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Repurposing playbooks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18:00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500 / 2.0% / 2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EORC57-T01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Repurposing playbooks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EORC57-T02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Creator workflow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Threads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EORC57-T03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Creator workflow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18:00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500 / 2.0% / 2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EORC57-T04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Repurposing playbooks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2026-11-08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2026-11-08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YouTube Shorts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16:00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1800 / 2.5% / 7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2026-11-09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2026-11-09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2026-11-10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EORC57-V05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2026-11-10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YouTube Shorts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EORC57-V06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Trust and rights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16:00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1800 / 2.5% / 7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2026-11-11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EORC57-V07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Creator workflow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2026-11-11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EORC57-V08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2026-11-12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ETH2D2-C01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2026-11-13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ETH2D2-C02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2026-11-14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ETH2D2-C03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ETH2D2-C04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Creator workflow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ETH2D2-G01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ETH2D2-G02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2026-11-18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ETH2D2-G03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2026-11-19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Threads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ETH2D2-G04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18:00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500 / 2.0% / 2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2026-11-20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ETH2D2-T01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2026-11-21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ETH2D2-T02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2026-11-22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Threads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ETH2D2-T03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18:00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500 / 2.0% / 2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2026-11-23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ETH2D2-T04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2026-11-24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ETH2D2-V01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YouTube Shorts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16:00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1800 / 2.5% / 7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ETH2D2-V03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ETH2D2-V04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2026-11-28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Instagram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ETH2D2-V05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17:00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1200 / 3.5% / 6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2026-11-29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YouTube Shorts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ETH2D2-V06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16:00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1800 / 2.5% / 7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2026-11-30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LinkedIn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ETH2D2-V07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Captions and editing craft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13:30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900 / 3.0% / 5 / 1</w:t>
            </w:r>
          </w:p>
        </w:tc>
      </w:tr>
      <w:tr>
        <w:tc>
          <w:tcPr>
            <w:tcW w:w="950" w:type="dxa"/>
          </w:tcPr>
          <w:p>
            <w:r>
              <w:rPr>
                <w:sz w:val="17"/>
              </w:rPr>
              <w:t>2026-12-01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X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>ETH2D2-V08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Hooks and openings</w:t>
            </w:r>
          </w:p>
        </w:tc>
        <w:tc>
          <w:tcPr>
            <w:tcW w:w="650" w:type="dxa"/>
          </w:tcPr>
          <w:p>
            <w:r>
              <w:rPr>
                <w:sz w:val="17"/>
              </w:rPr>
              <w:t>14:00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Pending human approval</w:t>
            </w:r>
          </w:p>
        </w:tc>
        <w:tc>
          <w:tcPr>
            <w:tcW w:w="2200" w:type="dxa"/>
          </w:tcPr>
          <w:p>
            <w:r>
              <w:rPr>
                <w:sz w:val="17"/>
              </w:rPr>
              <w:t>600 / 2.0% / 3 / 0</w:t>
            </w:r>
          </w:p>
        </w:tc>
      </w:tr>
    </w:tbl>
    <w:sectPr>
      <w:pgSz w:w="12240" w:h="15840"/>
      <w:pgMar w:top="720" w:right="720" w:bottom="720" w:left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1B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6B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1B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