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03"/>
        <w:gridCol w:w="1904"/>
        <w:gridCol w:w="1904"/>
        <w:gridCol w:w="1904"/>
        <w:gridCol w:w="1904"/>
      </w:tblGrid>
      <w:tr>
        <w:tblPrEx>
          <w:shd w:val="clear" w:color="auto" w:fill="cadfff"/>
        </w:tblPrEx>
        <w:trPr>
          <w:trHeight w:val="855" w:hRule="atLeast"/>
        </w:trPr>
        <w:tc>
          <w:tcPr>
            <w:tcW w:type="dxa" w:w="9519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60"/>
              </w:tabs>
              <w:jc w:val="both"/>
            </w:pPr>
            <w:r>
              <w:rPr>
                <w:rFonts w:ascii="Trebuchet MS" w:hAnsi="Trebuchet MS"/>
                <w:b w:val="1"/>
                <w:bCs w:val="1"/>
                <w:outline w:val="0"/>
                <w:color w:val="cc503e"/>
                <w:u w:color="cc503e"/>
                <w:shd w:val="nil" w:color="auto" w:fill="auto"/>
                <w:rtl w:val="0"/>
                <w:lang w:val="en-US"/>
                <w14:textFill>
                  <w14:solidFill>
                    <w14:srgbClr w14:val="CC503E"/>
                  </w14:solidFill>
                </w14:textFill>
              </w:rPr>
              <w:t xml:space="preserve">Final Grade: </w:t>
            </w:r>
            <w:r>
              <w:rPr>
                <w:rFonts w:ascii="Trebuchet MS" w:hAnsi="Trebuchet MS"/>
                <w:b w:val="1"/>
                <w:bCs w:val="1"/>
                <w:outline w:val="0"/>
                <w:color w:val="cc503e"/>
                <w:u w:color="cc503e"/>
                <w:shd w:val="nil" w:color="auto" w:fill="auto"/>
                <w:rtl w:val="0"/>
                <w:lang w:val="en-US"/>
                <w14:textFill>
                  <w14:solidFill>
                    <w14:srgbClr w14:val="CC503E"/>
                  </w14:solidFill>
                </w14:textFill>
              </w:rPr>
              <w:t>B2</w:t>
            </w:r>
          </w:p>
        </w:tc>
      </w:tr>
      <w:tr>
        <w:tblPrEx>
          <w:shd w:val="clear" w:color="auto" w:fill="cadfff"/>
        </w:tblPrEx>
        <w:trPr>
          <w:trHeight w:val="855" w:hRule="atLeast"/>
        </w:trPr>
        <w:tc>
          <w:tcPr>
            <w:tcW w:type="dxa" w:w="9519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60"/>
              </w:tabs>
              <w:jc w:val="both"/>
              <w:rPr>
                <w:rFonts w:ascii="Trebuchet MS" w:cs="Trebuchet MS" w:hAnsi="Trebuchet MS" w:eastAsia="Trebuchet MS"/>
                <w:b w:val="1"/>
                <w:bCs w:val="1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 xml:space="preserve">Overall Grade: </w:t>
            </w: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B3</w:t>
            </w:r>
          </w:p>
          <w:p>
            <w:pPr>
              <w:pStyle w:val="Body A"/>
              <w:tabs>
                <w:tab w:val="center" w:pos="4680"/>
                <w:tab w:val="right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 xml:space="preserve">Comment: </w:t>
            </w: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The student has a good understanding of most of the areas of the assignment and has a great ability to deal with abstract.</w:t>
            </w:r>
          </w:p>
        </w:tc>
      </w:tr>
      <w:tr>
        <w:tblPrEx>
          <w:shd w:val="clear" w:color="auto" w:fill="cadfff"/>
        </w:tblPrEx>
        <w:trPr>
          <w:trHeight w:val="615" w:hRule="atLeast"/>
        </w:trPr>
        <w:tc>
          <w:tcPr>
            <w:tcW w:type="dxa" w:w="1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Insufficient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(S, F3-F1)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Threshold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(D3-D1)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(C3-C1)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Very 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(B3-B1)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Excellent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(A4-A1)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9519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76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58"/>
              <w:ind w:left="13680" w:hanging="13620"/>
              <w:jc w:val="both"/>
            </w:pPr>
            <w:r>
              <w:rPr>
                <w:rFonts w:ascii="Trebuchet MS" w:hAnsi="Trebuchet MS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Knowledge and Understanding</w:t>
            </w:r>
          </w:p>
        </w:tc>
      </w:tr>
      <w:tr>
        <w:tblPrEx>
          <w:shd w:val="clear" w:color="auto" w:fill="cadfff"/>
        </w:tblPrEx>
        <w:trPr>
          <w:trHeight w:val="7815" w:hRule="atLeast"/>
        </w:trPr>
        <w:tc>
          <w:tcPr>
            <w:tcW w:type="dxa" w:w="1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120"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Accuracy limited in breadth and depth;Range of information/evidence limited, mostly from familiar/given secondary sources,occasionally poorly organised;Largely but not wholly accurate understanding of the main concepts,theories and or practice; Engagement with abstract/unfamiliar ideas or implications and applications is slight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120" w:after="58"/>
              <w:rPr>
                <w:rFonts w:ascii="Trebuchet MS" w:cs="Trebuchet MS" w:hAnsi="Trebuchet MS" w:eastAsia="Trebuchet MS"/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Largely accurate across most areas, with limited depth;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Locates and organises an acceptable range of information/evidence often from secondary sources;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Adequate understanding of the main concepts, theories and/or practice;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Limited ability to deal with abstract or unfamiliar ideas and their implications and applications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Accurate, with depth in several aspects;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Locates and organises a satisfactory range of information/evidence, with limited use of primary sources;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Satisfactory understanding of the relevant concepts, theories and/or practice and their main implications and applications;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Understanding of more abstract aspects sometimes less developed.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Accurate and coherent in breadth, with depth in most areas;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Explores and deploys information, including some aspects of new knowledge, from a wide range of secondary and several primary sources;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Thorough understanding of abstract concepts, theories and/or cutting-edge practice and several of their implications and applications.</w:t>
            </w:r>
          </w:p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Exceptional depth in breadth;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Contributes new knowledge to the subject/field of practice.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Exemplary exploration and critique of information/ideas from a comprehensive range of sources (primary &amp; secondary), many at the forefront of knowledge/practice;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Advanced critical understanding of abstract concepts, theories and/or cutting-edge practice, their implications and applications, exceeds expectations for undergraduate work.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4"/>
        <w:gridCol w:w="1927"/>
        <w:gridCol w:w="1927"/>
        <w:gridCol w:w="1926"/>
        <w:gridCol w:w="1928"/>
      </w:tblGrid>
      <w:tr>
        <w:tblPrEx>
          <w:shd w:val="clear" w:color="auto" w:fill="cadfff"/>
        </w:tblPrEx>
        <w:trPr>
          <w:trHeight w:val="1135" w:hRule="atLeast"/>
        </w:trPr>
        <w:tc>
          <w:tcPr>
            <w:tcW w:type="dxa" w:w="9632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60"/>
              </w:tabs>
              <w:jc w:val="both"/>
              <w:rPr>
                <w:rFonts w:ascii="Trebuchet MS" w:cs="Trebuchet MS" w:hAnsi="Trebuchet MS" w:eastAsia="Trebuchet MS"/>
                <w:b w:val="1"/>
                <w:bCs w:val="1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Overall Grade:</w:t>
            </w: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B1</w:t>
            </w:r>
          </w:p>
          <w:p>
            <w:pPr>
              <w:pStyle w:val="Body A"/>
              <w:tabs>
                <w:tab w:val="center" w:pos="4680"/>
                <w:tab w:val="right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 xml:space="preserve">Comment: </w:t>
            </w: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The student has used relevant methods and techniques to solve the problems, and has given evidence, with some aspect of insight.</w:t>
            </w:r>
          </w:p>
        </w:tc>
      </w:tr>
      <w:tr>
        <w:tblPrEx>
          <w:shd w:val="clear" w:color="auto" w:fill="cadfff"/>
        </w:tblPrEx>
        <w:trPr>
          <w:trHeight w:val="615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Insufficient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(S, F3-F1)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Threshold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(D3-D1)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(C3-C1)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Very 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(B3-B1)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Excellent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(A4-A1)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9632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76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58"/>
              <w:ind w:left="13680" w:hanging="13620"/>
              <w:jc w:val="both"/>
            </w:pPr>
            <w:r>
              <w:rPr>
                <w:rFonts w:ascii="Trebuchet MS" w:hAnsi="Trebuchet MS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Cognitive Skills</w:t>
            </w:r>
          </w:p>
        </w:tc>
      </w:tr>
      <w:tr>
        <w:tblPrEx>
          <w:shd w:val="clear" w:color="auto" w:fill="cadfff"/>
        </w:tblPrEx>
        <w:trPr>
          <w:trHeight w:val="8535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58"/>
              <w:rPr>
                <w:rFonts w:ascii="Trebuchet MS" w:cs="Trebuchet MS" w:hAnsi="Trebuchet MS" w:eastAsia="Trebuchet MS"/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Superficial analysis of complex issues/problems, lacking in evaluation or synthesis;</w:t>
            </w:r>
          </w:p>
          <w:p>
            <w:pPr>
              <w:pStyle w:val="Body A A"/>
              <w:bidi w:val="0"/>
              <w:spacing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Little attempt to transfer and apply prior learning to new contexts;</w:t>
            </w:r>
          </w:p>
          <w:p>
            <w:pPr>
              <w:pStyle w:val="Body A A"/>
              <w:bidi w:val="0"/>
              <w:spacing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More descriptive than analytical and tends to rely on familiar/given material or approaches;</w:t>
            </w:r>
          </w:p>
          <w:p>
            <w:pPr>
              <w:pStyle w:val="Body A A"/>
              <w:bidi w:val="0"/>
              <w:spacing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Limited research;</w:t>
            </w:r>
          </w:p>
          <w:p>
            <w:pPr>
              <w:pStyle w:val="Body A A"/>
              <w:bidi w:val="0"/>
              <w:spacing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Sparse conclusion/practical solutions insufficiently argued/evidenced and mostly derivative, with marginally insufficient critical insight or creativity or originality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120" w:after="58"/>
              <w:rPr>
                <w:rFonts w:ascii="Trebuchet MS" w:cs="Trebuchet MS" w:hAnsi="Trebuchet MS" w:eastAsia="Trebuchet MS"/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Uses appropriate methods to analyse Complex issues/problems, with little evidence of evaluation or synthesis;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Limited transfer/application of prior learning to new contexts;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Tendency to description and reliance on familiar/given material or approaches;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Fonts w:ascii="Trebuchet MS" w:cs="Trebuchet MS" w:hAnsi="Trebuchet MS" w:eastAsia="Trebuchet MS"/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Limned range of research;</w:t>
            </w:r>
          </w:p>
          <w:p>
            <w:pPr>
              <w:pStyle w:val="Body A A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Few conclusions/practical solutions sparsely argued/evidenced, mainly derivative and with little critical insight.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Uses appropriate (often given) methods to analyse complex/unfamilier and/or unpredictable issues/problems, with some evaluation and synthesis of information;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Applies some aspects of prior learning to new contexts;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Satisfactory research;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Mostly relevant argument/evidence supports logical conclusions/practical solutions showing some critical insight and limited creativity or originality.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Selects and applies appropriate methods to address/solve complex, unfamiliar/unpredictable issues/problems;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Largely consistent and critical judgement in analysis, evaluation and synthesis of information and application/transfer of prior learning in different contexts;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Effective and wide-ranging research;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Conclusions/practical solutions logically argued/evidenced, with some aspect of insight, creativity or originality.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  <w:rPr>
                <w:shd w:val="nil" w:color="auto" w:fill="auto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Design methods that convincingly address/solve complex, unfamiliar and unpredictable issues/problems;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Exceptional critical judgement in analysis evaluation, synthesis and application/transformation of prior knowledge of differing contexts;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Systematic and extensive research which exceeds expectations for undergraduate work;</w:t>
            </w:r>
          </w:p>
          <w:p>
            <w:pPr>
              <w:pStyle w:val="Default"/>
              <w:bidi w:val="0"/>
              <w:spacing w:before="120" w:after="58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Creative/original/compelling conclusions or practical solutions; convincingly justified/argued/evidenced.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  <w:widowControl w:val="0"/>
        <w:ind w:left="108" w:hanging="108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4"/>
        <w:gridCol w:w="1927"/>
        <w:gridCol w:w="1927"/>
        <w:gridCol w:w="1926"/>
        <w:gridCol w:w="1928"/>
      </w:tblGrid>
      <w:tr>
        <w:tblPrEx>
          <w:shd w:val="clear" w:color="auto" w:fill="cadfff"/>
        </w:tblPrEx>
        <w:trPr>
          <w:trHeight w:val="855" w:hRule="atLeast"/>
        </w:trPr>
        <w:tc>
          <w:tcPr>
            <w:tcW w:type="dxa" w:w="9632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60"/>
              </w:tabs>
              <w:jc w:val="both"/>
              <w:rPr>
                <w:rFonts w:ascii="Trebuchet MS" w:cs="Trebuchet MS" w:hAnsi="Trebuchet MS" w:eastAsia="Trebuchet MS"/>
                <w:b w:val="1"/>
                <w:bCs w:val="1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 xml:space="preserve">Overall Grade: </w:t>
            </w: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B2</w:t>
            </w:r>
          </w:p>
          <w:p>
            <w:pPr>
              <w:pStyle w:val="Body A"/>
              <w:tabs>
                <w:tab w:val="center" w:pos="4680"/>
                <w:tab w:val="right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 xml:space="preserve">Comment: </w:t>
            </w: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The student has competence skills in all the required areas of the assignment.</w:t>
            </w:r>
          </w:p>
        </w:tc>
      </w:tr>
      <w:tr>
        <w:tblPrEx>
          <w:shd w:val="clear" w:color="auto" w:fill="cadfff"/>
        </w:tblPrEx>
        <w:trPr>
          <w:trHeight w:val="615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Insufficient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(S, F3-F1)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Threshold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(D3-D1)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(C3-C1)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Very Good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(B3-B1)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120"/>
              <w:jc w:val="center"/>
              <w:rPr>
                <w:rFonts w:ascii="Trebuchet MS" w:cs="Trebuchet MS" w:hAnsi="Trebuchet MS" w:eastAsia="Trebuchet MS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rebuchet MS" w:hAnsi="Trebuchet MS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Excellent</w:t>
            </w:r>
          </w:p>
          <w:p>
            <w:pPr>
              <w:pStyle w:val="Body A A"/>
              <w:bidi w:val="0"/>
              <w:spacing w:after="1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(A4-A1)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9632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76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58"/>
              <w:ind w:left="13680" w:hanging="13620"/>
              <w:jc w:val="both"/>
            </w:pPr>
            <w:r>
              <w:rPr>
                <w:rFonts w:ascii="Trebuchet MS" w:hAnsi="Trebuchet MS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Practical and Professional Skills</w:t>
            </w:r>
          </w:p>
        </w:tc>
      </w:tr>
      <w:tr>
        <w:tblPrEx>
          <w:shd w:val="clear" w:color="auto" w:fill="cadfff"/>
        </w:tblPrEx>
        <w:trPr>
          <w:trHeight w:val="4335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Marginally fails to achieve basic competence in (some of) the required specialised practical, technical, creative, scholarly or work-related skills, and little awareness of professional contexts and expectations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120"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Basic competence in all the required specialised practical, technical, creative, scholarly or work-related skills, and partial awareness of professional context and expectations.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Achieves a basic level of competence in all the required specialised practical, technical, creative, scholarly or work-related skills, with more developed capability in at least one area and an awareness of professional contexts and expectations.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Competence in all the required specialised practical, technical, creative, scholarly or work-related skills, with indications of more developed ability in some areas and awareness of professional contexts and expectations.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120" w:after="58"/>
            </w:pPr>
            <w:r>
              <w:rPr>
                <w:rFonts w:ascii="Trebuchet MS" w:hAnsi="Trebuchet MS"/>
                <w:shd w:val="nil" w:color="auto" w:fill="auto"/>
                <w:rtl w:val="0"/>
                <w:lang w:val="en-US"/>
              </w:rPr>
              <w:t>Consistent high-level competence in all the required specialised practical, technical, creative, scholarly or work-related skills, with mastery in many areas and developed understanding of professional contexts and expectations.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