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YuvaIntern Week 6 Report</w:t>
        <w:br/>
      </w:r>
      <w:r>
        <w:rPr>
          <w:b/>
          <w:sz w:val="30"/>
        </w:rPr>
        <w:t>Integrative Capstone Project and Evaluation</w:t>
      </w:r>
    </w:p>
    <w:p>
      <w:pPr>
        <w:jc w:val="center"/>
      </w:pPr>
      <w:r>
        <w:rPr>
          <w:i/>
        </w:rPr>
        <w:t>Customer Segmentation and Purchase Behavior Prediction</w:t>
      </w:r>
    </w:p>
    <w:p>
      <w:pPr>
        <w:jc w:val="center"/>
      </w:pPr>
      <w:r>
        <w:rPr>
          <w:i/>
        </w:rPr>
        <w:t>Dataset: UCI Online Retail Dataset</w:t>
      </w:r>
    </w:p>
    <w:p>
      <w:pPr>
        <w:pStyle w:val="Heading1"/>
      </w:pPr>
      <w:r>
        <w:t>1. Project Overview</w:t>
      </w:r>
    </w:p>
    <w:p>
      <w:r>
        <w:t>This report presents the Integrative Data Science Capstone Project completed as part of Week 6 of the YuvaIntern Data Science Internship. The project integrates the complete data science workflow on the cleaned UCI Online Retail dataset. The objective was to analyze customer purchasing behaviour, identify meaningful customer segments using unsupervised learning, and build supervised and deep-learning models to predict high-frequency customer behaviour. The complete pipeline includes dataset verification, exploratory data analysis, customer-level RFM analysis, K-Means clustering, Random Forest classification, Artificial Neural Network classification, model evaluation, visualization, insights and business recommendations.</w:t>
      </w:r>
    </w:p>
    <w:p>
      <w:pPr>
        <w:pStyle w:val="Heading1"/>
      </w:pPr>
      <w:r>
        <w:t>2. Problem Statement</w:t>
      </w:r>
    </w:p>
    <w:p>
      <w:r>
        <w:t>Retail transaction data contains information that can be used to understand customer purchasing patterns. The capstone addresses two related analytical problems: first, grouping customers according to purchasing behaviour without predefined labels; and second, predicting whether a customer belongs to a high-frequency customer group using customer-level characteristics. The project uses RFM analysis to represent customer behaviour and applies machine learning and deep learning techniques to support customer analysis.</w:t>
      </w:r>
    </w:p>
    <w:p>
      <w:pPr>
        <w:pStyle w:val="Heading1"/>
      </w:pPr>
      <w:r>
        <w:t>3. Dataset and Data Preparation</w:t>
      </w:r>
    </w:p>
    <w:p>
      <w:r>
        <w:t>The cleaned dataset contained 524,878 transaction records and 9 columns: InvoiceNo, StockCode, Description, Quantity, InvoiceDate, UnitPrice, CustomerID, Country and TotalAmount. There were no duplicate rows, no negative quantities and no non-positive unit prices in the cleaned data. CustomerID remained missing for 132,186 records and these records were excluded only when customer-level analysis was performed. The dataset contained 4,338 unique customers, 3,922 unique products and 38 countries, with total sales of 10,642,110.80.</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Dataset Attribute</w:t>
            </w:r>
          </w:p>
        </w:tc>
        <w:tc>
          <w:tcPr>
            <w:tcW w:type="dxa" w:w="5040"/>
          </w:tcPr>
          <w:p>
            <w:r>
              <w:rPr>
                <w:b/>
              </w:rPr>
              <w:t>Result</w:t>
            </w:r>
          </w:p>
        </w:tc>
      </w:tr>
      <w:tr>
        <w:tc>
          <w:tcPr>
            <w:tcW w:type="dxa" w:w="5040"/>
            <w:vAlign w:val="center"/>
          </w:tcPr>
          <w:p>
            <w:r>
              <w:t>Transaction records</w:t>
            </w:r>
          </w:p>
        </w:tc>
        <w:tc>
          <w:tcPr>
            <w:tcW w:type="dxa" w:w="5040"/>
            <w:vAlign w:val="center"/>
          </w:tcPr>
          <w:p>
            <w:r>
              <w:t>524,878</w:t>
            </w:r>
          </w:p>
        </w:tc>
      </w:tr>
      <w:tr>
        <w:tc>
          <w:tcPr>
            <w:tcW w:type="dxa" w:w="5040"/>
            <w:vAlign w:val="center"/>
          </w:tcPr>
          <w:p>
            <w:r>
              <w:t>Columns</w:t>
            </w:r>
          </w:p>
        </w:tc>
        <w:tc>
          <w:tcPr>
            <w:tcW w:type="dxa" w:w="5040"/>
            <w:vAlign w:val="center"/>
          </w:tcPr>
          <w:p>
            <w:r>
              <w:t>9</w:t>
            </w:r>
          </w:p>
        </w:tc>
      </w:tr>
      <w:tr>
        <w:tc>
          <w:tcPr>
            <w:tcW w:type="dxa" w:w="5040"/>
            <w:vAlign w:val="center"/>
          </w:tcPr>
          <w:p>
            <w:r>
              <w:t>Duplicate rows</w:t>
            </w:r>
          </w:p>
        </w:tc>
        <w:tc>
          <w:tcPr>
            <w:tcW w:type="dxa" w:w="5040"/>
            <w:vAlign w:val="center"/>
          </w:tcPr>
          <w:p>
            <w:r>
              <w:t>0</w:t>
            </w:r>
          </w:p>
        </w:tc>
      </w:tr>
      <w:tr>
        <w:tc>
          <w:tcPr>
            <w:tcW w:type="dxa" w:w="5040"/>
            <w:vAlign w:val="center"/>
          </w:tcPr>
          <w:p>
            <w:r>
              <w:t>Missing CustomerID</w:t>
            </w:r>
          </w:p>
        </w:tc>
        <w:tc>
          <w:tcPr>
            <w:tcW w:type="dxa" w:w="5040"/>
            <w:vAlign w:val="center"/>
          </w:tcPr>
          <w:p>
            <w:r>
              <w:t>132,186</w:t>
            </w:r>
          </w:p>
        </w:tc>
      </w:tr>
      <w:tr>
        <w:tc>
          <w:tcPr>
            <w:tcW w:type="dxa" w:w="5040"/>
            <w:vAlign w:val="center"/>
          </w:tcPr>
          <w:p>
            <w:r>
              <w:t>Unique customers</w:t>
            </w:r>
          </w:p>
        </w:tc>
        <w:tc>
          <w:tcPr>
            <w:tcW w:type="dxa" w:w="5040"/>
            <w:vAlign w:val="center"/>
          </w:tcPr>
          <w:p>
            <w:r>
              <w:t>4,338</w:t>
            </w:r>
          </w:p>
        </w:tc>
      </w:tr>
      <w:tr>
        <w:tc>
          <w:tcPr>
            <w:tcW w:type="dxa" w:w="5040"/>
            <w:vAlign w:val="center"/>
          </w:tcPr>
          <w:p>
            <w:r>
              <w:t>Unique products</w:t>
            </w:r>
          </w:p>
        </w:tc>
        <w:tc>
          <w:tcPr>
            <w:tcW w:type="dxa" w:w="5040"/>
            <w:vAlign w:val="center"/>
          </w:tcPr>
          <w:p>
            <w:r>
              <w:t>3,922</w:t>
            </w:r>
          </w:p>
        </w:tc>
      </w:tr>
      <w:tr>
        <w:tc>
          <w:tcPr>
            <w:tcW w:type="dxa" w:w="5040"/>
            <w:vAlign w:val="center"/>
          </w:tcPr>
          <w:p>
            <w:r>
              <w:t>Unique countries</w:t>
            </w:r>
          </w:p>
        </w:tc>
        <w:tc>
          <w:tcPr>
            <w:tcW w:type="dxa" w:w="5040"/>
            <w:vAlign w:val="center"/>
          </w:tcPr>
          <w:p>
            <w:r>
              <w:t>38</w:t>
            </w:r>
          </w:p>
        </w:tc>
      </w:tr>
      <w:tr>
        <w:tc>
          <w:tcPr>
            <w:tcW w:type="dxa" w:w="5040"/>
            <w:vAlign w:val="center"/>
          </w:tcPr>
          <w:p>
            <w:r>
              <w:t>Total sales</w:t>
            </w:r>
          </w:p>
        </w:tc>
        <w:tc>
          <w:tcPr>
            <w:tcW w:type="dxa" w:w="5040"/>
            <w:vAlign w:val="center"/>
          </w:tcPr>
          <w:p>
            <w:r>
              <w:t>10,642,110.80</w:t>
            </w:r>
          </w:p>
        </w:tc>
      </w:tr>
    </w:tbl>
    <w:p>
      <w:pPr>
        <w:pStyle w:val="Heading1"/>
      </w:pPr>
      <w:r>
        <w:t>4. Exploratory Data Analysis</w:t>
      </w:r>
    </w:p>
    <w:p>
      <w:r>
        <w:t>Descriptive statistics were calculated for Quantity, UnitPrice and TotalAmount. The mean Quantity was 10.62, mean UnitPrice was 3.92 and mean TotalAmount was 20.28. Sales were also examined across countries, products and months. The United Kingdom recorded the highest total sales at approximately 9,001,744.09. Monthly sales analysis was used to observe changes in sales activity over time. Product-level analysis identified the products with the highest total sales. Correlation analysis showed a strong positive relationship between Quantity and TotalAmount, with a correlation of 0.9074.</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EDA Measure</w:t>
            </w:r>
          </w:p>
        </w:tc>
        <w:tc>
          <w:tcPr>
            <w:tcW w:type="dxa" w:w="5040"/>
          </w:tcPr>
          <w:p>
            <w:r>
              <w:rPr>
                <w:b/>
              </w:rPr>
              <w:t>Result</w:t>
            </w:r>
          </w:p>
        </w:tc>
      </w:tr>
      <w:tr>
        <w:tc>
          <w:tcPr>
            <w:tcW w:type="dxa" w:w="5040"/>
            <w:vAlign w:val="center"/>
          </w:tcPr>
          <w:p>
            <w:r>
              <w:t>Mean Quantity</w:t>
            </w:r>
          </w:p>
        </w:tc>
        <w:tc>
          <w:tcPr>
            <w:tcW w:type="dxa" w:w="5040"/>
            <w:vAlign w:val="center"/>
          </w:tcPr>
          <w:p>
            <w:r>
              <w:t>10.6166</w:t>
            </w:r>
          </w:p>
        </w:tc>
      </w:tr>
      <w:tr>
        <w:tc>
          <w:tcPr>
            <w:tcW w:type="dxa" w:w="5040"/>
            <w:vAlign w:val="center"/>
          </w:tcPr>
          <w:p>
            <w:r>
              <w:t>Mean UnitPrice</w:t>
            </w:r>
          </w:p>
        </w:tc>
        <w:tc>
          <w:tcPr>
            <w:tcW w:type="dxa" w:w="5040"/>
            <w:vAlign w:val="center"/>
          </w:tcPr>
          <w:p>
            <w:r>
              <w:t>3.9226</w:t>
            </w:r>
          </w:p>
        </w:tc>
      </w:tr>
      <w:tr>
        <w:tc>
          <w:tcPr>
            <w:tcW w:type="dxa" w:w="5040"/>
            <w:vAlign w:val="center"/>
          </w:tcPr>
          <w:p>
            <w:r>
              <w:t>Mean TotalAmount</w:t>
            </w:r>
          </w:p>
        </w:tc>
        <w:tc>
          <w:tcPr>
            <w:tcW w:type="dxa" w:w="5040"/>
            <w:vAlign w:val="center"/>
          </w:tcPr>
          <w:p>
            <w:r>
              <w:t>20.2754</w:t>
            </w:r>
          </w:p>
        </w:tc>
      </w:tr>
      <w:tr>
        <w:tc>
          <w:tcPr>
            <w:tcW w:type="dxa" w:w="5040"/>
            <w:vAlign w:val="center"/>
          </w:tcPr>
          <w:p>
            <w:r>
              <w:t>Top country by sales</w:t>
            </w:r>
          </w:p>
        </w:tc>
        <w:tc>
          <w:tcPr>
            <w:tcW w:type="dxa" w:w="5040"/>
            <w:vAlign w:val="center"/>
          </w:tcPr>
          <w:p>
            <w:r>
              <w:t>United Kingdom</w:t>
            </w:r>
          </w:p>
        </w:tc>
      </w:tr>
      <w:tr>
        <w:tc>
          <w:tcPr>
            <w:tcW w:type="dxa" w:w="5040"/>
            <w:vAlign w:val="center"/>
          </w:tcPr>
          <w:p>
            <w:r>
              <w:t>Top country sales</w:t>
            </w:r>
          </w:p>
        </w:tc>
        <w:tc>
          <w:tcPr>
            <w:tcW w:type="dxa" w:w="5040"/>
            <w:vAlign w:val="center"/>
          </w:tcPr>
          <w:p>
            <w:r>
              <w:t>9,001,744.094</w:t>
            </w:r>
          </w:p>
        </w:tc>
      </w:tr>
      <w:tr>
        <w:tc>
          <w:tcPr>
            <w:tcW w:type="dxa" w:w="5040"/>
            <w:vAlign w:val="center"/>
          </w:tcPr>
          <w:p>
            <w:r>
              <w:t>Quantity–TotalAmount correlation</w:t>
            </w:r>
          </w:p>
        </w:tc>
        <w:tc>
          <w:tcPr>
            <w:tcW w:type="dxa" w:w="5040"/>
            <w:vAlign w:val="center"/>
          </w:tcPr>
          <w:p>
            <w:r>
              <w:t>0.9074</w:t>
            </w:r>
          </w:p>
        </w:tc>
      </w:tr>
    </w:tbl>
    <w:p>
      <w:pPr>
        <w:pStyle w:val="Heading1"/>
      </w:pPr>
      <w:r>
        <w:t>5. Customer-Level RFM Analysis</w:t>
      </w:r>
    </w:p>
    <w:p>
      <w:r>
        <w:t>For customer-level analysis, transactions without CustomerID were removed, resulting in 392,692 usable records and 4,338 unique customers. Recency, Frequency and Monetary values were calculated for each customer. The average Recency was 91.54 days, average Frequency was 4.27 invoices, and average Monetary value was 2,048.69. Because the RFM variables were skewed, log1p transformation was applied before standardization.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RFM Measure</w:t>
            </w:r>
          </w:p>
        </w:tc>
        <w:tc>
          <w:tcPr>
            <w:tcW w:type="dxa" w:w="2520"/>
          </w:tcPr>
          <w:p>
            <w:r>
              <w:rPr>
                <w:b/>
              </w:rPr>
              <w:t>Mean</w:t>
            </w:r>
          </w:p>
        </w:tc>
        <w:tc>
          <w:tcPr>
            <w:tcW w:type="dxa" w:w="2520"/>
          </w:tcPr>
          <w:p>
            <w:r>
              <w:rPr>
                <w:b/>
              </w:rPr>
              <w:t>Minimum</w:t>
            </w:r>
          </w:p>
        </w:tc>
        <w:tc>
          <w:tcPr>
            <w:tcW w:type="dxa" w:w="2520"/>
          </w:tcPr>
          <w:p>
            <w:r>
              <w:rPr>
                <w:b/>
              </w:rPr>
              <w:t>Maximum</w:t>
            </w:r>
          </w:p>
        </w:tc>
      </w:tr>
      <w:tr>
        <w:tc>
          <w:tcPr>
            <w:tcW w:type="dxa" w:w="2520"/>
            <w:vAlign w:val="center"/>
          </w:tcPr>
          <w:p>
            <w:r>
              <w:t>Recency</w:t>
            </w:r>
          </w:p>
        </w:tc>
        <w:tc>
          <w:tcPr>
            <w:tcW w:type="dxa" w:w="2520"/>
            <w:vAlign w:val="center"/>
          </w:tcPr>
          <w:p>
            <w:r>
              <w:t>91.54</w:t>
            </w:r>
          </w:p>
        </w:tc>
        <w:tc>
          <w:tcPr>
            <w:tcW w:type="dxa" w:w="2520"/>
            <w:vAlign w:val="center"/>
          </w:tcPr>
          <w:p>
            <w:r>
              <w:t>0</w:t>
            </w:r>
          </w:p>
        </w:tc>
        <w:tc>
          <w:tcPr>
            <w:tcW w:type="dxa" w:w="2520"/>
            <w:vAlign w:val="center"/>
          </w:tcPr>
          <w:p>
            <w:r>
              <w:t>373</w:t>
            </w:r>
          </w:p>
        </w:tc>
      </w:tr>
      <w:tr>
        <w:tc>
          <w:tcPr>
            <w:tcW w:type="dxa" w:w="2520"/>
            <w:vAlign w:val="center"/>
          </w:tcPr>
          <w:p>
            <w:r>
              <w:t>Frequency</w:t>
            </w:r>
          </w:p>
        </w:tc>
        <w:tc>
          <w:tcPr>
            <w:tcW w:type="dxa" w:w="2520"/>
            <w:vAlign w:val="center"/>
          </w:tcPr>
          <w:p>
            <w:r>
              <w:t>4.27</w:t>
            </w:r>
          </w:p>
        </w:tc>
        <w:tc>
          <w:tcPr>
            <w:tcW w:type="dxa" w:w="2520"/>
            <w:vAlign w:val="center"/>
          </w:tcPr>
          <w:p>
            <w:r>
              <w:t>1</w:t>
            </w:r>
          </w:p>
        </w:tc>
        <w:tc>
          <w:tcPr>
            <w:tcW w:type="dxa" w:w="2520"/>
            <w:vAlign w:val="center"/>
          </w:tcPr>
          <w:p>
            <w:r>
              <w:t>209</w:t>
            </w:r>
          </w:p>
        </w:tc>
      </w:tr>
      <w:tr>
        <w:tc>
          <w:tcPr>
            <w:tcW w:type="dxa" w:w="2520"/>
            <w:vAlign w:val="center"/>
          </w:tcPr>
          <w:p>
            <w:r>
              <w:t>Monetary</w:t>
            </w:r>
          </w:p>
        </w:tc>
        <w:tc>
          <w:tcPr>
            <w:tcW w:type="dxa" w:w="2520"/>
            <w:vAlign w:val="center"/>
          </w:tcPr>
          <w:p>
            <w:r>
              <w:t>2,048.69</w:t>
            </w:r>
          </w:p>
        </w:tc>
        <w:tc>
          <w:tcPr>
            <w:tcW w:type="dxa" w:w="2520"/>
            <w:vAlign w:val="center"/>
          </w:tcPr>
          <w:p>
            <w:r>
              <w:t>3.75</w:t>
            </w:r>
          </w:p>
        </w:tc>
        <w:tc>
          <w:tcPr>
            <w:tcW w:type="dxa" w:w="2520"/>
            <w:vAlign w:val="center"/>
          </w:tcPr>
          <w:p>
            <w:r>
              <w:t>280,206.02</w:t>
            </w:r>
          </w:p>
        </w:tc>
      </w:tr>
    </w:tbl>
    <w:p>
      <w:pPr>
        <w:pStyle w:val="Heading1"/>
      </w:pPr>
      <w:r>
        <w:t>6. Unsupervised Learning — K-Means Clustering</w:t>
      </w:r>
    </w:p>
    <w:p>
      <w:r>
        <w:t>K-Means clustering was evaluated for values of K from 2 to 10. Both the Elbow Method and Silhouette Score were examined. The highest silhouette score was obtained for K=2 with a score of 0.4344, so two clusters were selected for the final segmentation. Principal Component Analysis (PCA) was used to visualize the resulting customer groups in two dimensions.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K</w:t>
            </w:r>
          </w:p>
        </w:tc>
        <w:tc>
          <w:tcPr>
            <w:tcW w:type="dxa" w:w="5040"/>
          </w:tcPr>
          <w:p>
            <w:r>
              <w:rPr>
                <w:b/>
              </w:rPr>
              <w:t>Silhouette Score</w:t>
            </w:r>
          </w:p>
        </w:tc>
      </w:tr>
      <w:tr>
        <w:tc>
          <w:tcPr>
            <w:tcW w:type="dxa" w:w="5040"/>
            <w:vAlign w:val="center"/>
          </w:tcPr>
          <w:p>
            <w:r>
              <w:t>2</w:t>
            </w:r>
          </w:p>
        </w:tc>
        <w:tc>
          <w:tcPr>
            <w:tcW w:type="dxa" w:w="5040"/>
            <w:vAlign w:val="center"/>
          </w:tcPr>
          <w:p>
            <w:r>
              <w:t>0.4344</w:t>
            </w:r>
          </w:p>
        </w:tc>
      </w:tr>
      <w:tr>
        <w:tc>
          <w:tcPr>
            <w:tcW w:type="dxa" w:w="5040"/>
            <w:vAlign w:val="center"/>
          </w:tcPr>
          <w:p>
            <w:r>
              <w:t>3</w:t>
            </w:r>
          </w:p>
        </w:tc>
        <w:tc>
          <w:tcPr>
            <w:tcW w:type="dxa" w:w="5040"/>
            <w:vAlign w:val="center"/>
          </w:tcPr>
          <w:p>
            <w:r>
              <w:t>0.3392</w:t>
            </w:r>
          </w:p>
        </w:tc>
      </w:tr>
      <w:tr>
        <w:tc>
          <w:tcPr>
            <w:tcW w:type="dxa" w:w="5040"/>
            <w:vAlign w:val="center"/>
          </w:tcPr>
          <w:p>
            <w:r>
              <w:t>4</w:t>
            </w:r>
          </w:p>
        </w:tc>
        <w:tc>
          <w:tcPr>
            <w:tcW w:type="dxa" w:w="5040"/>
            <w:vAlign w:val="center"/>
          </w:tcPr>
          <w:p>
            <w:r>
              <w:t>0.3357</w:t>
            </w:r>
          </w:p>
        </w:tc>
      </w:tr>
      <w:tr>
        <w:tc>
          <w:tcPr>
            <w:tcW w:type="dxa" w:w="5040"/>
            <w:vAlign w:val="center"/>
          </w:tcPr>
          <w:p>
            <w:r>
              <w:t>5</w:t>
            </w:r>
          </w:p>
        </w:tc>
        <w:tc>
          <w:tcPr>
            <w:tcW w:type="dxa" w:w="5040"/>
            <w:vAlign w:val="center"/>
          </w:tcPr>
          <w:p>
            <w:r>
              <w:t>0.3149</w:t>
            </w:r>
          </w:p>
        </w:tc>
      </w:tr>
      <w:tr>
        <w:tc>
          <w:tcPr>
            <w:tcW w:type="dxa" w:w="5040"/>
            <w:vAlign w:val="center"/>
          </w:tcPr>
          <w:p>
            <w:r>
              <w:t>6</w:t>
            </w:r>
          </w:p>
        </w:tc>
        <w:tc>
          <w:tcPr>
            <w:tcW w:type="dxa" w:w="5040"/>
            <w:vAlign w:val="center"/>
          </w:tcPr>
          <w:p>
            <w:r>
              <w:t>0.3136</w:t>
            </w:r>
          </w:p>
        </w:tc>
      </w:tr>
      <w:tr>
        <w:tc>
          <w:tcPr>
            <w:tcW w:type="dxa" w:w="5040"/>
            <w:vAlign w:val="center"/>
          </w:tcPr>
          <w:p>
            <w:r>
              <w:t>7</w:t>
            </w:r>
          </w:p>
        </w:tc>
        <w:tc>
          <w:tcPr>
            <w:tcW w:type="dxa" w:w="5040"/>
            <w:vAlign w:val="center"/>
          </w:tcPr>
          <w:p>
            <w:r>
              <w:t>0.3077</w:t>
            </w:r>
          </w:p>
        </w:tc>
      </w:tr>
      <w:tr>
        <w:tc>
          <w:tcPr>
            <w:tcW w:type="dxa" w:w="5040"/>
            <w:vAlign w:val="center"/>
          </w:tcPr>
          <w:p>
            <w:r>
              <w:t>8</w:t>
            </w:r>
          </w:p>
        </w:tc>
        <w:tc>
          <w:tcPr>
            <w:tcW w:type="dxa" w:w="5040"/>
            <w:vAlign w:val="center"/>
          </w:tcPr>
          <w:p>
            <w:r>
              <w:t>0.2941</w:t>
            </w:r>
          </w:p>
        </w:tc>
      </w:tr>
      <w:tr>
        <w:tc>
          <w:tcPr>
            <w:tcW w:type="dxa" w:w="5040"/>
            <w:vAlign w:val="center"/>
          </w:tcPr>
          <w:p>
            <w:r>
              <w:t>9</w:t>
            </w:r>
          </w:p>
        </w:tc>
        <w:tc>
          <w:tcPr>
            <w:tcW w:type="dxa" w:w="5040"/>
            <w:vAlign w:val="center"/>
          </w:tcPr>
          <w:p>
            <w:r>
              <w:t>0.2762</w:t>
            </w:r>
          </w:p>
        </w:tc>
      </w:tr>
      <w:tr>
        <w:tc>
          <w:tcPr>
            <w:tcW w:type="dxa" w:w="5040"/>
            <w:vAlign w:val="center"/>
          </w:tcPr>
          <w:p>
            <w:r>
              <w:t>10</w:t>
            </w:r>
          </w:p>
        </w:tc>
        <w:tc>
          <w:tcPr>
            <w:tcW w:type="dxa" w:w="5040"/>
            <w:vAlign w:val="center"/>
          </w:tcPr>
          <w:p>
            <w:r>
              <w:t>0.2766</w:t>
            </w:r>
          </w:p>
        </w:tc>
      </w:tr>
    </w:tbl>
    <w:p>
      <w:pPr>
        <w:pStyle w:val="Heading1"/>
      </w:pPr>
      <w:r>
        <w:t>7. Cluster Analysis</w:t>
      </w:r>
    </w:p>
    <w:p>
      <w:r>
        <w:t>The final K-Means model produced two customer clusters. Cluster 0 contained 2,683 customers and had an average Recency of 132.7 days, average Frequency of 1.68 and average Monetary value of 498.22. Cluster 1 contained 1,655 customers and had an average Recency of 24.8 days, average Frequency of 8.48 and average Monetary value of 4,562.22. Thus, Cluster 1 represents the group with higher average purchase frequency and monetary value and more recent activity within this dataset.</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rPr>
              <w:t>Cluster</w:t>
            </w:r>
          </w:p>
        </w:tc>
        <w:tc>
          <w:tcPr>
            <w:tcW w:type="dxa" w:w="2016"/>
          </w:tcPr>
          <w:p>
            <w:r>
              <w:rPr>
                <w:b/>
              </w:rPr>
              <w:t>Customers</w:t>
            </w:r>
          </w:p>
        </w:tc>
        <w:tc>
          <w:tcPr>
            <w:tcW w:type="dxa" w:w="2016"/>
          </w:tcPr>
          <w:p>
            <w:r>
              <w:rPr>
                <w:b/>
              </w:rPr>
              <w:t>Avg. Recency</w:t>
            </w:r>
          </w:p>
        </w:tc>
        <w:tc>
          <w:tcPr>
            <w:tcW w:type="dxa" w:w="2016"/>
          </w:tcPr>
          <w:p>
            <w:r>
              <w:rPr>
                <w:b/>
              </w:rPr>
              <w:t>Avg. Frequency</w:t>
            </w:r>
          </w:p>
        </w:tc>
        <w:tc>
          <w:tcPr>
            <w:tcW w:type="dxa" w:w="2016"/>
          </w:tcPr>
          <w:p>
            <w:r>
              <w:rPr>
                <w:b/>
              </w:rPr>
              <w:t>Avg. Monetary</w:t>
            </w:r>
          </w:p>
        </w:tc>
      </w:tr>
      <w:tr>
        <w:tc>
          <w:tcPr>
            <w:tcW w:type="dxa" w:w="2016"/>
            <w:vAlign w:val="center"/>
          </w:tcPr>
          <w:p>
            <w:r>
              <w:t>0</w:t>
            </w:r>
          </w:p>
        </w:tc>
        <w:tc>
          <w:tcPr>
            <w:tcW w:type="dxa" w:w="2016"/>
            <w:vAlign w:val="center"/>
          </w:tcPr>
          <w:p>
            <w:r>
              <w:t>2,683</w:t>
            </w:r>
          </w:p>
        </w:tc>
        <w:tc>
          <w:tcPr>
            <w:tcW w:type="dxa" w:w="2016"/>
            <w:vAlign w:val="center"/>
          </w:tcPr>
          <w:p>
            <w:r>
              <w:t>132.7</w:t>
            </w:r>
          </w:p>
        </w:tc>
        <w:tc>
          <w:tcPr>
            <w:tcW w:type="dxa" w:w="2016"/>
            <w:vAlign w:val="center"/>
          </w:tcPr>
          <w:p>
            <w:r>
              <w:t>1.68</w:t>
            </w:r>
          </w:p>
        </w:tc>
        <w:tc>
          <w:tcPr>
            <w:tcW w:type="dxa" w:w="2016"/>
            <w:vAlign w:val="center"/>
          </w:tcPr>
          <w:p>
            <w:r>
              <w:t>498.22</w:t>
            </w:r>
          </w:p>
        </w:tc>
      </w:tr>
      <w:tr>
        <w:tc>
          <w:tcPr>
            <w:tcW w:type="dxa" w:w="2016"/>
            <w:vAlign w:val="center"/>
          </w:tcPr>
          <w:p>
            <w:r>
              <w:t>1</w:t>
            </w:r>
          </w:p>
        </w:tc>
        <w:tc>
          <w:tcPr>
            <w:tcW w:type="dxa" w:w="2016"/>
            <w:vAlign w:val="center"/>
          </w:tcPr>
          <w:p>
            <w:r>
              <w:t>1,655</w:t>
            </w:r>
          </w:p>
        </w:tc>
        <w:tc>
          <w:tcPr>
            <w:tcW w:type="dxa" w:w="2016"/>
            <w:vAlign w:val="center"/>
          </w:tcPr>
          <w:p>
            <w:r>
              <w:t>24.8</w:t>
            </w:r>
          </w:p>
        </w:tc>
        <w:tc>
          <w:tcPr>
            <w:tcW w:type="dxa" w:w="2016"/>
            <w:vAlign w:val="center"/>
          </w:tcPr>
          <w:p>
            <w:r>
              <w:t>8.48</w:t>
            </w:r>
          </w:p>
        </w:tc>
        <w:tc>
          <w:tcPr>
            <w:tcW w:type="dxa" w:w="2016"/>
            <w:vAlign w:val="center"/>
          </w:tcPr>
          <w:p>
            <w:r>
              <w:t>4,562.22</w:t>
            </w:r>
          </w:p>
        </w:tc>
      </w:tr>
    </w:tbl>
    <w:p>
      <w:pPr>
        <w:pStyle w:val="Heading1"/>
      </w:pPr>
      <w:r>
        <w:t>8. Supervised Learning — Random Forest</w:t>
      </w:r>
    </w:p>
    <w:p>
      <w:r>
        <w:t>For supervised learning, the median customer Frequency of 2.0 was used to define the target. Customers with Frequency greater than 2 were classified as High Frequency, while the remaining customers were classified as Lower Frequency. Frequency was excluded from the input features because it directly defines the target. Recency and Monetary were used as predictive features. An 80:20 stratified train-test split produced 3,470 training customers and 868 testing customers.</w:t>
      </w:r>
    </w:p>
    <w:p>
      <w:r>
        <w:t>A Random Forest Classifier with 100 trees achieved 80.53% test accuracy. Precision, recall and F1-score were 0.82 for Lower Frequency customers and 0.79 for High Frequency customers. The confusion matrix contained 381 correct Lower Frequency predictions and 318 correct High Frequency predictions.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Model</w:t>
            </w:r>
          </w:p>
        </w:tc>
        <w:tc>
          <w:tcPr>
            <w:tcW w:type="dxa" w:w="5040"/>
          </w:tcPr>
          <w:p>
            <w:r>
              <w:rPr>
                <w:b/>
              </w:rPr>
              <w:t>Accuracy</w:t>
            </w:r>
          </w:p>
        </w:tc>
      </w:tr>
      <w:tr>
        <w:tc>
          <w:tcPr>
            <w:tcW w:type="dxa" w:w="5040"/>
            <w:vAlign w:val="center"/>
          </w:tcPr>
          <w:p>
            <w:r>
              <w:t>Random Forest</w:t>
            </w:r>
          </w:p>
        </w:tc>
        <w:tc>
          <w:tcPr>
            <w:tcW w:type="dxa" w:w="5040"/>
            <w:vAlign w:val="center"/>
          </w:tcPr>
          <w:p>
            <w:r>
              <w:t>80.53%</w:t>
            </w:r>
          </w:p>
        </w:tc>
      </w:tr>
      <w:tr>
        <w:tc>
          <w:tcPr>
            <w:tcW w:type="dxa" w:w="5040"/>
            <w:vAlign w:val="center"/>
          </w:tcPr>
          <w:p>
            <w:r>
              <w:t>Artificial Neural Network</w:t>
            </w:r>
          </w:p>
        </w:tc>
        <w:tc>
          <w:tcPr>
            <w:tcW w:type="dxa" w:w="5040"/>
            <w:vAlign w:val="center"/>
          </w:tcPr>
          <w:p>
            <w:r>
              <w:t>85.14%</w:t>
            </w:r>
          </w:p>
        </w:tc>
      </w:tr>
    </w:tbl>
    <w:p>
      <w:pPr>
        <w:pStyle w:val="Heading1"/>
      </w:pPr>
      <w:r>
        <w:t>9. Random Forest Feature Importance</w:t>
      </w:r>
    </w:p>
    <w:p>
      <w:r>
        <w:t>Feature importance analysis showed that Monetary was the more influential predictor in the Random Forest model, with an importance of 0.711573 or 71.16%. Recency had an importance of 0.288427 or 28.84%.</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Feature</w:t>
            </w:r>
          </w:p>
        </w:tc>
        <w:tc>
          <w:tcPr>
            <w:tcW w:type="dxa" w:w="5040"/>
          </w:tcPr>
          <w:p>
            <w:r>
              <w:rPr>
                <w:b/>
              </w:rPr>
              <w:t>Importance</w:t>
            </w:r>
          </w:p>
        </w:tc>
      </w:tr>
      <w:tr>
        <w:tc>
          <w:tcPr>
            <w:tcW w:type="dxa" w:w="5040"/>
            <w:vAlign w:val="center"/>
          </w:tcPr>
          <w:p>
            <w:r>
              <w:t>Monetary</w:t>
            </w:r>
          </w:p>
        </w:tc>
        <w:tc>
          <w:tcPr>
            <w:tcW w:type="dxa" w:w="5040"/>
            <w:vAlign w:val="center"/>
          </w:tcPr>
          <w:p>
            <w:r>
              <w:t>71.16%</w:t>
            </w:r>
          </w:p>
        </w:tc>
      </w:tr>
      <w:tr>
        <w:tc>
          <w:tcPr>
            <w:tcW w:type="dxa" w:w="5040"/>
            <w:vAlign w:val="center"/>
          </w:tcPr>
          <w:p>
            <w:r>
              <w:t>Recency</w:t>
            </w:r>
          </w:p>
        </w:tc>
        <w:tc>
          <w:tcPr>
            <w:tcW w:type="dxa" w:w="5040"/>
            <w:vAlign w:val="center"/>
          </w:tcPr>
          <w:p>
            <w:r>
              <w:t>28.84%</w:t>
            </w:r>
          </w:p>
        </w:tc>
      </w:tr>
    </w:tbl>
    <w:p>
      <w:pPr>
        <w:pStyle w:val="Heading1"/>
      </w:pPr>
      <w:r>
        <w:t>10. Deep Learning — Artificial Neural Network</w:t>
      </w:r>
    </w:p>
    <w:p>
      <w:r>
        <w:t>An Artificial Neural Network was implemented using TensorFlow and Keras. The network used two standardized input features, followed by hidden layers of 32, 16 and 8 neurons and a single sigmoid output neuron. ReLU activation was used in the hidden layers. Dropout layers with a rate of 0.20 were used after the first two hidden layers. The Adam optimizer and binary cross-entropy loss were used for training. Early stopping was enabled to restore the best validation weights.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Component</w:t>
            </w:r>
          </w:p>
        </w:tc>
        <w:tc>
          <w:tcPr>
            <w:tcW w:type="dxa" w:w="5040"/>
          </w:tcPr>
          <w:p>
            <w:r>
              <w:rPr>
                <w:b/>
              </w:rPr>
              <w:t>Configuration</w:t>
            </w:r>
          </w:p>
        </w:tc>
      </w:tr>
      <w:tr>
        <w:tc>
          <w:tcPr>
            <w:tcW w:type="dxa" w:w="5040"/>
            <w:vAlign w:val="center"/>
          </w:tcPr>
          <w:p>
            <w:r>
              <w:t>Architecture</w:t>
            </w:r>
          </w:p>
        </w:tc>
        <w:tc>
          <w:tcPr>
            <w:tcW w:type="dxa" w:w="5040"/>
            <w:vAlign w:val="center"/>
          </w:tcPr>
          <w:p>
            <w:r>
              <w:t>32 → 16 → 8 → 1</w:t>
            </w:r>
          </w:p>
        </w:tc>
      </w:tr>
      <w:tr>
        <w:tc>
          <w:tcPr>
            <w:tcW w:type="dxa" w:w="5040"/>
            <w:vAlign w:val="center"/>
          </w:tcPr>
          <w:p>
            <w:r>
              <w:t>Optimizer</w:t>
            </w:r>
          </w:p>
        </w:tc>
        <w:tc>
          <w:tcPr>
            <w:tcW w:type="dxa" w:w="5040"/>
            <w:vAlign w:val="center"/>
          </w:tcPr>
          <w:p>
            <w:r>
              <w:t>Adam</w:t>
            </w:r>
          </w:p>
        </w:tc>
      </w:tr>
      <w:tr>
        <w:tc>
          <w:tcPr>
            <w:tcW w:type="dxa" w:w="5040"/>
            <w:vAlign w:val="center"/>
          </w:tcPr>
          <w:p>
            <w:r>
              <w:t>Hidden activation</w:t>
            </w:r>
          </w:p>
        </w:tc>
        <w:tc>
          <w:tcPr>
            <w:tcW w:type="dxa" w:w="5040"/>
            <w:vAlign w:val="center"/>
          </w:tcPr>
          <w:p>
            <w:r>
              <w:t>ReLU</w:t>
            </w:r>
          </w:p>
        </w:tc>
      </w:tr>
      <w:tr>
        <w:tc>
          <w:tcPr>
            <w:tcW w:type="dxa" w:w="5040"/>
            <w:vAlign w:val="center"/>
          </w:tcPr>
          <w:p>
            <w:r>
              <w:t>Output activation</w:t>
            </w:r>
          </w:p>
        </w:tc>
        <w:tc>
          <w:tcPr>
            <w:tcW w:type="dxa" w:w="5040"/>
            <w:vAlign w:val="center"/>
          </w:tcPr>
          <w:p>
            <w:r>
              <w:t>Sigmoid</w:t>
            </w:r>
          </w:p>
        </w:tc>
      </w:tr>
      <w:tr>
        <w:tc>
          <w:tcPr>
            <w:tcW w:type="dxa" w:w="5040"/>
            <w:vAlign w:val="center"/>
          </w:tcPr>
          <w:p>
            <w:r>
              <w:t>Dropout</w:t>
            </w:r>
          </w:p>
        </w:tc>
        <w:tc>
          <w:tcPr>
            <w:tcW w:type="dxa" w:w="5040"/>
            <w:vAlign w:val="center"/>
          </w:tcPr>
          <w:p>
            <w:r>
              <w:t>0.20</w:t>
            </w:r>
          </w:p>
        </w:tc>
      </w:tr>
      <w:tr>
        <w:tc>
          <w:tcPr>
            <w:tcW w:type="dxa" w:w="5040"/>
            <w:vAlign w:val="center"/>
          </w:tcPr>
          <w:p>
            <w:r>
              <w:t>Batch size</w:t>
            </w:r>
          </w:p>
        </w:tc>
        <w:tc>
          <w:tcPr>
            <w:tcW w:type="dxa" w:w="5040"/>
            <w:vAlign w:val="center"/>
          </w:tcPr>
          <w:p>
            <w:r>
              <w:t>32</w:t>
            </w:r>
          </w:p>
        </w:tc>
      </w:tr>
      <w:tr>
        <w:tc>
          <w:tcPr>
            <w:tcW w:type="dxa" w:w="5040"/>
            <w:vAlign w:val="center"/>
          </w:tcPr>
          <w:p>
            <w:r>
              <w:t>Maximum epochs</w:t>
            </w:r>
          </w:p>
        </w:tc>
        <w:tc>
          <w:tcPr>
            <w:tcW w:type="dxa" w:w="5040"/>
            <w:vAlign w:val="center"/>
          </w:tcPr>
          <w:p>
            <w:r>
              <w:t>100</w:t>
            </w:r>
          </w:p>
        </w:tc>
      </w:tr>
      <w:tr>
        <w:tc>
          <w:tcPr>
            <w:tcW w:type="dxa" w:w="5040"/>
            <w:vAlign w:val="center"/>
          </w:tcPr>
          <w:p>
            <w:r>
              <w:t>Early stopping</w:t>
            </w:r>
          </w:p>
        </w:tc>
        <w:tc>
          <w:tcPr>
            <w:tcW w:type="dxa" w:w="5040"/>
            <w:vAlign w:val="center"/>
          </w:tcPr>
          <w:p>
            <w:r>
              <w:t>Enabled</w:t>
            </w:r>
          </w:p>
        </w:tc>
      </w:tr>
      <w:tr>
        <w:tc>
          <w:tcPr>
            <w:tcW w:type="dxa" w:w="5040"/>
            <w:vAlign w:val="center"/>
          </w:tcPr>
          <w:p>
            <w:r>
              <w:t>Test accuracy</w:t>
            </w:r>
          </w:p>
        </w:tc>
        <w:tc>
          <w:tcPr>
            <w:tcW w:type="dxa" w:w="5040"/>
            <w:vAlign w:val="center"/>
          </w:tcPr>
          <w:p>
            <w:r>
              <w:t>85.14%</w:t>
            </w:r>
          </w:p>
        </w:tc>
      </w:tr>
    </w:tbl>
    <w:p>
      <w:pPr>
        <w:pStyle w:val="Heading1"/>
      </w:pPr>
      <w:r>
        <w:t>11. Deep Learning Evaluation</w:t>
      </w:r>
    </w:p>
    <w:p>
      <w:r>
        <w:t>The Artificial Neural Network achieved a test loss of 0.3431 and test accuracy of 85.14%. The classification report produced an F1-score of 0.86 for Lower Frequency customers and 0.84 for High Frequency customers. The confusion matrix contained 408 correct Lower Frequency predictions and 331 correct High Frequency predictions.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rPr>
              <w:t>Class</w:t>
            </w:r>
          </w:p>
        </w:tc>
        <w:tc>
          <w:tcPr>
            <w:tcW w:type="dxa" w:w="2016"/>
          </w:tcPr>
          <w:p>
            <w:r>
              <w:rPr>
                <w:b/>
              </w:rPr>
              <w:t>Precision</w:t>
            </w:r>
          </w:p>
        </w:tc>
        <w:tc>
          <w:tcPr>
            <w:tcW w:type="dxa" w:w="2016"/>
          </w:tcPr>
          <w:p>
            <w:r>
              <w:rPr>
                <w:b/>
              </w:rPr>
              <w:t>Recall</w:t>
            </w:r>
          </w:p>
        </w:tc>
        <w:tc>
          <w:tcPr>
            <w:tcW w:type="dxa" w:w="2016"/>
          </w:tcPr>
          <w:p>
            <w:r>
              <w:rPr>
                <w:b/>
              </w:rPr>
              <w:t>F1-Score</w:t>
            </w:r>
          </w:p>
        </w:tc>
        <w:tc>
          <w:tcPr>
            <w:tcW w:type="dxa" w:w="2016"/>
          </w:tcPr>
          <w:p>
            <w:r>
              <w:rPr>
                <w:b/>
              </w:rPr>
              <w:t>Support</w:t>
            </w:r>
          </w:p>
        </w:tc>
      </w:tr>
      <w:tr>
        <w:tc>
          <w:tcPr>
            <w:tcW w:type="dxa" w:w="2016"/>
            <w:vAlign w:val="center"/>
          </w:tcPr>
          <w:p>
            <w:r>
              <w:t>Lower Frequency</w:t>
            </w:r>
          </w:p>
        </w:tc>
        <w:tc>
          <w:tcPr>
            <w:tcW w:type="dxa" w:w="2016"/>
            <w:vAlign w:val="center"/>
          </w:tcPr>
          <w:p>
            <w:r>
              <w:t>0.85</w:t>
            </w:r>
          </w:p>
        </w:tc>
        <w:tc>
          <w:tcPr>
            <w:tcW w:type="dxa" w:w="2016"/>
            <w:vAlign w:val="center"/>
          </w:tcPr>
          <w:p>
            <w:r>
              <w:t>0.88</w:t>
            </w:r>
          </w:p>
        </w:tc>
        <w:tc>
          <w:tcPr>
            <w:tcW w:type="dxa" w:w="2016"/>
            <w:vAlign w:val="center"/>
          </w:tcPr>
          <w:p>
            <w:r>
              <w:t>0.86</w:t>
            </w:r>
          </w:p>
        </w:tc>
        <w:tc>
          <w:tcPr>
            <w:tcW w:type="dxa" w:w="2016"/>
            <w:vAlign w:val="center"/>
          </w:tcPr>
          <w:p>
            <w:r>
              <w:t>466</w:t>
            </w:r>
          </w:p>
        </w:tc>
      </w:tr>
      <w:tr>
        <w:tc>
          <w:tcPr>
            <w:tcW w:type="dxa" w:w="2016"/>
            <w:vAlign w:val="center"/>
          </w:tcPr>
          <w:p>
            <w:r>
              <w:t>High Frequency</w:t>
            </w:r>
          </w:p>
        </w:tc>
        <w:tc>
          <w:tcPr>
            <w:tcW w:type="dxa" w:w="2016"/>
            <w:vAlign w:val="center"/>
          </w:tcPr>
          <w:p>
            <w:r>
              <w:t>0.85</w:t>
            </w:r>
          </w:p>
        </w:tc>
        <w:tc>
          <w:tcPr>
            <w:tcW w:type="dxa" w:w="2016"/>
            <w:vAlign w:val="center"/>
          </w:tcPr>
          <w:p>
            <w:r>
              <w:t>0.82</w:t>
            </w:r>
          </w:p>
        </w:tc>
        <w:tc>
          <w:tcPr>
            <w:tcW w:type="dxa" w:w="2016"/>
            <w:vAlign w:val="center"/>
          </w:tcPr>
          <w:p>
            <w:r>
              <w:t>0.84</w:t>
            </w:r>
          </w:p>
        </w:tc>
        <w:tc>
          <w:tcPr>
            <w:tcW w:type="dxa" w:w="2016"/>
            <w:vAlign w:val="center"/>
          </w:tcPr>
          <w:p>
            <w:r>
              <w:t>402</w:t>
            </w:r>
          </w:p>
        </w:tc>
      </w:tr>
    </w:tbl>
    <w:p>
      <w:pPr>
        <w:pStyle w:val="Heading1"/>
      </w:pPr>
      <w:r>
        <w:t>12. Model Comparison</w:t>
      </w:r>
    </w:p>
    <w:p>
      <w:r>
        <w:t>The two supervised approaches were evaluated on the same held-out test set. The Random Forest achieved 80.53% accuracy, while the Artificial Neural Network achieved 85.14% accuracy. The results show that both models were able to classify the customer groups, with the neural network producing the higher test accuracy in this experiment.</w:t>
      </w:r>
    </w:p>
    <w:p>
      <w:pPr>
        <w:pStyle w:val="Heading1"/>
      </w:pPr>
      <w:r>
        <w:t>13. Key Insights</w:t>
      </w:r>
    </w:p>
    <w:p>
      <w:pPr>
        <w:pStyle w:val="ListBullet"/>
      </w:pPr>
      <w:r>
        <w:t>The cleaned transaction dataset contains 524,878 records and 4,338 identifiable customers.</w:t>
      </w:r>
    </w:p>
    <w:p>
      <w:pPr>
        <w:pStyle w:val="ListBullet"/>
      </w:pPr>
      <w:r>
        <w:t>The United Kingdom contributed the highest total sales among the countries in the dataset.</w:t>
      </w:r>
    </w:p>
    <w:p>
      <w:pPr>
        <w:pStyle w:val="ListBullet"/>
      </w:pPr>
      <w:r>
        <w:t>RFM analysis provided a customer-level representation of recency, purchase frequency and monetary value.</w:t>
      </w:r>
    </w:p>
    <w:p>
      <w:pPr>
        <w:pStyle w:val="ListBullet"/>
      </w:pPr>
      <w:r>
        <w:t>K-Means clustering produced two distinct customer groups with a final silhouette score of 0.4344.</w:t>
      </w:r>
    </w:p>
    <w:p>
      <w:pPr>
        <w:pStyle w:val="ListBullet"/>
      </w:pPr>
      <w:r>
        <w:t>Cluster 1 contained 1,655 customers and had substantially higher average frequency and monetary value than Cluster 0.</w:t>
      </w:r>
    </w:p>
    <w:p>
      <w:pPr>
        <w:pStyle w:val="ListBullet"/>
      </w:pPr>
      <w:r>
        <w:t>Random Forest achieved 80.53% test accuracy using Recency and Monetary as predictive features.</w:t>
      </w:r>
    </w:p>
    <w:p>
      <w:pPr>
        <w:pStyle w:val="ListBullet"/>
      </w:pPr>
      <w:r>
        <w:t>The Artificial Neural Network achieved 85.14% test accuracy on the same classification task.</w:t>
      </w:r>
    </w:p>
    <w:p>
      <w:pPr>
        <w:pStyle w:val="ListBullet"/>
      </w:pPr>
      <w:r>
        <w:t>Monetary value was the most influential Random Forest feature in this implementation.</w:t>
      </w:r>
    </w:p>
    <w:p>
      <w:pPr>
        <w:pStyle w:val="Heading1"/>
      </w:pPr>
      <w:r>
        <w:t>14. Business Recommendations</w:t>
      </w:r>
    </w:p>
    <w:p>
      <w:pPr>
        <w:pStyle w:val="ListBullet"/>
      </w:pPr>
      <w:r>
        <w:t>Use the identified customer clusters to design differentiated marketing campaigns.</w:t>
      </w:r>
    </w:p>
    <w:p>
      <w:pPr>
        <w:pStyle w:val="ListBullet"/>
      </w:pPr>
      <w:r>
        <w:t>Prioritize retention-oriented activities for recently active and high-value customer segments.</w:t>
      </w:r>
    </w:p>
    <w:p>
      <w:pPr>
        <w:pStyle w:val="ListBullet"/>
      </w:pPr>
      <w:r>
        <w:t>Use monetary behaviour to identify customers suitable for value-focused or personalized offers.</w:t>
      </w:r>
    </w:p>
    <w:p>
      <w:pPr>
        <w:pStyle w:val="ListBullet"/>
      </w:pPr>
      <w:r>
        <w:t>Develop targeted promotions according to customer purchasing characteristics rather than using a single strategy for all customers.</w:t>
      </w:r>
    </w:p>
    <w:p>
      <w:pPr>
        <w:pStyle w:val="ListBullet"/>
      </w:pPr>
      <w:r>
        <w:t>Monitor recency regularly to identify customers whose activity is declining.</w:t>
      </w:r>
    </w:p>
    <w:p>
      <w:pPr>
        <w:pStyle w:val="ListBullet"/>
      </w:pPr>
      <w:r>
        <w:t>Use predictive models as decision-support tools and periodically retrain and evaluate them as new transaction data becomes available.</w:t>
      </w:r>
    </w:p>
    <w:p>
      <w:pPr>
        <w:pStyle w:val="Heading1"/>
      </w:pPr>
      <w:r>
        <w:t>15. Challenges and Successes</w:t>
      </w:r>
    </w:p>
    <w:p>
      <w:r>
        <w:t>A key challenge was converting transaction-level retail data into meaningful customer-level information. RFM feature engineering provided a structured way to represent customer behaviour, while log transformation and standardization helped prepare the features for clustering. Another important consideration was avoiding direct target leakage in the supervised-learning stage by excluding Frequency from the predictive features. The project successfully integrated exploratory analysis, unsupervised learning, supervised learning and deep learning into one coherent workflow. Model evaluation through multiple metrics and visualizations also made it possible to assess the strengths and limitations of the approaches used.</w:t>
      </w:r>
    </w:p>
    <w:p>
      <w:pPr>
        <w:pStyle w:val="Heading1"/>
      </w:pPr>
      <w:r>
        <w:t>16. Conclusion</w:t>
      </w:r>
    </w:p>
    <w:p>
      <w:r>
        <w:t>The Week 6 capstone successfully integrated the major data science techniques practiced during the internship into a single end-to-end project. The cleaned UCI Online Retail dataset was explored and transformed into customer-level RFM data. K-Means clustering identified two customer groups with a silhouette score of 0.4344. A Random Forest model achieved 80.53% accuracy, while the Artificial Neural Network achieved 85.14% accuracy on the customer-frequency classification task. The project demonstrated practical experience in data preparation, EDA, feature engineering, unsupervised learning, supervised learning, deep learning, model evaluation, visualization and business-oriented interpretation. The final pipeline provides a structured approach for understanding customer purchasing behaviour and supporting data-driven customer analysis.</w:t>
      </w:r>
    </w:p>
    <w:p>
      <w:pPr>
        <w:pStyle w:val="Heading1"/>
      </w:pPr>
      <w:r>
        <w:t>17. Generated Outputs</w:t>
      </w:r>
    </w:p>
    <w:p>
      <w:pPr>
        <w:pStyle w:val="ListBullet"/>
      </w:pPr>
      <w:r>
        <w:t>week6_customer_rfm_clusters.csv</w:t>
      </w:r>
    </w:p>
    <w:p>
      <w:pPr>
        <w:pStyle w:val="ListBullet"/>
      </w:pPr>
      <w:r>
        <w:t>week6_cluster_summary.csv</w:t>
      </w:r>
    </w:p>
    <w:p>
      <w:pPr>
        <w:pStyle w:val="ListBullet"/>
      </w:pPr>
      <w:r>
        <w:t>week6_model_comparison.csv</w:t>
      </w:r>
    </w:p>
    <w:p>
      <w:pPr>
        <w:pStyle w:val="ListBullet"/>
      </w:pPr>
      <w:r>
        <w:t>week6_random_forest_feature_importance.csv</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