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0B2545"/>
          <w:sz w:val="32"/>
          <w:szCs w:val="32"/>
        </w:rPr>
        <w:t xml:space="preserve">Coupon Personalization — Full Flow</w:t>
      </w:r>
    </w:p>
    <w:p>
      <w:pPr>
        <w:spacing w:after="200"/>
      </w:pPr>
      <w:r>
        <w:rPr>
          <w:i/>
          <w:iCs/>
          <w:color w:val="555555"/>
          <w:sz w:val="19"/>
          <w:szCs w:val="19"/>
        </w:rPr>
        <w:t xml:space="preserve">Interview reference · plain-language walkthrough across all three stages</w:t>
      </w:r>
    </w:p>
    <w:p>
      <w:pPr>
        <w:pStyle w:val="Heading1"/>
      </w:pPr>
      <w:r>
        <w:t xml:space="preserve">Stage 1 — Segmentation &amp; Feature Store</w:t>
      </w:r>
    </w:p>
    <w:p>
      <w:pPr>
        <w:pStyle w:val="ListParagraph"/>
        <w:numPr>
          <w:ilvl w:val="0"/>
          <w:numId w:val="2"/>
        </w:numPr>
        <w:spacing w:after="90" w:line="270"/>
      </w:pPr>
      <w:r>
        <w:rPr>
          <w:sz w:val="21"/>
          <w:szCs w:val="21"/>
        </w:rPr>
        <w:t xml:space="preserve">Identify the customer types at checkout: KNOWN (rich history), SPARSE (very little history), and UNKNOWN (no data).</w:t>
      </w:r>
    </w:p>
    <w:p>
      <w:pPr>
        <w:pStyle w:val="ListParagraph"/>
        <w:numPr>
          <w:ilvl w:val="0"/>
          <w:numId w:val="2"/>
        </w:numPr>
        <w:spacing w:after="90" w:line="270"/>
      </w:pPr>
      <w:r>
        <w:rPr>
          <w:sz w:val="21"/>
          <w:szCs w:val="21"/>
        </w:rPr>
        <w:t xml:space="preserve">Route them: known and sparse customers go to the modelling track; UNKNOWN customers continue on the existing basket-driven rule-based coupon.</w:t>
      </w:r>
    </w:p>
    <w:p>
      <w:pPr>
        <w:pStyle w:val="ListParagraph"/>
        <w:numPr>
          <w:ilvl w:val="0"/>
          <w:numId w:val="2"/>
        </w:numPr>
        <w:spacing w:after="90" w:line="270"/>
      </w:pPr>
      <w:r>
        <w:rPr>
          <w:sz w:val="21"/>
          <w:szCs w:val="21"/>
        </w:rPr>
        <w:t xml:space="preserve">For known and sparse customers, apply inclusion criteria (e.g. minimum number of transactions), then do EDA and feature engineering — RFM, behavioural features, standardisation, log-transform of skewed monetary fields, encoding of categoricals, creation of new variables relevant for clustering.</w:t>
      </w:r>
    </w:p>
    <w:p>
      <w:pPr>
        <w:pStyle w:val="ListParagraph"/>
        <w:numPr>
          <w:ilvl w:val="0"/>
          <w:numId w:val="2"/>
        </w:numPr>
        <w:spacing w:after="90" w:line="270"/>
      </w:pPr>
      <w:r>
        <w:rPr>
          <w:sz w:val="21"/>
          <w:szCs w:val="21"/>
        </w:rPr>
        <w:t xml:space="preserve">Apply clustering techniques on the engineered features — K-means, K-prototypes, DBSCAN or GMM. Validate the number of clusters with the silhouette score.</w:t>
      </w:r>
    </w:p>
    <w:p>
      <w:pPr>
        <w:pStyle w:val="ListParagraph"/>
        <w:numPr>
          <w:ilvl w:val="0"/>
          <w:numId w:val="2"/>
        </w:numPr>
        <w:spacing w:after="90" w:line="270"/>
      </w:pPr>
      <w:r>
        <w:rPr>
          <w:sz w:val="21"/>
          <w:szCs w:val="21"/>
        </w:rPr>
        <w:t xml:space="preserve">Sit with business stakeholders to LABEL the clusters into value tiers — e.g. High Value, Medium-High, Medium, Medium-Low, Low — based on monetary and behavioural profile.</w:t>
      </w:r>
    </w:p>
    <w:p>
      <w:pPr>
        <w:pStyle w:val="ListParagraph"/>
        <w:numPr>
          <w:ilvl w:val="0"/>
          <w:numId w:val="2"/>
        </w:numPr>
        <w:spacing w:after="90" w:line="270"/>
      </w:pPr>
      <w:r>
        <w:rPr>
          <w:sz w:val="21"/>
          <w:szCs w:val="21"/>
        </w:rPr>
        <w:t xml:space="preserve">Publish the final feature + segment table to the FEATURE STORE, keyed on customer_id with a timestamp key (feature_ts). This is the single source of truth used by both Stage 2 training and Stage 3 scoring — ensuring train/serve consistency and point-in-time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0EF" w:sz="1"/>
              <w:left w:val="single" w:color="0E7C7B" w:sz="22"/>
              <w:bottom w:val="single" w:color="E0F0EF" w:sz="1"/>
              <w:right w:val="single" w:color="E0F0EF" w:sz="1"/>
            </w:tcBorders>
            <w:shd w:fill="E0F0EF" w:val="clear"/>
            <w:tcMar>
              <w:top w:type="dxa" w:w="120"/>
              <w:left w:type="dxa" w:w="170"/>
              <w:bottom w:type="dxa" w:w="120"/>
              <w:right w:type="dxa" w:w="160"/>
            </w:tcMar>
          </w:tcPr>
          <w:p>
            <w:pPr>
              <w:spacing w:after="70"/>
            </w:pPr>
            <w:r>
              <w:rPr>
                <w:b/>
                <w:bCs/>
                <w:color w:val="0B2545"/>
                <w:sz w:val="21"/>
                <w:szCs w:val="21"/>
              </w:rPr>
              <w:t xml:space="preserve">Why the Feature Store matters</w:t>
            </w:r>
          </w:p>
          <w:p>
            <w:pPr>
              <w:spacing w:after="50" w:line="264"/>
            </w:pPr>
            <w:r>
              <w:rPr>
                <w:b/>
                <w:bCs/>
              </w:rPr>
              <w:t xml:space="preserve">Train/serve consistency — </w:t>
            </w:r>
            <w:r>
              <w:t xml:space="preserve">Stage 2 (training) and Stage 3 (scoring) read features from the SAME table, so a feature can never be computed one way in training and another in production.</w:t>
            </w:r>
          </w:p>
          <w:p>
            <w:pPr>
              <w:spacing w:after="50" w:line="264"/>
            </w:pPr>
            <w:r>
              <w:rPr>
                <w:b/>
                <w:bCs/>
              </w:rPr>
              <w:t xml:space="preserve">Point-in-time joins — </w:t>
            </w:r>
            <w:r>
              <w:t xml:space="preserve">the timestamp key lets us fetch features AS THEY WERE at any past moment, preventing leakage when retraining on accumulated waves.</w:t>
            </w:r>
          </w:p>
        </w:tc>
      </w:tr>
    </w:tbl>
    <w:p>
      <w:pPr>
        <w:pStyle w:val="Heading1"/>
      </w:pPr>
      <w:r>
        <w:t xml:space="preserve">Stage 2 — Campaign Execution, Training &amp; Validation</w:t>
      </w:r>
    </w:p>
    <w:p>
      <w:pPr>
        <w:pStyle w:val="Heading2"/>
      </w:pPr>
      <w:r>
        <w:t xml:space="preserve">2A. Treatment vs Holdout Campaign (the Learning Wave)</w:t>
      </w:r>
    </w:p>
    <w:p>
      <w:pPr>
        <w:pStyle w:val="ListParagraph"/>
        <w:numPr>
          <w:ilvl w:val="0"/>
          <w:numId w:val="2"/>
        </w:numPr>
        <w:spacing w:after="90" w:line="270"/>
      </w:pPr>
      <w:r>
        <w:rPr>
          <w:sz w:val="21"/>
          <w:szCs w:val="21"/>
        </w:rPr>
        <w:t xml:space="preserve">Once segmentation is done and features are stored, design the LEARNING WAVE — the first campaign whose primary purpose is to collect causally clean data for uplift modelling.</w:t>
      </w:r>
    </w:p>
    <w:p>
      <w:pPr>
        <w:pStyle w:val="ListParagraph"/>
        <w:numPr>
          <w:ilvl w:val="0"/>
          <w:numId w:val="2"/>
        </w:numPr>
        <w:spacing w:after="90" w:line="270"/>
      </w:pPr>
      <w:r>
        <w:rPr>
          <w:sz w:val="21"/>
          <w:szCs w:val="21"/>
        </w:rPr>
        <w:t xml:space="preserve">For the chosen segments, randomly split customers into TREATMENT (gets coupon) and HOLDOUT (no coupon) in 80:20 ratio. The split is STRATIFIED on segment label so both groups have identical segment composition — balance on segment, not just overall.</w:t>
      </w:r>
    </w:p>
    <w:p>
      <w:pPr>
        <w:pStyle w:val="ListParagraph"/>
        <w:numPr>
          <w:ilvl w:val="0"/>
          <w:numId w:val="2"/>
        </w:numPr>
        <w:spacing w:after="90" w:line="270"/>
      </w:pPr>
      <w:r>
        <w:rPr>
          <w:sz w:val="21"/>
          <w:szCs w:val="21"/>
        </w:rPr>
        <w:t xml:space="preserve">Because the split is random within each segment, treatment and holdout are statistically identical in all other characteristics — the ONLY systematic difference between them is the coupon. This is what makes any observed difference in outcomes CAUSAL.</w:t>
      </w:r>
    </w:p>
    <w:p>
      <w:pPr>
        <w:pStyle w:val="ListParagraph"/>
        <w:numPr>
          <w:ilvl w:val="0"/>
          <w:numId w:val="2"/>
        </w:numPr>
        <w:spacing w:after="90" w:line="270"/>
      </w:pPr>
      <w:r>
        <w:rPr>
          <w:sz w:val="21"/>
          <w:szCs w:val="21"/>
        </w:rPr>
        <w:t xml:space="preserve">Run the campaign: treatment group receives the coupon, holdout receives nothing.</w:t>
      </w:r>
    </w:p>
    <w:p>
      <w:pPr>
        <w:pStyle w:val="ListParagraph"/>
        <w:numPr>
          <w:ilvl w:val="0"/>
          <w:numId w:val="2"/>
        </w:numPr>
        <w:spacing w:after="90" w:line="270"/>
      </w:pPr>
      <w:r>
        <w:rPr>
          <w:sz w:val="21"/>
          <w:szCs w:val="21"/>
        </w:rPr>
        <w:t xml:space="preserve">Collect outcomes UNIFORMLY for both groups (purchase, redemption, spend) over the defined campaign window.</w:t>
      </w:r>
    </w:p>
    <w:p>
      <w:pPr>
        <w:pStyle w:val="ListParagraph"/>
        <w:numPr>
          <w:ilvl w:val="0"/>
          <w:numId w:val="2"/>
        </w:numPr>
        <w:spacing w:after="90" w:line="270"/>
      </w:pPr>
      <w:r>
        <w:rPr>
          <w:sz w:val="21"/>
          <w:szCs w:val="21"/>
        </w:rPr>
        <w:t xml:space="preserve">Initial sanity check at AGGREGATE level: compare purchase rates of the two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0"/>
                <w:szCs w:val="20"/>
              </w:rPr>
              <w:t xml:space="preserve">Average Treatment Effect (ATE) = purchase_rate(treatment) − purchase_rate(holdout)</w:t>
            </w:r>
          </w:p>
        </w:tc>
      </w:tr>
    </w:tbl>
    <w:p>
      <w:pPr>
        <w:pStyle w:val="ListParagraph"/>
        <w:numPr>
          <w:ilvl w:val="0"/>
          <w:numId w:val="2"/>
        </w:numPr>
        <w:spacing w:after="90" w:line="270"/>
      </w:pPr>
      <w:r>
        <w:rPr>
          <w:sz w:val="21"/>
          <w:szCs w:val="21"/>
        </w:rPr>
        <w:t xml:space="preserve">If the campaign worked, the treatment group should show a higher purchase rate. The ATE confirms the coupon worked on AVERAGE — but it does not tell us FOR WHOM it worked. That's what uplift modelling solves.</w:t>
      </w:r>
    </w:p>
    <w:p>
      <w:pPr>
        <w:pStyle w:val="ListParagraph"/>
        <w:numPr>
          <w:ilvl w:val="0"/>
          <w:numId w:val="2"/>
        </w:numPr>
        <w:spacing w:after="90" w:line="270"/>
      </w:pPr>
      <w:r>
        <w:rPr>
          <w:sz w:val="21"/>
          <w:szCs w:val="21"/>
        </w:rPr>
        <w:t xml:space="preserve">Append the new outcome data to the existing tables for use in retraining.</w:t>
      </w:r>
    </w:p>
    <w:p>
      <w:pPr>
        <w:spacing w:after="60" w:line="274"/>
      </w:pPr>
      <w:r>
        <w:rPr>
          <w:b/>
          <w:bCs/>
        </w:rPr>
        <w:t xml:space="preserve">Source tables involved (schema): </w:t>
      </w:r>
    </w:p>
    <w:p>
      <w:pPr>
        <w:pStyle w:val="ListParagraph"/>
        <w:numPr>
          <w:ilvl w:val="0"/>
          <w:numId w:val="3"/>
        </w:numPr>
        <w:spacing w:after="70" w:line="268"/>
      </w:pPr>
      <w:r>
        <w:rPr>
          <w:b/>
          <w:bCs/>
        </w:rPr>
        <w:t xml:space="preserve">Customer </w:t>
      </w:r>
      <w:r>
        <w:t xml:space="preserve">(Dim) — customer identity &amp; demographics</w:t>
      </w:r>
    </w:p>
    <w:p>
      <w:pPr>
        <w:pStyle w:val="ListParagraph"/>
        <w:numPr>
          <w:ilvl w:val="0"/>
          <w:numId w:val="3"/>
        </w:numPr>
        <w:spacing w:after="70" w:line="268"/>
      </w:pPr>
      <w:r>
        <w:rPr>
          <w:b/>
          <w:bCs/>
        </w:rPr>
        <w:t xml:space="preserve">Offer </w:t>
      </w:r>
      <w:r>
        <w:t xml:space="preserve">(Dim) — offer metadata</w:t>
      </w:r>
    </w:p>
    <w:p>
      <w:pPr>
        <w:pStyle w:val="ListParagraph"/>
        <w:numPr>
          <w:ilvl w:val="0"/>
          <w:numId w:val="3"/>
        </w:numPr>
        <w:spacing w:after="70" w:line="268"/>
      </w:pPr>
      <w:r>
        <w:rPr>
          <w:b/>
          <w:bCs/>
        </w:rPr>
        <w:t xml:space="preserve">Coupon </w:t>
      </w:r>
      <w:r>
        <w:t xml:space="preserve">(Dim) — coupon issuance details</w:t>
      </w:r>
    </w:p>
    <w:p>
      <w:pPr>
        <w:pStyle w:val="ListParagraph"/>
        <w:numPr>
          <w:ilvl w:val="0"/>
          <w:numId w:val="3"/>
        </w:numPr>
        <w:spacing w:after="70" w:line="268"/>
      </w:pPr>
      <w:r>
        <w:rPr>
          <w:b/>
          <w:bCs/>
        </w:rPr>
        <w:t xml:space="preserve">Campaign </w:t>
      </w:r>
      <w:r>
        <w:t xml:space="preserve">(Dim) — campaign metadata (name, objective, window)</w:t>
      </w:r>
    </w:p>
    <w:p>
      <w:pPr>
        <w:pStyle w:val="ListParagraph"/>
        <w:numPr>
          <w:ilvl w:val="0"/>
          <w:numId w:val="3"/>
        </w:numPr>
        <w:spacing w:after="70" w:line="268"/>
      </w:pPr>
      <w:r>
        <w:rPr>
          <w:b/>
          <w:bCs/>
        </w:rPr>
        <w:t xml:space="preserve">Campaign Assignment </w:t>
      </w:r>
      <w:r>
        <w:t xml:space="preserve">(Fact/Bridge) — customer × campaign × group(treatment/holdout). THE table that makes uplift possible.</w:t>
      </w:r>
    </w:p>
    <w:p>
      <w:pPr>
        <w:pStyle w:val="ListParagraph"/>
        <w:numPr>
          <w:ilvl w:val="0"/>
          <w:numId w:val="3"/>
        </w:numPr>
        <w:spacing w:after="70" w:line="268"/>
      </w:pPr>
      <w:r>
        <w:rPr>
          <w:b/>
          <w:bCs/>
        </w:rPr>
        <w:t xml:space="preserve">Transactions </w:t>
      </w:r>
      <w:r>
        <w:t xml:space="preserve">(Fact) — purchase events with coupon/redemption flags</w:t>
      </w:r>
    </w:p>
    <w:p>
      <w:pPr>
        <w:pStyle w:val="ListParagraph"/>
        <w:numPr>
          <w:ilvl w:val="0"/>
          <w:numId w:val="3"/>
        </w:numPr>
        <w:spacing w:after="70" w:line="268"/>
      </w:pPr>
      <w:r>
        <w:rPr>
          <w:b/>
          <w:bCs/>
        </w:rPr>
        <w:t xml:space="preserve">Digital Engagement </w:t>
      </w:r>
      <w:r>
        <w:t xml:space="preserve">(Fact) — event-level interaction log</w:t>
      </w:r>
    </w:p>
    <w:p>
      <w:pPr>
        <w:pStyle w:val="Heading2"/>
      </w:pPr>
      <w:r>
        <w:t xml:space="preserve">2B. Uplift Model Building</w:t>
      </w:r>
    </w:p>
    <w:p>
      <w:pPr>
        <w:pStyle w:val="ListParagraph"/>
        <w:numPr>
          <w:ilvl w:val="0"/>
          <w:numId w:val="2"/>
        </w:numPr>
        <w:spacing w:after="90" w:line="270"/>
      </w:pPr>
      <w:r>
        <w:rPr>
          <w:sz w:val="21"/>
          <w:szCs w:val="21"/>
        </w:rPr>
        <w:t xml:space="preserve">To achieve personalization at the CUSTOMER level (not just the aggregate ATE), build an UPLIFT model — not a propensity model. A propensity model only tells us who will buy; it cannot distinguish customers who bought BECAUSE of the coupon from those who would have bought anyway.</w:t>
      </w:r>
    </w:p>
    <w:p>
      <w:pPr>
        <w:pStyle w:val="ListParagraph"/>
        <w:numPr>
          <w:ilvl w:val="0"/>
          <w:numId w:val="2"/>
        </w:numPr>
        <w:spacing w:after="90" w:line="270"/>
      </w:pPr>
      <w:r>
        <w:rPr>
          <w:sz w:val="21"/>
          <w:szCs w:val="21"/>
        </w:rPr>
        <w:t xml:space="preserve">Use the T-learner approach: train TWO separate Gradient Boosting models —</w:t>
      </w:r>
    </w:p>
    <w:p>
      <w:pPr>
        <w:pStyle w:val="ListParagraph"/>
        <w:numPr>
          <w:ilvl w:val="0"/>
          <w:numId w:val="3"/>
        </w:numPr>
        <w:spacing w:after="70" w:line="268"/>
      </w:pPr>
      <w:r>
        <w:rPr>
          <w:b/>
          <w:bCs/>
        </w:rPr>
        <w:t xml:space="preserve">model_T </w:t>
      </w:r>
      <w:r>
        <w:t xml:space="preserve">— trained on the treatment group only, predicts P(purchase | treated)</w:t>
      </w:r>
    </w:p>
    <w:p>
      <w:pPr>
        <w:pStyle w:val="ListParagraph"/>
        <w:numPr>
          <w:ilvl w:val="0"/>
          <w:numId w:val="3"/>
        </w:numPr>
        <w:spacing w:after="70" w:line="268"/>
      </w:pPr>
      <w:r>
        <w:rPr>
          <w:b/>
          <w:bCs/>
        </w:rPr>
        <w:t xml:space="preserve">model_C </w:t>
      </w:r>
      <w:r>
        <w:t xml:space="preserve">— trained on the holdout (control) group only, predicts P(purchase | not treated)</w:t>
      </w:r>
    </w:p>
    <w:p>
      <w:pPr>
        <w:pStyle w:val="ListParagraph"/>
        <w:numPr>
          <w:ilvl w:val="0"/>
          <w:numId w:val="2"/>
        </w:numPr>
        <w:spacing w:after="90" w:line="270"/>
      </w:pPr>
      <w:r>
        <w:rPr>
          <w:sz w:val="21"/>
          <w:szCs w:val="21"/>
        </w:rPr>
        <w:t xml:space="preserve">The reason we need separate models: NO customer is in both groups, so we cannot just add a treatment-flag column — each model learns the response surface for its arm independently, on identical features.</w:t>
      </w:r>
    </w:p>
    <w:p>
      <w:pPr>
        <w:pStyle w:val="Heading2"/>
      </w:pPr>
      <w:r>
        <w:t xml:space="preserve">2C. Scoring &amp; Uplift Calculation</w:t>
      </w:r>
    </w:p>
    <w:p>
      <w:pPr>
        <w:pStyle w:val="ListParagraph"/>
        <w:numPr>
          <w:ilvl w:val="0"/>
          <w:numId w:val="2"/>
        </w:numPr>
        <w:spacing w:after="90" w:line="270"/>
      </w:pPr>
      <w:r>
        <w:rPr>
          <w:sz w:val="21"/>
          <w:szCs w:val="21"/>
        </w:rPr>
        <w:t xml:space="preserve">Once both models are built, validated and tested, take the ENTIRE customer base (including customers used in training) and score each customer through BOTH models.</w:t>
      </w:r>
    </w:p>
    <w:p>
      <w:pPr>
        <w:pStyle w:val="ListParagraph"/>
        <w:numPr>
          <w:ilvl w:val="0"/>
          <w:numId w:val="2"/>
        </w:numPr>
        <w:spacing w:after="90" w:line="270"/>
      </w:pPr>
      <w:r>
        <w:rPr>
          <w:sz w:val="21"/>
          <w:szCs w:val="21"/>
        </w:rPr>
        <w:t xml:space="preserve">Wrap both models together as a single MLflow pyfunc model, so Stage 3 sees only one interface that outputs uplift_score directly.</w:t>
      </w:r>
    </w:p>
    <w:p>
      <w:pPr>
        <w:pStyle w:val="ListParagraph"/>
        <w:numPr>
          <w:ilvl w:val="0"/>
          <w:numId w:val="2"/>
        </w:numPr>
        <w:spacing w:after="90" w:line="270"/>
      </w:pPr>
      <w:r>
        <w:rPr>
          <w:sz w:val="21"/>
          <w:szCs w:val="21"/>
        </w:rPr>
        <w:t xml:space="preserve">Each customer now has two probabilities: one from model_T and one from model_C.</w:t>
      </w:r>
    </w:p>
    <w:p>
      <w:pPr>
        <w:pStyle w:val="ListParagraph"/>
        <w:numPr>
          <w:ilvl w:val="0"/>
          <w:numId w:val="2"/>
        </w:numPr>
        <w:spacing w:after="90" w:line="270"/>
      </w:pPr>
      <w:r>
        <w:rPr>
          <w:sz w:val="21"/>
          <w:szCs w:val="21"/>
        </w:rPr>
        <w:t xml:space="preserve">Calculate the individual uplift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0"/>
                <w:szCs w:val="20"/>
              </w:rPr>
              <w:t xml:space="preserve">uplift(customer) = score(model_T) − score(model_C)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0EF" w:sz="1"/>
              <w:left w:val="single" w:color="0E7C7B" w:sz="22"/>
              <w:bottom w:val="single" w:color="E0F0EF" w:sz="1"/>
              <w:right w:val="single" w:color="E0F0EF" w:sz="1"/>
            </w:tcBorders>
            <w:shd w:fill="E0F0EF" w:val="clear"/>
            <w:tcMar>
              <w:top w:type="dxa" w:w="120"/>
              <w:left w:type="dxa" w:w="170"/>
              <w:bottom w:type="dxa" w:w="120"/>
              <w:right w:type="dxa" w:w="160"/>
            </w:tcMar>
          </w:tcPr>
          <w:p>
            <w:pPr>
              <w:spacing w:after="70"/>
            </w:pPr>
            <w:r>
              <w:rPr>
                <w:b/>
                <w:bCs/>
                <w:color w:val="0B2545"/>
                <w:sz w:val="21"/>
                <w:szCs w:val="21"/>
              </w:rPr>
              <w:t xml:space="preserve">Why this is valid even though each customer trained only one model</w:t>
            </w:r>
          </w:p>
          <w:p>
            <w:pPr>
              <w:spacing w:after="50" w:line="264"/>
            </w:pPr>
            <w:r>
              <w:rPr>
                <w:sz w:val="20"/>
                <w:szCs w:val="20"/>
              </w:rPr>
              <w:t xml:space="preserve">A trained model is a function over feature space, not a memory of its training rows. So when CUST07 (who was in treatment) is scored by model_C, model_C is generalising from features — it never saw this customer but it knows what holdout customers with similar features looked like. The counterfactual half always comes from the model that did NOT train on that customer, which is what makes the subtraction a causal estimate.</w:t>
            </w:r>
          </w:p>
        </w:tc>
      </w:tr>
    </w:tbl>
    <w:p>
      <w:pPr>
        <w:pStyle w:val="Heading2"/>
      </w:pPr>
      <w:r>
        <w:t xml:space="preserve">2D. Validation — the Qini Curve</w:t>
      </w:r>
    </w:p>
    <w:p>
      <w:pPr>
        <w:pStyle w:val="ListParagraph"/>
        <w:numPr>
          <w:ilvl w:val="0"/>
          <w:numId w:val="2"/>
        </w:numPr>
        <w:spacing w:after="90" w:line="270"/>
      </w:pPr>
      <w:r>
        <w:rPr>
          <w:sz w:val="21"/>
          <w:szCs w:val="21"/>
        </w:rPr>
        <w:t xml:space="preserve">Arrange all customers in DESCENDING order of their predicted uplift value.</w:t>
      </w:r>
    </w:p>
    <w:p>
      <w:pPr>
        <w:pStyle w:val="ListParagraph"/>
        <w:numPr>
          <w:ilvl w:val="0"/>
          <w:numId w:val="2"/>
        </w:numPr>
        <w:spacing w:after="90" w:line="270"/>
      </w:pPr>
      <w:r>
        <w:rPr>
          <w:sz w:val="21"/>
          <w:szCs w:val="21"/>
        </w:rPr>
        <w:t xml:space="preserve">Walk down the ranked list. At each point compute the Qini value using CUMULATIVE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0"/>
                <w:szCs w:val="20"/>
              </w:rPr>
              <w:t xml:space="preserve">Qini = Treated_buyers − [ Holdout_buyers × (Treated_covered / Holdout_covered)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0EF" w:sz="1"/>
              <w:left w:val="single" w:color="0E7C7B" w:sz="22"/>
              <w:bottom w:val="single" w:color="E0F0EF" w:sz="1"/>
              <w:right w:val="single" w:color="E0F0EF" w:sz="1"/>
            </w:tcBorders>
            <w:shd w:fill="E0F0EF" w:val="clear"/>
            <w:tcMar>
              <w:top w:type="dxa" w:w="120"/>
              <w:left w:type="dxa" w:w="170"/>
              <w:bottom w:type="dxa" w:w="120"/>
              <w:right w:type="dxa" w:w="160"/>
            </w:tcMar>
          </w:tcPr>
          <w:p>
            <w:pPr>
              <w:spacing w:after="70"/>
            </w:pPr>
            <w:r>
              <w:rPr>
                <w:b/>
                <w:bCs/>
                <w:color w:val="0B2545"/>
                <w:sz w:val="21"/>
                <w:szCs w:val="21"/>
              </w:rPr>
              <w:t xml:space="preserve">Why we scale the holdout buyers</w:t>
            </w:r>
          </w:p>
          <w:p>
            <w:pPr>
              <w:spacing w:after="50" w:line="264"/>
            </w:pPr>
            <w:r>
              <w:rPr>
                <w:b/>
                <w:bCs/>
              </w:rPr>
              <w:t xml:space="preserve">All four quantities are CUMULATIVE — running totals down to the current rank, not grand totals.</w:t>
            </w:r>
          </w:p>
          <w:p>
            <w:pPr>
              <w:spacing w:after="50" w:line="264"/>
            </w:pPr>
            <w:r>
              <w:rPr>
                <w:sz w:val="20"/>
                <w:szCs w:val="20"/>
              </w:rPr>
              <w:t xml:space="preserve">Treatment is 4× bigger than holdout (80:20), so the raw holdout buyer count understates what a comparably-sized control would have produced. The ratio (Treated_covered / Holdout_covered) scales the holdout buyers UP to the treated population size, so the subtraction is apples-to-apples. The result is the cumulative incremental purchases the model 'found' by ranking this way.</w:t>
            </w:r>
          </w:p>
        </w:tc>
      </w:tr>
    </w:tbl>
    <w:p>
      <w:pPr>
        <w:pStyle w:val="ListParagraph"/>
        <w:numPr>
          <w:ilvl w:val="0"/>
          <w:numId w:val="2"/>
        </w:numPr>
        <w:spacing w:after="90" w:line="270"/>
      </w:pPr>
      <w:r>
        <w:rPr>
          <w:sz w:val="21"/>
          <w:szCs w:val="21"/>
        </w:rPr>
        <w:t xml:space="preserve">Plot Qini value on the Y-axis vs percentage of customers covered on the X-axis. The higher the curve sits above the random diagonal, the better the model. The area between the curve and the diagonal is the QINI COEFFICIENT — the single-number quality score.</w:t>
      </w:r>
    </w:p>
    <w:p>
      <w:pPr>
        <w:pStyle w:val="ListParagraph"/>
        <w:numPr>
          <w:ilvl w:val="0"/>
          <w:numId w:val="2"/>
        </w:numPr>
        <w:spacing w:after="90" w:line="270"/>
      </w:pPr>
      <w:r>
        <w:rPr>
          <w:sz w:val="21"/>
          <w:szCs w:val="21"/>
        </w:rPr>
        <w:t xml:space="preserve">Validate with a decile check too: top-decile observed uplift should clearly exceed bottom-decile observed uplift. If the top decile is strongly positive and the bottom decile is near zero or negative, the model is ranking persuadables correctly.</w:t>
      </w:r>
    </w:p>
    <w:p>
      <w:pPr>
        <w:pStyle w:val="ListParagraph"/>
        <w:numPr>
          <w:ilvl w:val="0"/>
          <w:numId w:val="2"/>
        </w:numPr>
        <w:spacing w:after="90" w:line="270"/>
      </w:pPr>
      <w:r>
        <w:rPr>
          <w:sz w:val="21"/>
          <w:szCs w:val="21"/>
        </w:rPr>
        <w:t xml:space="preserve">Register the model in MLflow. Promote to @champion alias only if its Qini beats the incumbent (champion/challenger guard).</w:t>
      </w:r>
    </w:p>
    <w:p>
      <w:pPr>
        <w:pStyle w:val="Heading1"/>
      </w:pPr>
      <w:r>
        <w:t xml:space="preserve">Stage 3 — Scoring, Optimization, Delivery &amp; Learn</w:t>
      </w:r>
    </w:p>
    <w:p>
      <w:pPr>
        <w:pStyle w:val="Heading2"/>
      </w:pPr>
      <w:r>
        <w:t xml:space="preserve">3A. Batch Scoring</w:t>
      </w:r>
    </w:p>
    <w:p>
      <w:pPr>
        <w:pStyle w:val="ListParagraph"/>
        <w:numPr>
          <w:ilvl w:val="0"/>
          <w:numId w:val="2"/>
        </w:numPr>
        <w:spacing w:after="90" w:line="270"/>
      </w:pPr>
      <w:r>
        <w:rPr>
          <w:sz w:val="21"/>
          <w:szCs w:val="21"/>
        </w:rPr>
        <w:t xml:space="preserve">Load the champion model from MLflow. Pull the full known-customer base from the Feature Store. Score every customer through the pyfunc — each gets one uplift_score.</w:t>
      </w:r>
    </w:p>
    <w:p>
      <w:pPr>
        <w:pStyle w:val="Heading2"/>
      </w:pPr>
      <w:r>
        <w:t xml:space="preserve">3B. Optimization — from scores to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0DD" w:sz="1"/>
              <w:left w:val="single" w:color="C77700" w:sz="22"/>
              <w:bottom w:val="single" w:color="FBF0DD" w:sz="1"/>
              <w:right w:val="single" w:color="FBF0DD" w:sz="1"/>
            </w:tcBorders>
            <w:shd w:fill="FBF0DD" w:val="clear"/>
            <w:tcMar>
              <w:top w:type="dxa" w:w="120"/>
              <w:left w:type="dxa" w:w="170"/>
              <w:bottom w:type="dxa" w:w="120"/>
              <w:right w:type="dxa" w:w="160"/>
            </w:tcMar>
          </w:tcPr>
          <w:p>
            <w:pPr>
              <w:spacing w:after="70"/>
            </w:pPr>
            <w:r>
              <w:rPr>
                <w:b/>
                <w:bCs/>
                <w:color w:val="0B2545"/>
                <w:sz w:val="21"/>
                <w:szCs w:val="21"/>
              </w:rPr>
              <w:t xml:space="preserve">Scoring ranks; optimization decides</w:t>
            </w:r>
          </w:p>
          <w:p>
            <w:pPr>
              <w:spacing w:after="50" w:line="264"/>
            </w:pPr>
            <w:r>
              <w:rPr>
                <w:sz w:val="20"/>
                <w:szCs w:val="20"/>
              </w:rPr>
              <w:t xml:space="preserve">An uplift score tells us who would respond MOST, but not who to actually mail. We have a finite budget, frequency caps, and eligibility rules. Optimization converts ranked scores into a concrete offer list that maximises expected incremental margin under these constraints. This is the budget-constrained KNAPSACK problem.</w:t>
            </w:r>
          </w:p>
        </w:tc>
      </w:tr>
    </w:tbl>
    <w:p>
      <w:pPr>
        <w:pStyle w:val="ListParagraph"/>
        <w:numPr>
          <w:ilvl w:val="0"/>
          <w:numId w:val="2"/>
        </w:numPr>
        <w:spacing w:after="90" w:line="270"/>
      </w:pPr>
      <w:r>
        <w:rPr>
          <w:sz w:val="21"/>
          <w:szCs w:val="21"/>
        </w:rPr>
        <w:t xml:space="preserve">Eligibility filter — drop customers with uplift_score ≤ MIN_UPLIFT_THRESHOLD.</w:t>
      </w:r>
    </w:p>
    <w:p>
      <w:pPr>
        <w:pStyle w:val="ListParagraph"/>
        <w:numPr>
          <w:ilvl w:val="0"/>
          <w:numId w:val="2"/>
        </w:numPr>
        <w:spacing w:after="90" w:line="270"/>
      </w:pPr>
      <w:r>
        <w:rPr>
          <w:sz w:val="21"/>
          <w:szCs w:val="21"/>
        </w:rPr>
        <w:t xml:space="preserve">Compute per-customer expected INCREMENTAL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0"/>
                <w:szCs w:val="20"/>
              </w:rPr>
              <w:t xml:space="preserve">Expected Incremental Margin = uplift_score × avg_basket_value × margin_rate</w:t>
            </w:r>
          </w:p>
        </w:tc>
      </w:tr>
    </w:tbl>
    <w:p>
      <w:pPr>
        <w:pStyle w:val="ListParagraph"/>
        <w:numPr>
          <w:ilvl w:val="0"/>
          <w:numId w:val="2"/>
        </w:numPr>
        <w:spacing w:after="90" w:line="270"/>
      </w:pPr>
      <w:r>
        <w:rPr>
          <w:sz w:val="21"/>
          <w:szCs w:val="21"/>
        </w:rPr>
        <w:t xml:space="preserve">Compute per-customer expected COUPON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0"/>
                <w:szCs w:val="20"/>
              </w:rPr>
              <w:t xml:space="preserve">Expected Coupon Cost = P(redeem) × coupon_value</w:t>
            </w:r>
          </w:p>
        </w:tc>
      </w:tr>
    </w:tbl>
    <w:p>
      <w:pPr>
        <w:pStyle w:val="ListParagraph"/>
        <w:numPr>
          <w:ilvl w:val="0"/>
          <w:numId w:val="2"/>
        </w:numPr>
        <w:spacing w:after="90" w:line="270"/>
      </w:pPr>
      <w:r>
        <w:rPr>
          <w:sz w:val="21"/>
          <w:szCs w:val="21"/>
        </w:rPr>
        <w:t xml:space="preserve">Profitability filter — drop anyone whose expected margin ≤ expected cost (they lose money no matter how much budget is left).</w:t>
      </w:r>
    </w:p>
    <w:p>
      <w:pPr>
        <w:pStyle w:val="ListParagraph"/>
        <w:numPr>
          <w:ilvl w:val="0"/>
          <w:numId w:val="2"/>
        </w:numPr>
        <w:spacing w:after="90" w:line="270"/>
      </w:pPr>
      <w:r>
        <w:rPr>
          <w:sz w:val="21"/>
          <w:szCs w:val="21"/>
        </w:rPr>
        <w:t xml:space="preserve">Rank remaining customers DESCENDING by ROI per dollar (Expected Margin ÷ Expected Cost) — the classic knapsack trick: greedy by value-to-weight ratio is provably near-optimal when items are small relative to total budget.</w:t>
      </w:r>
    </w:p>
    <w:p>
      <w:pPr>
        <w:pStyle w:val="ListParagraph"/>
        <w:numPr>
          <w:ilvl w:val="0"/>
          <w:numId w:val="2"/>
        </w:numPr>
        <w:spacing w:after="90" w:line="270"/>
      </w:pPr>
      <w:r>
        <w:rPr>
          <w:sz w:val="21"/>
          <w:szCs w:val="21"/>
        </w:rPr>
        <w:t xml:space="preserve">Cumulative-sum Expected Cost down the ranking. Cut off where cum_cost ≤ CAMPAIGN_BUDGET. Everyone above the cutoff gets a coupon.</w:t>
      </w:r>
    </w:p>
    <w:p>
      <w:pPr>
        <w:pStyle w:val="ListParagraph"/>
        <w:numPr>
          <w:ilvl w:val="0"/>
          <w:numId w:val="2"/>
        </w:numPr>
        <w:spacing w:after="90" w:line="270"/>
      </w:pPr>
      <w:r>
        <w:rPr>
          <w:sz w:val="21"/>
          <w:szCs w:val="21"/>
        </w:rPr>
        <w:t xml:space="preserve">Apply final frequency cap — drop anyone who has received ≥ MAX_OFFERS_PER_CUSTOMER_30D in the last 30 days.</w:t>
      </w:r>
    </w:p>
    <w:p>
      <w:pPr>
        <w:pStyle w:val="Heading2"/>
      </w:pPr>
      <w:r>
        <w:t xml:space="preserve">3C. Delivery</w:t>
      </w:r>
    </w:p>
    <w:p>
      <w:pPr>
        <w:pStyle w:val="ListParagraph"/>
        <w:numPr>
          <w:ilvl w:val="0"/>
          <w:numId w:val="2"/>
        </w:numPr>
        <w:spacing w:after="90" w:line="270"/>
      </w:pPr>
      <w:r>
        <w:rPr>
          <w:sz w:val="21"/>
          <w:szCs w:val="21"/>
        </w:rPr>
        <w:t xml:space="preserve">Batch assignment — push optimized offer list to known customers via app, email, SMS.</w:t>
      </w:r>
    </w:p>
    <w:p>
      <w:pPr>
        <w:pStyle w:val="ListParagraph"/>
        <w:numPr>
          <w:ilvl w:val="0"/>
          <w:numId w:val="2"/>
        </w:numPr>
        <w:spacing w:after="90" w:line="270"/>
      </w:pPr>
      <w:r>
        <w:rPr>
          <w:sz w:val="21"/>
          <w:szCs w:val="21"/>
        </w:rPr>
        <w:t xml:space="preserve">Real-time assignment — anonymous/unknown customers cannot be scored, so they fall back to basket-driven rules at checkout (or a segment-inferred coupon if basket composition suggests their likely segment).</w:t>
      </w:r>
    </w:p>
    <w:p>
      <w:pPr>
        <w:pStyle w:val="ListParagraph"/>
        <w:numPr>
          <w:ilvl w:val="0"/>
          <w:numId w:val="2"/>
        </w:numPr>
        <w:spacing w:after="90" w:line="270"/>
      </w:pPr>
      <w:r>
        <w:rPr>
          <w:sz w:val="21"/>
          <w:szCs w:val="21"/>
        </w:rPr>
        <w:t xml:space="preserve">CRITICAL: even on the optimized wave, reserve a fresh 20% random holdout. The holdout never disappears — it's how we keep measuring lift forever, and it protects training data from becoming biased once we start mailing only persuadables.</w:t>
      </w:r>
    </w:p>
    <w:p>
      <w:pPr>
        <w:pStyle w:val="Heading2"/>
      </w:pPr>
      <w:r>
        <w:t xml:space="preserve">3D. Measurement &amp; Learn Loop</w:t>
      </w:r>
    </w:p>
    <w:p>
      <w:pPr>
        <w:pStyle w:val="ListParagraph"/>
        <w:numPr>
          <w:ilvl w:val="0"/>
          <w:numId w:val="2"/>
        </w:numPr>
        <w:spacing w:after="90" w:line="270"/>
      </w:pPr>
      <w:r>
        <w:rPr>
          <w:sz w:val="21"/>
          <w:szCs w:val="21"/>
        </w:rPr>
        <w:t xml:space="preserve">After customers shop, measure HOLDOUT-VALIDATED incremental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0"/>
                <w:szCs w:val="20"/>
              </w:rPr>
              <w:t xml:space="preserve">Incremental Margin = (margin/head_treatment − margin/head_holdout) × n_treated − coupon_cost</w:t>
            </w:r>
          </w:p>
        </w:tc>
      </w:tr>
    </w:tbl>
    <w:p>
      <w:pPr>
        <w:pStyle w:val="ListParagraph"/>
        <w:numPr>
          <w:ilvl w:val="0"/>
          <w:numId w:val="2"/>
        </w:numPr>
        <w:spacing w:after="90" w:line="270"/>
      </w:pPr>
      <w:r>
        <w:rPr>
          <w:sz w:val="21"/>
          <w:szCs w:val="21"/>
        </w:rPr>
        <w:t xml:space="preserve">This honest, holdout-validated number is what feeds the BI dashboard — NOT gross redemptions, which would over-credit the campaign by counting purchases that would have happened anyway.</w:t>
      </w:r>
    </w:p>
    <w:p>
      <w:pPr>
        <w:pStyle w:val="ListParagraph"/>
        <w:numPr>
          <w:ilvl w:val="0"/>
          <w:numId w:val="2"/>
        </w:numPr>
        <w:spacing w:after="90" w:line="270"/>
      </w:pPr>
      <w:r>
        <w:rPr>
          <w:sz w:val="21"/>
          <w:szCs w:val="21"/>
        </w:rPr>
        <w:t xml:space="preserve">Append treatment/holdout outcomes from this wave to campaign_outcomes.</w:t>
      </w:r>
    </w:p>
    <w:p>
      <w:pPr>
        <w:pStyle w:val="ListParagraph"/>
        <w:numPr>
          <w:ilvl w:val="0"/>
          <w:numId w:val="2"/>
        </w:numPr>
        <w:spacing w:after="90" w:line="270"/>
      </w:pPr>
      <w:r>
        <w:rPr>
          <w:sz w:val="21"/>
          <w:szCs w:val="21"/>
        </w:rPr>
        <w:t xml:space="preserve">On the next scheduled run, retrain the uplift model on the ACCUMULATED experience. The champion/challenger guard decides whether to promote the new version.</w:t>
      </w:r>
    </w:p>
    <w:p>
      <w:pPr>
        <w:pStyle w:val="ListParagraph"/>
        <w:numPr>
          <w:ilvl w:val="0"/>
          <w:numId w:val="2"/>
        </w:numPr>
        <w:spacing w:after="90" w:line="270"/>
      </w:pPr>
      <w:r>
        <w:rPr>
          <w:sz w:val="21"/>
          <w:szCs w:val="21"/>
        </w:rPr>
        <w:t xml:space="preserve">Monitor: feature drift (Lakehouse Monitoring on key feature distributions), performance drift (Qini per wave vs threshold), and targeting drift (the holdout protects against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0DD" w:sz="1"/>
              <w:left w:val="single" w:color="C77700" w:sz="22"/>
              <w:bottom w:val="single" w:color="FBF0DD" w:sz="1"/>
              <w:right w:val="single" w:color="FBF0DD" w:sz="1"/>
            </w:tcBorders>
            <w:shd w:fill="FBF0DD" w:val="clear"/>
            <w:tcMar>
              <w:top w:type="dxa" w:w="120"/>
              <w:left w:type="dxa" w:w="170"/>
              <w:bottom w:type="dxa" w:w="120"/>
              <w:right w:type="dxa" w:w="160"/>
            </w:tcMar>
          </w:tcPr>
          <w:p>
            <w:pPr>
              <w:spacing w:after="70"/>
            </w:pPr>
            <w:r>
              <w:rPr>
                <w:b/>
                <w:bCs/>
                <w:color w:val="0B2545"/>
                <w:sz w:val="21"/>
                <w:szCs w:val="21"/>
              </w:rPr>
              <w:t xml:space="preserve">The closed loop</w:t>
            </w:r>
          </w:p>
          <w:p>
            <w:pPr>
              <w:spacing w:after="50" w:line="264"/>
            </w:pPr>
            <w:r>
              <w:rPr>
                <w:b/>
                <w:bCs/>
                <w:color w:val="0B2545"/>
              </w:rPr>
              <w:t xml:space="preserve">score → optimize → deliver → measure lift vs holdout → retrain → score …</w:t>
            </w:r>
          </w:p>
          <w:p>
            <w:pPr>
              <w:spacing w:after="50" w:line="264"/>
            </w:pPr>
            <w:r>
              <w:rPr>
                <w:sz w:val="20"/>
                <w:szCs w:val="20"/>
              </w:rPr>
              <w:t xml:space="preserve">Schedule Stage 2 + Stage 3 as a recurring Databricks Workflow. Each wave both earns margin AND generates fresh causal data for the next model.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B" w:sz="1"/>
              <w:left w:val="single" w:color="1F6FEB" w:sz="22"/>
              <w:bottom w:val="single" w:color="EAF1FB" w:sz="1"/>
              <w:right w:val="single" w:color="EAF1FB" w:sz="1"/>
            </w:tcBorders>
            <w:shd w:fill="EAF1FB" w:val="clear"/>
            <w:tcMar>
              <w:top w:type="dxa" w:w="120"/>
              <w:left w:type="dxa" w:w="170"/>
              <w:bottom w:type="dxa" w:w="120"/>
              <w:right w:type="dxa" w:w="160"/>
            </w:tcMar>
          </w:tcPr>
          <w:p>
            <w:pPr>
              <w:spacing w:after="70"/>
            </w:pPr>
            <w:r>
              <w:rPr>
                <w:b/>
                <w:bCs/>
                <w:color w:val="0B2545"/>
                <w:sz w:val="21"/>
                <w:szCs w:val="21"/>
              </w:rPr>
              <w:t xml:space="preserve">60-second verbal summary of the whole project</w:t>
            </w:r>
          </w:p>
          <w:p>
            <w:pPr>
              <w:spacing w:after="50" w:line="264"/>
            </w:pPr>
            <w:r>
              <w:rPr>
                <w:b/>
                <w:bCs/>
              </w:rPr>
              <w:t xml:space="preserve">Stage 1: </w:t>
            </w:r>
            <w:r>
              <w:t xml:space="preserve">Route customers (known/sparse/unknown), cluster the known ones, label segments, publish to Feature Store with timestamp keys.</w:t>
            </w:r>
          </w:p>
          <w:p>
            <w:pPr>
              <w:spacing w:after="50" w:line="264"/>
            </w:pPr>
            <w:r>
              <w:rPr>
                <w:b/>
                <w:bCs/>
              </w:rPr>
              <w:t xml:space="preserve">Stage 2: </w:t>
            </w:r>
            <w:r>
              <w:t xml:space="preserve">Run a learning-wave campaign with 80:20 stratified treatment/holdout split. Aggregate ATE proves the coupon worked; but we want per-customer effect. Train two Gradient Boosting models (T-learner) — model_T on treated, model_C on holdout. Score the whole base through both; subtract to get individual uplift. Validate with Qini curve (incremental purchases captured as we target down the ranking, vs random diagonal). Register the champion in MLflow.</w:t>
            </w:r>
          </w:p>
          <w:p>
            <w:pPr>
              <w:spacing w:after="50" w:line="264"/>
            </w:pPr>
            <w:r>
              <w:rPr>
                <w:b/>
                <w:bCs/>
              </w:rPr>
              <w:t xml:space="preserve">Stage 3: </w:t>
            </w:r>
            <w:r>
              <w:t xml:space="preserve">Batch-score everyone with the champion. Optimize via budget-constrained knapsack — rank by ROI per dollar, cumulative-sum cost, cut at budget. Deliver via batch (known) and real-time rules (anonymous). Always reserve a fresh holdout. Measure honest incremental margin vs holdout. Retrain on accumulated waves — champion/challenger guard keeps the model honest. Loop forever.</w:t>
            </w:r>
          </w:p>
        </w:tc>
      </w:tr>
    </w:tbl>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7F0" w:sz="4" w:space="4"/>
      </w:pBdr>
      <w:jc w:val="center"/>
    </w:pPr>
    <w:r>
      <w:rPr>
        <w:color w:val="8AA4C8"/>
        <w:sz w:val="15"/>
        <w:szCs w:val="15"/>
      </w:rPr>
      <w:t xml:space="preserve">Coupon Personalization — Full Flow Reference  ·  Page </w:t>
    </w:r>
    <w:r>
      <w:rPr>
        <w:color w:val="8AA4C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rPr>
        <w:b/>
        <w:bCs/>
        <w:color w:val="1F6FEB"/>
      </w:rPr>
    </w:lvl>
  </w:abstractNum>
  <w:abstractNum w:abstractNumId="3" w15:restartNumberingAfterBreak="0">
    <w:multiLevelType w:val="hybridMultilevel"/>
    <w:lvl w:ilvl="0" w15:tentative="1">
      <w:start w:val="1"/>
      <w:numFmt w:val="bullet"/>
      <w:lvlText w:val="•"/>
      <w:lvlJc w:val="left"/>
      <w:pPr>
        <w:ind w:left="540" w:hanging="260"/>
      </w:pPr>
      <w:rPr>
        <w:color w:val="1F6F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6FEB" w:val="clear"/>
      <w:spacing w:after="140" w:before="280"/>
      <w:outlineLvl w:val="0"/>
    </w:pPr>
    <w:rPr>
      <w:rFonts w:ascii="Calibri" w:cs="Calibri" w:eastAsia="Calibri" w:hAnsi="Calibri"/>
      <w:b/>
      <w:bCs/>
      <w:color w:val="FFFFFF"/>
      <w:sz w:val="28"/>
      <w:szCs w:val="28"/>
    </w:rPr>
  </w:style>
  <w:style w:type="paragraph" w:styleId="Heading2">
    <w:name w:val="Heading 2"/>
    <w:basedOn w:val="Normal"/>
    <w:next w:val="Normal"/>
    <w:qFormat/>
    <w:pPr>
      <w:pBdr>
        <w:bottom w:val="single" w:color="1F6FEB" w:sz="6" w:space="2"/>
      </w:pBdr>
      <w:spacing w:after="100" w:before="200"/>
      <w:outlineLvl w:val="1"/>
    </w:pPr>
    <w:rPr>
      <w:rFonts w:ascii="Calibri" w:cs="Calibri" w:eastAsia="Calibri" w:hAnsi="Calibri"/>
      <w:b/>
      <w:bCs/>
      <w:color w:val="0B25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Coupon Personalization — Full Flow Reference</dc:title>
  <dc:creator>Anupam</dc:creator>
  <cp:lastModifiedBy>Un-named</cp:lastModifiedBy>
  <cp:revision>1</cp:revision>
  <dcterms:created xsi:type="dcterms:W3CDTF">2026-06-25T05:40:05.388Z</dcterms:created>
  <dcterms:modified xsi:type="dcterms:W3CDTF">2026-06-25T05:40:05.401Z</dcterms:modified>
</cp:coreProperties>
</file>

<file path=docProps/custom.xml><?xml version="1.0" encoding="utf-8"?>
<Properties xmlns="http://schemas.openxmlformats.org/officeDocument/2006/custom-properties" xmlns:vt="http://schemas.openxmlformats.org/officeDocument/2006/docPropsVTypes"/>
</file>