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3796" w14:textId="77777777" w:rsidR="00FA0DA8" w:rsidRDefault="00000000">
      <w:r>
        <w:t>Online Bias Correction for Short-Term Load Forecasting on a Rapidly Growing Grid: The TIDE Mechanism</w:t>
      </w:r>
    </w:p>
    <w:p w14:paraId="48ED413F" w14:textId="7A7FFAC7" w:rsidR="00FA0DA8" w:rsidRDefault="00C67BEF">
      <w:pPr>
        <w:pStyle w:val="Author"/>
      </w:pPr>
      <w:r>
        <w:t>GYIMAH EMMANUEL</w:t>
      </w:r>
    </w:p>
    <w:p w14:paraId="50ECD9DD" w14:textId="2CA8CFCD" w:rsidR="00FA0DA8" w:rsidRDefault="00C67BEF">
      <w:pPr>
        <w:pStyle w:val="Author"/>
      </w:pPr>
      <w:r>
        <w:t>MICHEAL BOADI</w:t>
      </w:r>
    </w:p>
    <w:p w14:paraId="296ED42B" w14:textId="77777777" w:rsidR="00FA0DA8" w:rsidRDefault="00000000">
      <w:pPr>
        <w:pStyle w:val="Heading1"/>
      </w:pPr>
      <w:bookmarkStart w:id="0" w:name="X53f828fe5006ee25f01f67a7db1922ea28545a2"/>
      <w:r>
        <w:t>Online Bias Correction for Short-Term Load Forecasting on a Rapidly Growing Grid: The TIDE Mechanism</w:t>
      </w:r>
    </w:p>
    <w:p w14:paraId="12E32B58" w14:textId="5C6BBD7A" w:rsidR="00C67BEF" w:rsidRDefault="00C67BEF" w:rsidP="009B0911">
      <w:pPr>
        <w:pStyle w:val="Author"/>
      </w:pPr>
      <w:r>
        <w:t>GYIMAH EMMANUE</w:t>
      </w:r>
      <w:r w:rsidR="009B0911">
        <w:t>L</w:t>
      </w:r>
      <w:r>
        <w:t>,</w:t>
      </w:r>
      <w:r w:rsidRPr="00C67BEF">
        <w:t xml:space="preserve"> </w:t>
      </w:r>
      <w:r>
        <w:t>MICHEAL BOADI</w:t>
      </w:r>
    </w:p>
    <w:p w14:paraId="1BCE4A25" w14:textId="4E330EFA" w:rsidR="00FA0DA8" w:rsidRDefault="00000000">
      <w:r>
        <w:br/>
      </w:r>
      <w:r w:rsidR="00C67BEF">
        <w:t>KNUST</w:t>
      </w:r>
      <w:r>
        <w:br/>
      </w:r>
      <w:r w:rsidR="00C67BEF">
        <w:t>iamegyimah@gmail.com</w:t>
      </w:r>
    </w:p>
    <w:p w14:paraId="53FF1CB8" w14:textId="77777777" w:rsidR="00FA0DA8" w:rsidRDefault="00000000">
      <w:pPr>
        <w:pStyle w:val="BodyText"/>
      </w:pPr>
      <w:r>
        <w:rPr>
          <w:b/>
          <w:bCs/>
        </w:rPr>
        <w:t>Keywords:</w:t>
      </w:r>
      <w:r>
        <w:t xml:space="preserve"> load forecasting; DLinear; TIDE; online correction; non-stationary time series</w:t>
      </w:r>
    </w:p>
    <w:p w14:paraId="7CFDB048" w14:textId="77777777" w:rsidR="00FA0DA8" w:rsidRDefault="00000000">
      <w:pPr>
        <w:pStyle w:val="Heading2"/>
      </w:pPr>
      <w:bookmarkStart w:id="1" w:name="extended-abstract"/>
      <w:r>
        <w:t>Extended Abstract</w:t>
      </w:r>
    </w:p>
    <w:p w14:paraId="2B60BA83" w14:textId="7453E8B5" w:rsidR="00FA0DA8" w:rsidRDefault="00000000">
      <w:r>
        <w:t>Short-term load forecasting (STLF) on rapidly growing grids</w:t>
      </w:r>
      <w:r w:rsidR="00F11DAB">
        <w:t>(such as ones in developing countries like Africa)</w:t>
      </w:r>
      <w:r>
        <w:t xml:space="preserve"> presents a challenge absent from the mature-grid literature: </w:t>
      </w:r>
      <w:r w:rsidR="00F11DAB">
        <w:t xml:space="preserve">unlike mature grids </w:t>
      </w:r>
      <w:r>
        <w:t xml:space="preserve">distribution shift is not a marginal concern but the dominant feature. The West African national grid </w:t>
      </w:r>
      <w:r w:rsidR="00F11DAB">
        <w:t xml:space="preserve">used </w:t>
      </w:r>
      <w:r>
        <w:t>in</w:t>
      </w:r>
      <w:r w:rsidR="00F11DAB">
        <w:t>side</w:t>
      </w:r>
      <w:r>
        <w:t xml:space="preserve"> this study grew 94% in eight years </w:t>
      </w:r>
      <w:r w:rsidR="00F11DAB">
        <w:t>:</w:t>
      </w:r>
      <w:r>
        <w:t xml:space="preserve"> from 1,692 MW mean hourly demand in 2018 to 3,275 MW in 2026. Peak demand reached 4,031 MW. Annual growth accelerated from 6.2% to 13.6%.</w:t>
      </w:r>
    </w:p>
    <w:p w14:paraId="38DFECE9" w14:textId="2D0E1823" w:rsidR="00FA0DA8" w:rsidRDefault="00000000">
      <w:pPr>
        <w:pStyle w:val="BodyText"/>
      </w:pPr>
      <w:r>
        <w:t>We built a DLinear baseline (168-hour input, 24-hour forecast horizon, ~40,000 parameters, trained in under 30 CPU-seconds per fold) and evaluated it via 6-fold expanding-window cross-validation spanning 2018–2026. Despite capturing diurnal and weekly patterns well (</w:t>
      </w:r>
      <w:r w:rsidR="00F11DAB">
        <w:t xml:space="preserve">in fact with </w:t>
      </w:r>
      <w:r>
        <w:t xml:space="preserve">mean fold MAE: 93.9 MW, MAPE: 3.65%), the model </w:t>
      </w:r>
      <w:r w:rsidR="00F11DAB">
        <w:t>showed substantial</w:t>
      </w:r>
      <w:r>
        <w:t xml:space="preserve"> systematic under-forecasting bias between retraining cycles. Th</w:t>
      </w:r>
      <w:r w:rsidR="009B0911">
        <w:t>is</w:t>
      </w:r>
      <w:r>
        <w:t xml:space="preserve"> bias grew monotonically with test-year demand. </w:t>
      </w:r>
      <w:r w:rsidR="00F11DAB">
        <w:t xml:space="preserve">We performed an </w:t>
      </w:r>
      <w:r>
        <w:t xml:space="preserve"> autocorrelation analysis of the forecast residuals revealed a highly persistent, slowly varying signal (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</m:t>
        </m:r>
      </m:oMath>
      <w:r>
        <w:t>–</w:t>
      </w:r>
      <m:oMath>
        <m:r>
          <w:rPr>
            <w:rFonts w:ascii="Cambria Math" w:hAnsi="Cambria Math"/>
          </w:rPr>
          <m:t>0.8</m:t>
        </m:r>
      </m:oMath>
      <w:r>
        <w:t xml:space="preserve"> at lags 1–48 hours) concentrated at low frequencies </w:t>
      </w:r>
      <w:r w:rsidR="00F11DAB">
        <w:t xml:space="preserve"> (</w:t>
      </w:r>
      <w:r>
        <w:t xml:space="preserve"> a “bias hum”</w:t>
      </w:r>
      <w:r w:rsidR="00F11DAB">
        <w:t xml:space="preserve"> ) which is</w:t>
      </w:r>
      <w:r>
        <w:t xml:space="preserve"> driven by the grid’s growth trajectory.</w:t>
      </w:r>
    </w:p>
    <w:p w14:paraId="01907EC4" w14:textId="5A2BBCF6" w:rsidR="00FA0DA8" w:rsidRDefault="00000000">
      <w:pPr>
        <w:pStyle w:val="BodyText"/>
      </w:pPr>
      <w:r>
        <w:t xml:space="preserve">We </w:t>
      </w:r>
      <w:r w:rsidR="00F11DAB">
        <w:t xml:space="preserve">therefore </w:t>
      </w:r>
      <w:r>
        <w:t xml:space="preserve">propose </w:t>
      </w:r>
      <w:r>
        <w:rPr>
          <w:b/>
          <w:bCs/>
        </w:rPr>
        <w:t>Temporal Integration of Drift Errors (TIDE)</w:t>
      </w:r>
      <w:r>
        <w:t xml:space="preserve">, a zero-parameter online bias corrector. TIDE operates in normalized </w:t>
      </w:r>
      <m:oMath>
        <m:r>
          <w:rPr>
            <w:rFonts w:ascii="Cambria Math" w:hAnsi="Cambria Math"/>
          </w:rPr>
          <m:t>z</m:t>
        </m:r>
      </m:oMath>
      <w:r>
        <w:t xml:space="preserve">-score space for scale invariance: it tracks the running mean of recent forecast errors and updates an exponentially weighted moving average (EMA,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>) of the bias, which is then subtracted from future predictions before denormalization. The mechanism has zero trainable parameters, one minimally sensitive hyperparameter, and approximately 20 lines of implementation.</w:t>
      </w:r>
    </w:p>
    <w:p w14:paraId="1F5BC9B2" w14:textId="77777777" w:rsidR="00FA0DA8" w:rsidRDefault="00000000">
      <w:pPr>
        <w:pStyle w:val="BodyText"/>
      </w:pPr>
      <w:r>
        <w:t xml:space="preserve">TIDE improves the DLinear mean fold MAE from 93.9 MW to 75.9 MW (19.2% relative reduction,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t xml:space="preserve">) and reduces systematic under-forecasting bias by over 80%. The improvement is consistent across all six folds (16.8–20.9%). TIDE generalizes uniformly across eleven diverse forecasting architectures — including LSTMs, GRUs, Transformers, LightGBM, SVR, ARIMA, and seasonal naïve — yielding a consistent 23–26% error reduction on ensemble predictions. It outperforms alternative online correctors (simple moving averages, linear trend extrapolation, and Kalman filters). Varying the smoothing parameter </w:t>
      </w:r>
      <m:oMath>
        <m:r>
          <w:rPr>
            <w:rFonts w:ascii="Cambria Math" w:hAnsi="Cambria Math"/>
          </w:rPr>
          <m:t>α</m:t>
        </m:r>
      </m:oMath>
      <w:r>
        <w:t xml:space="preserve"> across 0.3–0.9 produces a narrow 3% error band, confirming the mechanism requires no continuous tuning.</w:t>
      </w:r>
    </w:p>
    <w:p w14:paraId="1F5576C0" w14:textId="2BDABC15" w:rsidR="00FA0DA8" w:rsidRDefault="00000000">
      <w:pPr>
        <w:pStyle w:val="BodyText"/>
      </w:pPr>
      <w:r>
        <w:t xml:space="preserve">For production deployment, we establish that a single DLinear model trained on the most recent 2–4 years of history combined with TIDE provides an optimal, lightweight forecasting solution. Training on 4 years yields identical accuracy to the full 8-year history (118.4 MW baseline), reducing data storage and training costs. Annual retraining suffices because TIDE handles the inter-cycle drift: increasing retraining to monthly yields only 3.1% additional improvement. This configuration requires no GPU, no gradient updates at inference, and no manual parameter adjustments </w:t>
      </w:r>
      <w:r w:rsidR="00F11DAB">
        <w:t xml:space="preserve">hence , </w:t>
      </w:r>
      <w:r>
        <w:t>making it suitable for resource-constrained utility environments where infrastructure and engineering teams are limited.</w:t>
      </w:r>
    </w:p>
    <w:p w14:paraId="2CB974DD" w14:textId="77777777" w:rsidR="00FA0DA8" w:rsidRDefault="00000000">
      <w:pPr>
        <w:pStyle w:val="Heading2"/>
      </w:pPr>
      <w:bookmarkStart w:id="2" w:name="references"/>
      <w:bookmarkEnd w:id="1"/>
      <w:r>
        <w:t>References</w:t>
      </w:r>
    </w:p>
    <w:p w14:paraId="61C4FA98" w14:textId="77777777" w:rsidR="00FA0DA8" w:rsidRDefault="00000000">
      <w:r>
        <w:t xml:space="preserve">[1] A. Zeng et al., “Are transformers effective for time series forecasting?” </w:t>
      </w:r>
      <w:r>
        <w:rPr>
          <w:i/>
          <w:iCs/>
        </w:rPr>
        <w:t>Proc. AAAI</w:t>
      </w:r>
      <w:r>
        <w:t>, vol. 37, no. 9, pp. 11121–11129, 2023.</w:t>
      </w:r>
    </w:p>
    <w:p w14:paraId="5CCE732B" w14:textId="77777777" w:rsidR="00FA0DA8" w:rsidRDefault="00000000">
      <w:pPr>
        <w:pStyle w:val="BodyText"/>
      </w:pPr>
      <w:r>
        <w:t xml:space="preserve">[2] N. H. Mvungi et al., “Load forecasting for Tanzania’s power system,” </w:t>
      </w:r>
      <w:r>
        <w:rPr>
          <w:i/>
          <w:iCs/>
        </w:rPr>
        <w:t>J. Energy Southern Africa</w:t>
      </w:r>
      <w:r>
        <w:t>, vol. 32, no. 2, pp. 48–59, 2021.</w:t>
      </w:r>
    </w:p>
    <w:p w14:paraId="772527F6" w14:textId="77777777" w:rsidR="00FA0DA8" w:rsidRDefault="00000000">
      <w:pPr>
        <w:pStyle w:val="BodyText"/>
      </w:pPr>
      <w:r>
        <w:t xml:space="preserve">[3] R. J. Hyndman and G. Athanasopoulos, </w:t>
      </w:r>
      <w:r>
        <w:rPr>
          <w:i/>
          <w:iCs/>
        </w:rPr>
        <w:t>Forecasting: Principles and Practice</w:t>
      </w:r>
      <w:r>
        <w:t>, 3rd ed. OTexts, 2021.</w:t>
      </w:r>
      <w:bookmarkEnd w:id="0"/>
      <w:bookmarkEnd w:id="2"/>
    </w:p>
    <w:sectPr w:rsidR="00FA0DA8">
      <w:headerReference w:type="default" r:id="rId7"/>
      <w:footerReference w:type="default" r:id="rId8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AC37" w14:textId="77777777" w:rsidR="00B91742" w:rsidRDefault="00B91742">
      <w:r>
        <w:separator/>
      </w:r>
    </w:p>
  </w:endnote>
  <w:endnote w:type="continuationSeparator" w:id="0">
    <w:p w14:paraId="69004954" w14:textId="77777777" w:rsidR="00B91742" w:rsidRDefault="00B91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4821" w14:textId="77777777" w:rsidR="00D74ABB" w:rsidRDefault="00D74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4E06" w14:textId="77777777" w:rsidR="00B91742" w:rsidRDefault="00B91742">
      <w:r>
        <w:separator/>
      </w:r>
    </w:p>
  </w:footnote>
  <w:footnote w:type="continuationSeparator" w:id="0">
    <w:p w14:paraId="702144F5" w14:textId="77777777" w:rsidR="00B91742" w:rsidRDefault="00B91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8DCC" w14:textId="77777777" w:rsidR="00D74ABB" w:rsidRDefault="00D74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428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5" w15:restartNumberingAfterBreak="0">
    <w:nsid w:val="4189603E"/>
    <w:multiLevelType w:val="multilevel"/>
    <w:tmpl w:val="F3FA876A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81235189">
    <w:abstractNumId w:val="3"/>
  </w:num>
  <w:num w:numId="2" w16cid:durableId="236131831">
    <w:abstractNumId w:val="7"/>
  </w:num>
  <w:num w:numId="3" w16cid:durableId="376592248">
    <w:abstractNumId w:val="2"/>
  </w:num>
  <w:num w:numId="4" w16cid:durableId="1858419188">
    <w:abstractNumId w:val="5"/>
  </w:num>
  <w:num w:numId="5" w16cid:durableId="222832018">
    <w:abstractNumId w:val="5"/>
  </w:num>
  <w:num w:numId="6" w16cid:durableId="386224399">
    <w:abstractNumId w:val="5"/>
  </w:num>
  <w:num w:numId="7" w16cid:durableId="824471775">
    <w:abstractNumId w:val="5"/>
  </w:num>
  <w:num w:numId="8" w16cid:durableId="758672178">
    <w:abstractNumId w:val="6"/>
  </w:num>
  <w:num w:numId="9" w16cid:durableId="1905602408">
    <w:abstractNumId w:val="8"/>
  </w:num>
  <w:num w:numId="10" w16cid:durableId="1477144762">
    <w:abstractNumId w:val="4"/>
  </w:num>
  <w:num w:numId="11" w16cid:durableId="93331180">
    <w:abstractNumId w:val="1"/>
  </w:num>
  <w:num w:numId="12" w16cid:durableId="16725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8C3"/>
    <w:rsid w:val="00026EBC"/>
    <w:rsid w:val="00031920"/>
    <w:rsid w:val="000A62DF"/>
    <w:rsid w:val="000C132E"/>
    <w:rsid w:val="00132BCE"/>
    <w:rsid w:val="00186A86"/>
    <w:rsid w:val="001A3339"/>
    <w:rsid w:val="00253E4B"/>
    <w:rsid w:val="002866D7"/>
    <w:rsid w:val="002F2566"/>
    <w:rsid w:val="0036673C"/>
    <w:rsid w:val="003F74D4"/>
    <w:rsid w:val="00463C92"/>
    <w:rsid w:val="004905AA"/>
    <w:rsid w:val="005A66FD"/>
    <w:rsid w:val="005B520E"/>
    <w:rsid w:val="005B5923"/>
    <w:rsid w:val="0060764F"/>
    <w:rsid w:val="0062536D"/>
    <w:rsid w:val="006D0A72"/>
    <w:rsid w:val="0079748E"/>
    <w:rsid w:val="0085517A"/>
    <w:rsid w:val="00863F8F"/>
    <w:rsid w:val="00913DAD"/>
    <w:rsid w:val="0092093B"/>
    <w:rsid w:val="00925EE6"/>
    <w:rsid w:val="009303D9"/>
    <w:rsid w:val="009337BB"/>
    <w:rsid w:val="009B0911"/>
    <w:rsid w:val="009E5B90"/>
    <w:rsid w:val="00A348C3"/>
    <w:rsid w:val="00B11A60"/>
    <w:rsid w:val="00B91742"/>
    <w:rsid w:val="00BA3FA0"/>
    <w:rsid w:val="00BF0B46"/>
    <w:rsid w:val="00C6301B"/>
    <w:rsid w:val="00C67BEF"/>
    <w:rsid w:val="00C75A11"/>
    <w:rsid w:val="00D06852"/>
    <w:rsid w:val="00D52389"/>
    <w:rsid w:val="00D74ABB"/>
    <w:rsid w:val="00DB23A9"/>
    <w:rsid w:val="00DC4E24"/>
    <w:rsid w:val="00DD3C07"/>
    <w:rsid w:val="00E058CF"/>
    <w:rsid w:val="00EC2F4B"/>
    <w:rsid w:val="00F11DAB"/>
    <w:rsid w:val="00F1763F"/>
    <w:rsid w:val="00F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A123E"/>
  <w15:docId w15:val="{750C4B08-52D0-4EC2-8574-29EC182A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kern w:val="0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9"/>
    <w:qFormat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uiPriority w:val="99"/>
    <w:qFormat/>
    <w:pPr>
      <w:numPr>
        <w:ilvl w:val="3"/>
        <w:numId w:val="7"/>
      </w:numPr>
      <w:tabs>
        <w:tab w:val="clear" w:pos="630"/>
        <w:tab w:val="num" w:pos="720"/>
      </w:tabs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uiPriority w:val="99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b/>
      <w:bCs/>
      <w:kern w:val="44"/>
      <w:sz w:val="44"/>
      <w:szCs w:val="4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cs="Times New Roman"/>
      <w:b/>
      <w:bCs/>
      <w:kern w:val="0"/>
      <w:sz w:val="32"/>
      <w:szCs w:val="3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cs="Times New Roman"/>
      <w:b/>
      <w:bCs/>
      <w:kern w:val="0"/>
      <w:sz w:val="28"/>
      <w:szCs w:val="28"/>
      <w:lang w:eastAsia="en-US"/>
    </w:rPr>
  </w:style>
  <w:style w:type="paragraph" w:customStyle="1" w:styleId="Abstract">
    <w:name w:val="Abstract"/>
    <w:uiPriority w:val="99"/>
    <w:pPr>
      <w:spacing w:after="200"/>
      <w:jc w:val="both"/>
    </w:pPr>
    <w:rPr>
      <w:b/>
      <w:bCs/>
      <w:kern w:val="0"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kern w:val="0"/>
      <w:sz w:val="20"/>
      <w:szCs w:val="20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noProof/>
      <w:kern w:val="0"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pPr>
      <w:spacing w:after="120" w:line="228" w:lineRule="auto"/>
      <w:ind w:firstLine="288"/>
      <w:jc w:val="both"/>
    </w:pPr>
    <w:rPr>
      <w:spacing w:val="-1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kern w:val="0"/>
      <w:sz w:val="20"/>
      <w:szCs w:val="20"/>
      <w:lang w:eastAsia="en-US"/>
    </w:rPr>
  </w:style>
  <w:style w:type="paragraph" w:customStyle="1" w:styleId="bulletlist">
    <w:name w:val="bullet list"/>
    <w:basedOn w:val="BodyText"/>
    <w:uiPriority w:val="99"/>
    <w:pPr>
      <w:numPr>
        <w:numId w:val="1"/>
      </w:numPr>
    </w:pPr>
  </w:style>
  <w:style w:type="paragraph" w:customStyle="1" w:styleId="equation">
    <w:name w:val="equation"/>
    <w:basedOn w:val="Normal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uiPriority w:val="99"/>
    <w:pPr>
      <w:numPr>
        <w:numId w:val="2"/>
      </w:numPr>
      <w:tabs>
        <w:tab w:val="clear" w:pos="720"/>
      </w:tabs>
      <w:spacing w:before="80" w:after="200"/>
      <w:jc w:val="center"/>
    </w:pPr>
    <w:rPr>
      <w:noProof/>
      <w:kern w:val="0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kern w:val="0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88"/>
      <w:jc w:val="both"/>
    </w:pPr>
    <w:rPr>
      <w:b/>
      <w:bCs/>
      <w:i/>
      <w:iCs/>
      <w:noProof/>
      <w:kern w:val="0"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eastAsia="MS Mincho"/>
      <w:noProof/>
      <w:kern w:val="0"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eastAsia="MS Mincho"/>
      <w:noProof/>
      <w:kern w:val="0"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eastAsia="MS Mincho"/>
      <w:noProof/>
      <w:kern w:val="0"/>
      <w:sz w:val="16"/>
      <w:szCs w:val="16"/>
      <w:lang w:eastAsia="en-US"/>
    </w:rPr>
  </w:style>
  <w:style w:type="paragraph" w:customStyle="1" w:styleId="sponsors">
    <w:name w:val="sponsors"/>
    <w:uiPriority w:val="99"/>
    <w:pPr>
      <w:framePr w:wrap="auto" w:hAnchor="text" w:x="615" w:y="2239"/>
      <w:pBdr>
        <w:top w:val="single" w:sz="4" w:space="2" w:color="auto"/>
      </w:pBdr>
      <w:ind w:firstLine="288"/>
    </w:pPr>
    <w:rPr>
      <w:kern w:val="0"/>
      <w:sz w:val="16"/>
      <w:szCs w:val="16"/>
      <w:lang w:eastAsia="en-US"/>
    </w:rPr>
  </w:style>
  <w:style w:type="paragraph" w:customStyle="1" w:styleId="tablecolhead">
    <w:name w:val="table col head"/>
    <w:basedOn w:val="Normal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noProof/>
      <w:kern w:val="0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spacing w:before="60" w:after="30"/>
      <w:jc w:val="right"/>
    </w:pPr>
    <w:rPr>
      <w:kern w:val="0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smallCaps/>
      <w:noProof/>
      <w:kern w:val="0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A3FA0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A3FA0"/>
    <w:rPr>
      <w:rFonts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A3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A3FA0"/>
    <w:rPr>
      <w:rFonts w:cs="Times New Roman"/>
      <w:kern w:val="0"/>
      <w:sz w:val="18"/>
      <w:szCs w:val="18"/>
      <w:lang w:eastAsia="en-US"/>
    </w:rPr>
  </w:style>
  <w:style w:type="paragraph" w:styleId="NoSpacing">
    <w:name w:val="No Spacing"/>
    <w:uiPriority w:val="1"/>
    <w:qFormat/>
    <w:rsid w:val="005B5923"/>
    <w:pPr>
      <w:jc w:val="center"/>
    </w:pPr>
    <w:rPr>
      <w:kern w:val="0"/>
      <w:sz w:val="20"/>
      <w:szCs w:val="20"/>
      <w:lang w:eastAsia="en-US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Bias Correction for Short-Term Load Forecasting on a Rapidly Growing Grid: The TIDE Mechanism</vt:lpstr>
    </vt:vector>
  </TitlesOfParts>
  <Company>IEEE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Bias Correction for Short-Term Load Forecasting on a Rapidly Growing Grid: The TIDE Mechanism</dc:title>
  <dc:creator>[Name]; [Co-author]</dc:creator>
  <cp:keywords/>
  <cp:lastModifiedBy>Emmanuel Gyimah</cp:lastModifiedBy>
  <cp:revision>3</cp:revision>
  <dcterms:created xsi:type="dcterms:W3CDTF">2026-06-23T18:18:00Z</dcterms:created>
  <dcterms:modified xsi:type="dcterms:W3CDTF">2026-06-24T10:02:00Z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[Affiliation]</vt:lpwstr>
  </property>
  <property fmtid="{D5CDD505-2E9C-101B-9397-08002B2CF9AE}" pid="3" name="email">
    <vt:lpwstr>[email]</vt:lpwstr>
  </property>
</Properties>
</file>