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5.png" ContentType="image/png"/>
  <Override PartName="/word/media/rId45.png" ContentType="image/png"/>
  <Override PartName="/word/media/rId41.png" ContentType="image/png"/>
  <Override PartName="/word/media/rId51.png" ContentType="image/png"/>
  <Override PartName="/word/media/rId58.png" ContentType="image/png"/>
  <Override PartName="/word/media/rId63.png" ContentType="image/png"/>
  <Override PartName="/word/media/rId33.png" ContentType="image/png"/>
  <Override PartName="/word/media/rId6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53f828fe5006ee25f01f67a7db1922ea28545a2"/>
    <w:p>
      <w:pPr>
        <w:pStyle w:val="Heading1"/>
      </w:pPr>
      <w:r>
        <w:t xml:space="preserve">Online Bias Correction for Short-Term Load Forecasting on a Rapidly Growing Grid: The TIDE Mechanism</w:t>
      </w:r>
    </w:p>
    <w:bookmarkStart w:id="14" w:name="abstract"/>
    <w:p>
      <w:pPr>
        <w:pStyle w:val="Heading2"/>
      </w:pPr>
      <w:r>
        <w:t xml:space="preserve">Abstract</w:t>
      </w:r>
    </w:p>
    <w:p>
      <w:pPr>
        <w:pStyle w:val="FirstParagraph"/>
      </w:pPr>
      <w:r>
        <w:t xml:space="preserve">Accurate short-term load forecasting (STLF) is essential for power grid operations, scheduling, and transaction management. However, in rapidly developing economies, national power grids exhibit severe time-series non-stationarity due to fast-paced electrification, urbanization, and industrial expansion. We investigate day-ahead STLF for a West African national grid where the mean hourly demand rose by 94% (from 1,692 MW to 3,275 MW) over an eight-year period (2018–2026). Using a 6-fold expanding-window cross-validation framework on a Decomposition-Linear baseline (DLinear), we demonstrate that rapid demand growth accumulates substantial systematic under-forecasting bias between retraining cycles. A spectral and autocorrelation analysis of the forecast residuals reveals a highly persistent, slowly varying bias signal (</w:t>
      </w:r>
      <m:oMath>
        <m:r>
          <m:t>ρ</m:t>
        </m:r>
        <m:r>
          <m:rPr>
            <m:sty m:val="p"/>
          </m:rPr>
          <m:t>=</m:t>
        </m:r>
        <m:r>
          <m:t>0.6</m:t>
        </m:r>
      </m:oMath>
      <w:r>
        <w:t xml:space="preserve">–</w:t>
      </w:r>
      <m:oMath>
        <m:r>
          <m:t>0.8</m:t>
        </m:r>
      </m:oMath>
      <w:r>
        <w:t xml:space="preserve"> </w:t>
      </w:r>
      <w:r>
        <w:t xml:space="preserve">at lags 1–48 hours) concentrated at low frequencies.</w:t>
      </w:r>
    </w:p>
    <w:p>
      <w:pPr>
        <w:pStyle w:val="BodyText"/>
      </w:pPr>
      <w:r>
        <w:t xml:space="preserve">To resolve this issue, we propose</w:t>
      </w:r>
      <w:r>
        <w:t xml:space="preserve"> </w:t>
      </w:r>
      <w:r>
        <w:rPr>
          <w:b/>
          <w:bCs/>
        </w:rPr>
        <w:t xml:space="preserve">Temporal Integration of Drift Errors (TIDE)</w:t>
      </w:r>
      <w:r>
        <w:t xml:space="preserve">, a zero-parameter online bias correction mechanism. Operating in a normalized</w:t>
      </w:r>
      <w:r>
        <w:t xml:space="preserve"> </w:t>
      </w:r>
      <m:oMath>
        <m:r>
          <m:t>z</m:t>
        </m:r>
      </m:oMath>
      <w:r>
        <w:t xml:space="preserve">-score space for scale invariance, TIDE tracks recent forecast deviations and updates an exponentially weighted moving average (EMA) of the grid’s drift, which is then subtracted from future predictions. TIDE improves the DLinear mean fold MAE from 93.9 MW to 75.9 MW (a 19.2% relative error reduction,</w:t>
      </w:r>
      <w:r>
        <w:t xml:space="preserve"> </w:t>
      </w:r>
      <m:oMath>
        <m:r>
          <m:t>p</m:t>
        </m:r>
        <m:r>
          <m:rPr>
            <m:sty m:val="p"/>
          </m:rPr>
          <m:t>&lt;</m:t>
        </m:r>
        <m:r>
          <m:t>0.001</m:t>
        </m:r>
      </m:oMath>
      <w:r>
        <w:t xml:space="preserve">) and reduces systematic under-forecasting bias by over 80%. We show that TIDE generalizes uniformly across eleven diverse forecasting architectures—including LSTMs, Transformers, LightGBM, and classical models—yielding a consistent 23–26% error reduction on ensemble predictions. Furthermore, TIDE outperforms traditional online correctors (simple moving averages, linear trend extrapolation, and Kalman filters) while requiring no gradient computations, auxiliary model training, or continuous hyperparameter tuning. Finally, we establish that a single DLinear model trained on the most recent 2–4 years of history combined with TIDE provides an optimal, lightweight production forecasting engine for resource-constrained utility environments.</w:t>
      </w:r>
    </w:p>
    <w:p>
      <w:r>
        <w:pict>
          <v:rect style="width:0;height:1.5pt" o:hralign="center" o:hrstd="t" o:hr="t"/>
        </w:pict>
      </w:r>
    </w:p>
    <w:bookmarkEnd w:id="14"/>
    <w:bookmarkStart w:id="18" w:name="i.-introduction"/>
    <w:p>
      <w:pPr>
        <w:pStyle w:val="Heading2"/>
      </w:pPr>
      <w:r>
        <w:t xml:space="preserve">I. Introduction</w:t>
      </w:r>
    </w:p>
    <w:p>
      <w:pPr>
        <w:pStyle w:val="FirstParagraph"/>
      </w:pPr>
      <w:r>
        <w:t xml:space="preserve">Power system operators rely on short-term load forecasting (STLF) to maintain grid stability, schedule generator unit commitment, optimize economic dispatch, and coordinate power procurement [18, 19]. In mature economies, such as those of North America and Western Europe, power grids operate in highly stable environments characterized by decoupled Gross Domestic Product (GDP) and electricity consumption, resulting in flat or low annual demand growth rates of 1–2% [10]. Consequently, the STLF literature in these regions predominantly focuses on modeling complex, non-linear relationships using high-capacity architectures like deep neural networks [21] and time-series Transformers [24, 25] under the assumption of a stationary or weakly non-stationary distribution.</w:t>
      </w:r>
    </w:p>
    <w:p>
      <w:pPr>
        <w:pStyle w:val="BodyText"/>
      </w:pPr>
      <w:r>
        <w:t xml:space="preserve">In contrast, developing nations undergo rapid structural and economic transitions [10, 20]. Government energy access initiatives, rural electrification programs, and rapid urbanization drive compound annual demand growth rates of 6–14%. The West African national grid analyzed in this study provides a striking example: the mean hourly demand expanded by 94% in less than a decade, growing from 1,692 MW in 2018 to 3,275 MW in 2026 (Table I). Peak hourly demand reached 4,031 MW. In such environments, scale-related distribution shift (specifically, prior probability and label shift) is not a minor boundary condition but the dominant time-series characteristic.</w:t>
      </w:r>
    </w:p>
    <w:p>
      <w:pPr>
        <w:pStyle w:val="BodyText"/>
      </w:pPr>
      <w:r>
        <w:t xml:space="preserve">Beyond rapid demand expansion, developing-economy grids present distinct operational and environmental constraints that challenge standard forecasting workflows [2]:</w:t>
      </w:r>
      <w:r>
        <w:t xml:space="preserve"> </w:t>
      </w:r>
      <w:r>
        <w:t xml:space="preserve">1.</w:t>
      </w:r>
      <w:r>
        <w:t xml:space="preserve"> </w:t>
      </w:r>
      <w:r>
        <w:rPr>
          <w:b/>
          <w:bCs/>
        </w:rPr>
        <w:t xml:space="preserve">Computational and Engineering Constraints:</w:t>
      </w:r>
      <w:r>
        <w:t xml:space="preserve"> </w:t>
      </w:r>
      <w:r>
        <w:t xml:space="preserve">Transmission system operators (TSOs) in developing countries frequently lack high-performance computing clusters, cloud GPU credits, and specialized machine learning engineering teams. Load forecasting systems must run on standard commodity hardware (e.g., office workstations) with low memory footprints and fast training times.</w:t>
      </w:r>
      <w:r>
        <w:t xml:space="preserve"> </w:t>
      </w:r>
      <w:r>
        <w:t xml:space="preserve">2.</w:t>
      </w:r>
      <w:r>
        <w:t xml:space="preserve"> </w:t>
      </w:r>
      <w:r>
        <w:rPr>
          <w:b/>
          <w:bCs/>
        </w:rPr>
        <w:t xml:space="preserve">High Data Noise and Metering Losses:</w:t>
      </w:r>
      <w:r>
        <w:t xml:space="preserve"> </w:t>
      </w:r>
      <w:r>
        <w:t xml:space="preserve">Non-technical losses (such as electricity theft, bypass of meters, and administrative billing errors) are prevalent, often representing 15–25% of generated power [28]. These losses, combined with frequent telemetry dropouts, introduce massive, non-Gaussian noise into historical load databases.</w:t>
      </w:r>
      <w:r>
        <w:t xml:space="preserve"> </w:t>
      </w:r>
      <w:r>
        <w:t xml:space="preserve">3.</w:t>
      </w:r>
      <w:r>
        <w:t xml:space="preserve"> </w:t>
      </w:r>
      <w:r>
        <w:rPr>
          <w:b/>
          <w:bCs/>
        </w:rPr>
        <w:t xml:space="preserve">Rotational Load Shedding and Suppressed Demand:</w:t>
      </w:r>
      <w:r>
        <w:t xml:space="preserve"> </w:t>
      </w:r>
      <w:r>
        <w:t xml:space="preserve">Rotational load shedding is frequently implemented due to persistent generation deficits or transmission capacity bottlenecks. Consequently, the recorded grid demand represents</w:t>
      </w:r>
      <w:r>
        <w:t xml:space="preserve"> </w:t>
      </w:r>
      <w:r>
        <w:rPr>
          <w:i/>
          <w:iCs/>
        </w:rPr>
        <w:t xml:space="preserve">met load</w:t>
      </w:r>
      <w:r>
        <w:t xml:space="preserve"> </w:t>
      </w:r>
      <w:r>
        <w:t xml:space="preserve">rather than the true, unconstrained demand. Load shedding events introduce sharp, artificial drops in the historical load curve, training models to systematically under-forecast.</w:t>
      </w:r>
      <w:r>
        <w:t xml:space="preserve"> </w:t>
      </w:r>
      <w:r>
        <w:t xml:space="preserve">4.</w:t>
      </w:r>
      <w:r>
        <w:t xml:space="preserve"> </w:t>
      </w:r>
      <w:r>
        <w:rPr>
          <w:b/>
          <w:bCs/>
        </w:rPr>
        <w:t xml:space="preserve">Attenuated Meteorological Sensitivity:</w:t>
      </w:r>
      <w:r>
        <w:t xml:space="preserve"> </w:t>
      </w:r>
      <w:r>
        <w:t xml:space="preserve">In tropical regions near the equator, seasonal temperature variance is significantly smaller than in temperate zones. As a result, the correlation between temperature and grid load is weak (e.g.,</w:t>
      </w:r>
      <w:r>
        <w:t xml:space="preserve"> </w:t>
      </w:r>
      <m:oMath>
        <m:r>
          <m:t>r</m:t>
        </m:r>
        <m:r>
          <m:rPr>
            <m:sty m:val="p"/>
          </m:rPr>
          <m:t>=</m:t>
        </m:r>
        <m:r>
          <m:rPr>
            <m:sty m:val="p"/>
          </m:rPr>
          <m:t>−</m:t>
        </m:r>
        <m:r>
          <m:t>0.25</m:t>
        </m:r>
      </m:oMath>
      <w:r>
        <w:t xml:space="preserve"> </w:t>
      </w:r>
      <w:r>
        <w:t xml:space="preserve">in Tanzania [2] and our grid) compared to temperate regions (</w:t>
      </w:r>
      <m:oMath>
        <m:r>
          <m:t>r</m:t>
        </m:r>
        <m:r>
          <m:rPr>
            <m:sty m:val="p"/>
          </m:rPr>
          <m:t>≥</m:t>
        </m:r>
        <m:r>
          <m:t>0.7</m:t>
        </m:r>
      </m:oMath>
      <w:r>
        <w:t xml:space="preserve">). This reduces the predictive utility of temperature features and increases the importance of tracking internal demand trends.</w:t>
      </w:r>
    </w:p>
    <w:p>
      <w:pPr>
        <w:pStyle w:val="BodyText"/>
      </w:pPr>
      <w:r>
        <w:t xml:space="preserve">To adapt to rapid growth, grid utilities often rely on manual adjustment of statistical forecasts or periodic offline model retraining (e.g., every 6–12 months). However, infrequent retraining leads to severe performance degradation as the model parameters fall behind the growing scale of the grid, while daily retraining of high-capacity models introduces prohibitive computational complexity, operational risk, and the threat of gradient divergence.</w:t>
      </w:r>
    </w:p>
    <w:p>
      <w:pPr>
        <w:pStyle w:val="BodyText"/>
      </w:pPr>
      <w:r>
        <w:t xml:space="preserve">This paper addresses this fundamental challenge by asking:</w:t>
      </w:r>
      <w:r>
        <w:t xml:space="preserve"> </w:t>
      </w:r>
      <w:r>
        <w:rPr>
          <w:b/>
          <w:bCs/>
        </w:rPr>
        <w:t xml:space="preserve">Can we design an STLF framework that adapts to rapid growth and load-shedding artifacts in real time without increasing operational or computational complexity?</w:t>
      </w:r>
    </w:p>
    <w:p>
      <w:pPr>
        <w:pStyle w:val="BodyText"/>
      </w:pPr>
      <w:r>
        <w:t xml:space="preserve">To answer this, we establish a robust forecasting baseline using a Decomposition-Linear (DLinear) architecture [1] and evaluate it via a 6-fold expanding-window cross-validation framework spanning 2018–2026. We demonstrate that while the model captures daily and weekly calendar profiles, demand growth causes severe systematic under-forecasting bias. We analyze the forecast residuals and find a highly persistent, low-frequency</w:t>
      </w:r>
      <w:r>
        <w:t xml:space="preserve"> </w:t>
      </w:r>
      <w:r>
        <w:t xml:space="preserve">“bias hum.”</w:t>
      </w:r>
    </w:p>
    <w:p>
      <w:pPr>
        <w:pStyle w:val="BodyText"/>
      </w:pPr>
      <w:r>
        <w:t xml:space="preserve">We resolve this by proposing</w:t>
      </w:r>
      <w:r>
        <w:t xml:space="preserve"> </w:t>
      </w:r>
      <w:r>
        <w:rPr>
          <w:b/>
          <w:bCs/>
        </w:rPr>
        <w:t xml:space="preserve">Temporal Integration of Drift Errors (TIDE)</w:t>
      </w:r>
      <w:r>
        <w:t xml:space="preserve">, a zero-parameter online bias correction mechanism operating in normalized</w:t>
      </w:r>
      <w:r>
        <w:t xml:space="preserve"> </w:t>
      </w:r>
      <m:oMath>
        <m:r>
          <m:t>z</m:t>
        </m:r>
      </m:oMath>
      <w:r>
        <w:t xml:space="preserve">-score space. TIDE tracks recent forecast errors and updates an exponentially weighted moving average (EMA) of the bias, subtracting this estimate from future forecasts before denormalizing.</w:t>
      </w:r>
    </w:p>
    <w:p>
      <w:pPr>
        <w:pStyle w:val="CaptionedFigure"/>
      </w:pPr>
      <w:r>
        <w:drawing>
          <wp:inline>
            <wp:extent cx="5943600" cy="2971800"/>
            <wp:effectExtent b="0" l="0" r="0" t="0"/>
            <wp:docPr descr="Figure 2: System Architecture" title="" id="16" name="Picture"/>
            <a:graphic>
              <a:graphicData uri="http://schemas.openxmlformats.org/drawingml/2006/picture">
                <pic:pic>
                  <pic:nvPicPr>
                    <pic:cNvPr descr="figures/Methodology_1.png" id="17" name="Picture"/>
                    <pic:cNvPicPr>
                      <a:picLocks noChangeArrowheads="1" noChangeAspect="1"/>
                    </pic:cNvPicPr>
                  </pic:nvPicPr>
                  <pic:blipFill>
                    <a:blip r:embed="rId15"/>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2: System Architecture</w:t>
      </w:r>
    </w:p>
    <w:p>
      <w:pPr>
        <w:pStyle w:val="BodyText"/>
      </w:pPr>
      <w:r>
        <w:t xml:space="preserve">The primary contributions of this paper are:</w:t>
      </w:r>
      <w:r>
        <w:t xml:space="preserve"> </w:t>
      </w:r>
      <w:r>
        <w:t xml:space="preserve">1. We analyze deep and classical forecasting models under extreme grid growth (94% growth over 8 years), establishing that adaptive, rolling normalization is the most critical architectural decision.</w:t>
      </w:r>
      <w:r>
        <w:t xml:space="preserve"> </w:t>
      </w:r>
      <w:r>
        <w:t xml:space="preserve">2. We analyze the residual structure of load forecasts on growing grids, demonstrating that distribution shift manifests as a low-frequency, persistent bias rather than random noise.</w:t>
      </w:r>
      <w:r>
        <w:t xml:space="preserve"> </w:t>
      </w:r>
      <w:r>
        <w:t xml:space="preserve">3. We present the TIDE mechanism, demonstrating a 19.2% mean MAE reduction on DLinear, a uniform 23–26% improvement across eleven diverse model classes, and superior performance relative to traditional correctors (Kalman filters, SMAs, linear trends).</w:t>
      </w:r>
      <w:r>
        <w:t xml:space="preserve"> </w:t>
      </w:r>
      <w:r>
        <w:t xml:space="preserve">4. We evaluate complementary training-time enhancements (Sobolev trajectory loss, warm-starting) and training data requirements, providing a practical blueprint for utility deployment.</w:t>
      </w:r>
    </w:p>
    <w:p>
      <w:r>
        <w:pict>
          <v:rect style="width:0;height:1.5pt" o:hralign="center" o:hrstd="t" o:hr="t"/>
        </w:pict>
      </w:r>
    </w:p>
    <w:bookmarkEnd w:id="18"/>
    <w:bookmarkStart w:id="23" w:name="ii.-related-works"/>
    <w:p>
      <w:pPr>
        <w:pStyle w:val="Heading2"/>
      </w:pPr>
      <w:r>
        <w:t xml:space="preserve">II. Related Works</w:t>
      </w:r>
    </w:p>
    <w:bookmarkStart w:id="19" w:name="a.-short-term-load-forecasting-paradigms"/>
    <w:p>
      <w:pPr>
        <w:pStyle w:val="Heading3"/>
      </w:pPr>
      <w:r>
        <w:t xml:space="preserve">A. Short-Term Load Forecasting Paradigms</w:t>
      </w:r>
    </w:p>
    <w:p>
      <w:pPr>
        <w:pStyle w:val="FirstParagraph"/>
      </w:pPr>
      <w:r>
        <w:t xml:space="preserve">STLF models predict hourly grid demand for horizons ranging from 1 to 168 hours ahead [18]. Classical approaches include double seasonal exponential smoothing [27], Box-Jenkins ARIMA models [16], and local linear regression [29]. These were largely succeeded by machine learning models, such as Support Vector Regression (SVR), Random Forests, and Gradient Boosting Decision Trees (GBDTs, e.g., LightGBM) [20]. In recent years, deep learning architectures including LSTMs, GRUs [22], and Temporal Convolutional Networks (TCNs) have been deployed.</w:t>
      </w:r>
    </w:p>
    <w:p>
      <w:pPr>
        <w:pStyle w:val="BodyText"/>
      </w:pPr>
      <w:r>
        <w:t xml:space="preserve">With the success of self-attention in natural language processing, time-series Transformers (e.g., Informer [24], Autoformer [25], PatchTST) were introduced to capture long-range dependencies. However, Zeng et al. [1] challenged this trend by showing that a simple linear model projecting decomposed trend and seasonal components (DLinear/NLinear) can outperform complex attention-based networks on standard benchmarks while using orders of magnitude fewer parameters. We adopt DLinear as our baseline forecasting architecture due to its high parameter efficiency (~40K parameters) and low computational requirements, making it ideal for utility environments with limited hardware budgets.</w:t>
      </w:r>
    </w:p>
    <w:bookmarkEnd w:id="19"/>
    <w:bookmarkStart w:id="20" w:name="Xd8655570118c64ae67d880b8fe6bb65d9b28e1d"/>
    <w:p>
      <w:pPr>
        <w:pStyle w:val="Heading3"/>
      </w:pPr>
      <w:r>
        <w:t xml:space="preserve">B. Concept Drift and Distribution Shift in Time Series</w:t>
      </w:r>
    </w:p>
    <w:p>
      <w:pPr>
        <w:pStyle w:val="FirstParagraph"/>
      </w:pPr>
      <w:r>
        <w:t xml:space="preserve">Temporal distribution shift occurs when the joint distribution of features and targets changes over time (</w:t>
      </w:r>
      <m:oMath>
        <m:sSub>
          <m:e>
            <m:r>
              <m:t>P</m:t>
            </m:r>
          </m:e>
          <m:sub>
            <m:r>
              <m:t>t</m:t>
            </m:r>
          </m:sub>
        </m:sSub>
        <m:r>
          <m:rPr>
            <m:sty m:val="p"/>
          </m:rPr>
          <m:t>(</m:t>
        </m:r>
        <m:r>
          <m:rPr>
            <m:sty m:val="bi"/>
          </m:rPr>
          <m:t>X</m:t>
        </m:r>
        <m:r>
          <m:rPr>
            <m:sty m:val="p"/>
          </m:rPr>
          <m:t>,</m:t>
        </m:r>
        <m:r>
          <m:rPr>
            <m:sty m:val="bi"/>
          </m:rPr>
          <m:t>y</m:t>
        </m:r>
        <m:r>
          <m:rPr>
            <m:sty m:val="p"/>
          </m:rPr>
          <m:t>)</m:t>
        </m:r>
        <m:r>
          <m:rPr>
            <m:sty m:val="p"/>
          </m:rPr>
          <m:t>≠</m:t>
        </m:r>
        <m:sSub>
          <m:e>
            <m:r>
              <m:t>P</m:t>
            </m:r>
          </m:e>
          <m:sub>
            <m:r>
              <m:t>t</m:t>
            </m:r>
            <m:r>
              <m:rPr>
                <m:sty m:val="p"/>
              </m:rPr>
              <m:t>−</m:t>
            </m:r>
            <m:r>
              <m:t>1</m:t>
            </m:r>
          </m:sub>
        </m:sSub>
        <m:r>
          <m:rPr>
            <m:sty m:val="p"/>
          </m:rPr>
          <m:t>(</m:t>
        </m:r>
        <m:r>
          <m:rPr>
            <m:sty m:val="bi"/>
          </m:rPr>
          <m:t>X</m:t>
        </m:r>
        <m:r>
          <m:rPr>
            <m:sty m:val="p"/>
          </m:rPr>
          <m:t>,</m:t>
        </m:r>
        <m:r>
          <m:rPr>
            <m:sty m:val="bi"/>
          </m:rPr>
          <m:t>y</m:t>
        </m:r>
        <m:r>
          <m:rPr>
            <m:sty m:val="p"/>
          </m:rPr>
          <m:t>)</m:t>
        </m:r>
      </m:oMath>
      <w:r>
        <w:t xml:space="preserve">) [4, 5]. On rapidly growing grids, this primarily manifests as label (prior probability) shift, where the scale of the target variable</w:t>
      </w:r>
      <w:r>
        <w:t xml:space="preserve"> </w:t>
      </w:r>
      <m:oMath>
        <m:r>
          <m:t>y</m:t>
        </m:r>
      </m:oMath>
      <w:r>
        <w:t xml:space="preserve"> </w:t>
      </w:r>
      <w:r>
        <w:t xml:space="preserve">expands monotonically while the underlying diurnal shapes are preserved [13].</w:t>
      </w:r>
    </w:p>
    <w:p>
      <w:pPr>
        <w:pStyle w:val="BodyText"/>
      </w:pPr>
      <w:r>
        <w:t xml:space="preserve">Mitigation strategies for concept drift include sliding-window retraining and online weight adaptation [4]. Online weight adaptation using online gradient descent (OGD) updates model parameters after each step. However, on electricity grids, OGD is highly susceptible to noise, telemetry dropouts, and load-shedding artifacts, which can lead to parameter divergence. Regularized continual learning methods, such as Elastic Weight Consolidation (EWC) [13], penalize deviations from historical parameters to prevent catastrophic forgetting. While effective in stable environments, EWC constrains the model too tightly to track rapid growth trends. TIDE bypasses weight-space updates entirely by correcting forecasts at the output level, which is computationally trivial (</w:t>
      </w:r>
      <m:oMath>
        <m:r>
          <m:t>O</m:t>
        </m:r>
        <m:r>
          <m:rPr>
            <m:sty m:val="p"/>
          </m:rPr>
          <m:t>(</m:t>
        </m:r>
        <m:r>
          <m:t>1</m:t>
        </m:r>
        <m:r>
          <m:rPr>
            <m:sty m:val="p"/>
          </m:rPr>
          <m:t>)</m:t>
        </m:r>
      </m:oMath>
      <w:r>
        <w:t xml:space="preserve"> </w:t>
      </w:r>
      <w:r>
        <w:t xml:space="preserve">updates) and structurally robust.</w:t>
      </w:r>
    </w:p>
    <w:bookmarkEnd w:id="20"/>
    <w:bookmarkStart w:id="21" w:name="Xd50d0d1ddf820f1aff43e728d6983b7c964092c"/>
    <w:p>
      <w:pPr>
        <w:pStyle w:val="Heading3"/>
      </w:pPr>
      <w:r>
        <w:t xml:space="preserve">C. Online Error Correction and Data Assimilation</w:t>
      </w:r>
    </w:p>
    <w:p>
      <w:pPr>
        <w:pStyle w:val="FirstParagraph"/>
      </w:pPr>
      <w:r>
        <w:t xml:space="preserve">Online forecast correction adjusts predictions at inference time using recent errors. In meteorology and geosciences, this is framed as data assimilation, utilizing techniques like 3D/4D Variational assimilation (4D-Var) [8] and Kalman Filtering [3]. However, the Kalman filter is highly sensitive to the tuning of the process noise covariance</w:t>
      </w:r>
      <w:r>
        <w:t xml:space="preserve"> </w:t>
      </w:r>
      <m:oMath>
        <m:r>
          <m:t>Q</m:t>
        </m:r>
      </m:oMath>
      <w:r>
        <w:t xml:space="preserve"> </w:t>
      </w:r>
      <w:r>
        <w:t xml:space="preserve">and measurement noise covariance</w:t>
      </w:r>
      <w:r>
        <w:t xml:space="preserve"> </w:t>
      </w:r>
      <m:oMath>
        <m:r>
          <m:t>R</m:t>
        </m:r>
      </m:oMath>
      <w:r>
        <w:t xml:space="preserve">. The optimal</w:t>
      </w:r>
      <w:r>
        <w:t xml:space="preserve"> </w:t>
      </w:r>
      <m:oMath>
        <m:r>
          <m:t>Q</m:t>
        </m:r>
        <m:r>
          <m:rPr>
            <m:sty m:val="p"/>
          </m:rPr>
          <m:t>/</m:t>
        </m:r>
        <m:r>
          <m:t>R</m:t>
        </m:r>
      </m:oMath>
      <w:r>
        <w:t xml:space="preserve"> </w:t>
      </w:r>
      <w:r>
        <w:t xml:space="preserve">ratio changes as the grid’s growth rate accelerates, necessitating continuous supervision.</w:t>
      </w:r>
    </w:p>
    <w:p>
      <w:pPr>
        <w:pStyle w:val="BodyText"/>
      </w:pPr>
      <w:r>
        <w:t xml:space="preserve">Other recent correctors include the Auxiliary Bias Corrector (ABC) [7], which trains a secondary gradient boosting model on historical residuals. This requires complex feature engineering and offline training. Conformal PID control [6] applies feedback control principles to conformal prediction, but focuses on interval coverage rather than point forecasts and requires tuning multiple gains. Xie et al. [9] proposed a two-stage corrector using linear regression, which requires coefficient estimation. TIDE contrasts with these approaches by providing a zero-parameter, self-scaling, and computationally trivial low-pass filter operating on normalized residuals, making it suitable for direct integration into production systems.</w:t>
      </w:r>
    </w:p>
    <w:bookmarkEnd w:id="21"/>
    <w:bookmarkStart w:id="22" w:name="Xc372461680cded38309b32d269de0738dc252b8"/>
    <w:p>
      <w:pPr>
        <w:pStyle w:val="Heading3"/>
      </w:pPr>
      <w:r>
        <w:t xml:space="preserve">D. Electricity Demand Modeling in Developing Economies</w:t>
      </w:r>
    </w:p>
    <w:p>
      <w:pPr>
        <w:pStyle w:val="FirstParagraph"/>
      </w:pPr>
      <w:r>
        <w:t xml:space="preserve">The energy forecasting literature is heavily biased toward mature grids with flat demand (e.g., PJM, ERCOT, RTE) [20]. STLF in developing economies is rarely documented. Mvungi et al. [2] evaluated load forecasting on Tanzania’s grid, noting the severe impact of load shedding and weak temperature sensitivity. A technical report by WAPDA [12] highlighted similar challenges on the Pakistani grid. No prior work has addressed online bias correction for these grids under conditions of extreme demand growth.</w:t>
      </w:r>
    </w:p>
    <w:p>
      <w:r>
        <w:pict>
          <v:rect style="width:0;height:1.5pt" o:hralign="center" o:hrstd="t" o:hr="t"/>
        </w:pict>
      </w:r>
    </w:p>
    <w:bookmarkEnd w:id="22"/>
    <w:bookmarkEnd w:id="23"/>
    <w:bookmarkStart w:id="40" w:name="X93fa5f71f89507920ea3042e91369dfd4495279"/>
    <w:p>
      <w:pPr>
        <w:pStyle w:val="Heading2"/>
      </w:pPr>
      <w:r>
        <w:t xml:space="preserve">III. Baseline: DLinear under Extreme Growth</w:t>
      </w:r>
    </w:p>
    <w:bookmarkStart w:id="24" w:name="a.-dataset-and-dlinear-formulation"/>
    <w:p>
      <w:pPr>
        <w:pStyle w:val="Heading3"/>
      </w:pPr>
      <w:r>
        <w:t xml:space="preserve">A. Dataset and DLinear Formulation</w:t>
      </w:r>
    </w:p>
    <w:p>
      <w:pPr>
        <w:pStyle w:val="FirstParagraph"/>
      </w:pPr>
      <w:r>
        <w:t xml:space="preserve">Our dataset consists of hourly load measurements (MW) and meteorological data from a West African national grid spanning January 1, 2018 to June 10, 2026 (</w:t>
      </w:r>
      <m:oMath>
        <m:r>
          <m:t>74</m:t>
        </m:r>
        <m:r>
          <m:rPr>
            <m:sty m:val="p"/>
          </m:rPr>
          <m:t>,</m:t>
        </m:r>
        <m:r>
          <m:t>472</m:t>
        </m:r>
      </m:oMath>
      <w:r>
        <w:t xml:space="preserve"> </w:t>
      </w:r>
      <w:r>
        <w:t xml:space="preserve">hourly observations). Demand growth statistics are detailed in Table I.</w:t>
      </w:r>
    </w:p>
    <w:bookmarkEnd w:id="24"/>
    <w:bookmarkStart w:id="25" w:name="X627154b605180127477def3cc40e90f785084ab"/>
    <w:p>
      <w:pPr>
        <w:pStyle w:val="Heading3"/>
      </w:pPr>
      <w:r>
        <w:t xml:space="preserve">Table I: Grid Demand Growth Statistics (2018–2026)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Year</w:t>
            </w:r>
          </w:p>
        </w:tc>
        <w:tc>
          <w:tcPr/>
          <w:p>
            <w:pPr>
              <w:pStyle w:val="Compact"/>
              <w:jc w:val="center"/>
            </w:pPr>
            <w:r>
              <w:t xml:space="preserve">Mean Demand (MW)</w:t>
            </w:r>
          </w:p>
        </w:tc>
        <w:tc>
          <w:tcPr/>
          <w:p>
            <w:pPr>
              <w:pStyle w:val="Compact"/>
              <w:jc w:val="center"/>
            </w:pPr>
            <w:r>
              <w:t xml:space="preserve">Peak Demand (MW)</w:t>
            </w:r>
          </w:p>
        </w:tc>
        <w:tc>
          <w:tcPr/>
          <w:p>
            <w:pPr>
              <w:pStyle w:val="Compact"/>
              <w:jc w:val="center"/>
            </w:pPr>
            <w:r>
              <w:t xml:space="preserve">Annual Growth (%)</w:t>
            </w:r>
          </w:p>
        </w:tc>
      </w:tr>
      <w:tr>
        <w:tc>
          <w:tcPr/>
          <w:p>
            <w:pPr>
              <w:pStyle w:val="Compact"/>
              <w:jc w:val="center"/>
            </w:pPr>
            <w:r>
              <w:t xml:space="preserve">2018</w:t>
            </w:r>
          </w:p>
        </w:tc>
        <w:tc>
          <w:tcPr/>
          <w:p>
            <w:pPr>
              <w:pStyle w:val="Compact"/>
              <w:jc w:val="center"/>
            </w:pPr>
            <w:r>
              <w:t xml:space="preserve">1,692</w:t>
            </w:r>
          </w:p>
        </w:tc>
        <w:tc>
          <w:tcPr/>
          <w:p>
            <w:pPr>
              <w:pStyle w:val="Compact"/>
              <w:jc w:val="center"/>
            </w:pPr>
            <w:r>
              <w:t xml:space="preserve">2,250</w:t>
            </w:r>
          </w:p>
        </w:tc>
        <w:tc>
          <w:tcPr/>
          <w:p>
            <w:pPr>
              <w:pStyle w:val="Compact"/>
              <w:jc w:val="center"/>
            </w:pPr>
            <w:r>
              <w:t xml:space="preserve">—</w:t>
            </w:r>
          </w:p>
        </w:tc>
      </w:tr>
      <w:tr>
        <w:tc>
          <w:tcPr/>
          <w:p>
            <w:pPr>
              <w:pStyle w:val="Compact"/>
              <w:jc w:val="center"/>
            </w:pPr>
            <w:r>
              <w:t xml:space="preserve">2019</w:t>
            </w:r>
          </w:p>
        </w:tc>
        <w:tc>
          <w:tcPr/>
          <w:p>
            <w:pPr>
              <w:pStyle w:val="Compact"/>
              <w:jc w:val="center"/>
            </w:pPr>
            <w:r>
              <w:t xml:space="preserve">1,797</w:t>
            </w:r>
          </w:p>
        </w:tc>
        <w:tc>
          <w:tcPr/>
          <w:p>
            <w:pPr>
              <w:pStyle w:val="Compact"/>
              <w:jc w:val="center"/>
            </w:pPr>
            <w:r>
              <w:t xml:space="preserve">2,410</w:t>
            </w:r>
          </w:p>
        </w:tc>
        <w:tc>
          <w:tcPr/>
          <w:p>
            <w:pPr>
              <w:pStyle w:val="Compact"/>
              <w:jc w:val="center"/>
            </w:pPr>
            <w:r>
              <w:t xml:space="preserve">+6.2%</w:t>
            </w:r>
          </w:p>
        </w:tc>
      </w:tr>
      <w:tr>
        <w:tc>
          <w:tcPr/>
          <w:p>
            <w:pPr>
              <w:pStyle w:val="Compact"/>
              <w:jc w:val="center"/>
            </w:pPr>
            <w:r>
              <w:t xml:space="preserve">2020</w:t>
            </w:r>
          </w:p>
        </w:tc>
        <w:tc>
          <w:tcPr/>
          <w:p>
            <w:pPr>
              <w:pStyle w:val="Compact"/>
              <w:jc w:val="center"/>
            </w:pPr>
            <w:r>
              <w:t xml:space="preserve">1,874</w:t>
            </w:r>
          </w:p>
        </w:tc>
        <w:tc>
          <w:tcPr/>
          <w:p>
            <w:pPr>
              <w:pStyle w:val="Compact"/>
              <w:jc w:val="center"/>
            </w:pPr>
            <w:r>
              <w:t xml:space="preserve">2,485</w:t>
            </w:r>
          </w:p>
        </w:tc>
        <w:tc>
          <w:tcPr/>
          <w:p>
            <w:pPr>
              <w:pStyle w:val="Compact"/>
              <w:jc w:val="center"/>
            </w:pPr>
            <w:r>
              <w:t xml:space="preserve">+4.3% (COVID-19)</w:t>
            </w:r>
          </w:p>
        </w:tc>
      </w:tr>
      <w:tr>
        <w:tc>
          <w:tcPr/>
          <w:p>
            <w:pPr>
              <w:pStyle w:val="Compact"/>
              <w:jc w:val="center"/>
            </w:pPr>
            <w:r>
              <w:t xml:space="preserve">2021</w:t>
            </w:r>
          </w:p>
        </w:tc>
        <w:tc>
          <w:tcPr/>
          <w:p>
            <w:pPr>
              <w:pStyle w:val="Compact"/>
              <w:jc w:val="center"/>
            </w:pPr>
            <w:r>
              <w:t xml:space="preserve">2,011</w:t>
            </w:r>
          </w:p>
        </w:tc>
        <w:tc>
          <w:tcPr/>
          <w:p>
            <w:pPr>
              <w:pStyle w:val="Compact"/>
              <w:jc w:val="center"/>
            </w:pPr>
            <w:r>
              <w:t xml:space="preserve">2,692</w:t>
            </w:r>
          </w:p>
        </w:tc>
        <w:tc>
          <w:tcPr/>
          <w:p>
            <w:pPr>
              <w:pStyle w:val="Compact"/>
              <w:jc w:val="center"/>
            </w:pPr>
            <w:r>
              <w:t xml:space="preserve">+7.3%</w:t>
            </w:r>
          </w:p>
        </w:tc>
      </w:tr>
      <w:tr>
        <w:tc>
          <w:tcPr/>
          <w:p>
            <w:pPr>
              <w:pStyle w:val="Compact"/>
              <w:jc w:val="center"/>
            </w:pPr>
            <w:r>
              <w:t xml:space="preserve">2022</w:t>
            </w:r>
          </w:p>
        </w:tc>
        <w:tc>
          <w:tcPr/>
          <w:p>
            <w:pPr>
              <w:pStyle w:val="Compact"/>
              <w:jc w:val="center"/>
            </w:pPr>
            <w:r>
              <w:t xml:space="preserve">2,145</w:t>
            </w:r>
          </w:p>
        </w:tc>
        <w:tc>
          <w:tcPr/>
          <w:p>
            <w:pPr>
              <w:pStyle w:val="Compact"/>
              <w:jc w:val="center"/>
            </w:pPr>
            <w:r>
              <w:t xml:space="preserve">2,891</w:t>
            </w:r>
          </w:p>
        </w:tc>
        <w:tc>
          <w:tcPr/>
          <w:p>
            <w:pPr>
              <w:pStyle w:val="Compact"/>
              <w:jc w:val="center"/>
            </w:pPr>
            <w:r>
              <w:t xml:space="preserve">+6.7%</w:t>
            </w:r>
          </w:p>
        </w:tc>
      </w:tr>
      <w:tr>
        <w:tc>
          <w:tcPr/>
          <w:p>
            <w:pPr>
              <w:pStyle w:val="Compact"/>
              <w:jc w:val="center"/>
            </w:pPr>
            <w:r>
              <w:t xml:space="preserve">2023</w:t>
            </w:r>
          </w:p>
        </w:tc>
        <w:tc>
          <w:tcPr/>
          <w:p>
            <w:pPr>
              <w:pStyle w:val="Compact"/>
              <w:jc w:val="center"/>
            </w:pPr>
            <w:r>
              <w:t xml:space="preserve">2,316</w:t>
            </w:r>
          </w:p>
        </w:tc>
        <w:tc>
          <w:tcPr/>
          <w:p>
            <w:pPr>
              <w:pStyle w:val="Compact"/>
              <w:jc w:val="center"/>
            </w:pPr>
            <w:r>
              <w:t xml:space="preserve">3,120</w:t>
            </w:r>
          </w:p>
        </w:tc>
        <w:tc>
          <w:tcPr/>
          <w:p>
            <w:pPr>
              <w:pStyle w:val="Compact"/>
              <w:jc w:val="center"/>
            </w:pPr>
            <w:r>
              <w:t xml:space="preserve">+8.0%</w:t>
            </w:r>
          </w:p>
        </w:tc>
      </w:tr>
      <w:tr>
        <w:tc>
          <w:tcPr/>
          <w:p>
            <w:pPr>
              <w:pStyle w:val="Compact"/>
              <w:jc w:val="center"/>
            </w:pPr>
            <w:r>
              <w:t xml:space="preserve">2024</w:t>
            </w:r>
          </w:p>
        </w:tc>
        <w:tc>
          <w:tcPr/>
          <w:p>
            <w:pPr>
              <w:pStyle w:val="Compact"/>
              <w:jc w:val="center"/>
            </w:pPr>
            <w:r>
              <w:t xml:space="preserve">2,537</w:t>
            </w:r>
          </w:p>
        </w:tc>
        <w:tc>
          <w:tcPr/>
          <w:p>
            <w:pPr>
              <w:pStyle w:val="Compact"/>
              <w:jc w:val="center"/>
            </w:pPr>
            <w:r>
              <w:t xml:space="preserve">3,425</w:t>
            </w:r>
          </w:p>
        </w:tc>
        <w:tc>
          <w:tcPr/>
          <w:p>
            <w:pPr>
              <w:pStyle w:val="Compact"/>
              <w:jc w:val="center"/>
            </w:pPr>
            <w:r>
              <w:t xml:space="preserve">+9.5%</w:t>
            </w:r>
          </w:p>
        </w:tc>
      </w:tr>
      <w:tr>
        <w:tc>
          <w:tcPr/>
          <w:p>
            <w:pPr>
              <w:pStyle w:val="Compact"/>
              <w:jc w:val="center"/>
            </w:pPr>
            <w:r>
              <w:t xml:space="preserve">2025</w:t>
            </w:r>
          </w:p>
        </w:tc>
        <w:tc>
          <w:tcPr/>
          <w:p>
            <w:pPr>
              <w:pStyle w:val="Compact"/>
              <w:jc w:val="center"/>
            </w:pPr>
            <w:r>
              <w:t xml:space="preserve">2,882</w:t>
            </w:r>
          </w:p>
        </w:tc>
        <w:tc>
          <w:tcPr/>
          <w:p>
            <w:pPr>
              <w:pStyle w:val="Compact"/>
              <w:jc w:val="center"/>
            </w:pPr>
            <w:r>
              <w:t xml:space="preserve">3,790</w:t>
            </w:r>
          </w:p>
        </w:tc>
        <w:tc>
          <w:tcPr/>
          <w:p>
            <w:pPr>
              <w:pStyle w:val="Compact"/>
              <w:jc w:val="center"/>
            </w:pPr>
            <w:r>
              <w:t xml:space="preserve">+13.6%</w:t>
            </w:r>
          </w:p>
        </w:tc>
      </w:tr>
      <w:tr>
        <w:tc>
          <w:tcPr/>
          <w:p>
            <w:pPr>
              <w:pStyle w:val="Compact"/>
              <w:jc w:val="center"/>
            </w:pPr>
            <w:r>
              <w:t xml:space="preserve">2026</w:t>
            </w:r>
          </w:p>
        </w:tc>
        <w:tc>
          <w:tcPr/>
          <w:p>
            <w:pPr>
              <w:pStyle w:val="Compact"/>
              <w:jc w:val="center"/>
            </w:pPr>
            <w:r>
              <w:t xml:space="preserve">3,275</w:t>
            </w:r>
          </w:p>
        </w:tc>
        <w:tc>
          <w:tcPr/>
          <w:p>
            <w:pPr>
              <w:pStyle w:val="Compact"/>
              <w:jc w:val="center"/>
            </w:pPr>
            <w:r>
              <w:t xml:space="preserve">4,031</w:t>
            </w:r>
          </w:p>
        </w:tc>
        <w:tc>
          <w:tcPr/>
          <w:p>
            <w:pPr>
              <w:pStyle w:val="Compact"/>
              <w:jc w:val="center"/>
            </w:pPr>
            <w:r>
              <w:t xml:space="preserve">+13.6% (H1 annualized)</w:t>
            </w:r>
          </w:p>
        </w:tc>
      </w:tr>
    </w:tbl>
    <w:p>
      <w:pPr>
        <w:pStyle w:val="BodyText"/>
      </w:pPr>
      <w:r>
        <w:t xml:space="preserve">The DLinear model [1] splits the input sequence</w:t>
      </w:r>
      <w:r>
        <w:t xml:space="preserve"> </w:t>
      </w:r>
      <m:oMath>
        <m:r>
          <m:rPr>
            <m:sty m:val="bi"/>
          </m:rPr>
          <m:t>X</m:t>
        </m:r>
        <m:r>
          <m:rPr>
            <m:sty m:val="p"/>
          </m:rPr>
          <m:t>∈</m:t>
        </m:r>
        <m:sSup>
          <m:e>
            <m:r>
              <m:rPr>
                <m:scr m:val="double-struck"/>
                <m:sty m:val="p"/>
              </m:rPr>
              <m:t>R</m:t>
            </m:r>
          </m:e>
          <m:sup>
            <m:r>
              <m:t>H</m:t>
            </m:r>
            <m:r>
              <m:rPr>
                <m:sty m:val="p"/>
              </m:rPr>
              <m:t>×</m:t>
            </m:r>
            <m:r>
              <m:t>D</m:t>
            </m:r>
          </m:sup>
        </m:sSup>
      </m:oMath>
      <w:r>
        <w:t xml:space="preserve"> </w:t>
      </w:r>
      <w:r>
        <w:t xml:space="preserve">into trend and seasonal components via a moving average:</w:t>
      </w:r>
    </w:p>
    <w:p>
      <w:pPr>
        <w:pStyle w:val="BodyText"/>
      </w:pPr>
      <m:oMathPara>
        <m:oMathParaPr>
          <m:jc m:val="center"/>
        </m:oMathParaPr>
        <m:oMath>
          <m:sSub>
            <m:e>
              <m:r>
                <m:rPr>
                  <m:sty m:val="bi"/>
                </m:rPr>
                <m:t>X</m:t>
              </m:r>
            </m:e>
            <m:sub>
              <m:r>
                <m:rPr>
                  <m:nor/>
                  <m:sty m:val="p"/>
                </m:rPr>
                <m:t>trend</m:t>
              </m:r>
            </m:sub>
          </m:sSub>
          <m:r>
            <m:rPr>
              <m:sty m:val="p"/>
            </m:rPr>
            <m:t>=</m:t>
          </m:r>
          <m:r>
            <m:rPr>
              <m:nor/>
              <m:sty m:val="p"/>
            </m:rPr>
            <m:t>AvgPool</m:t>
          </m:r>
          <m:r>
            <m:rPr>
              <m:sty m:val="p"/>
            </m:rPr>
            <m:t>(</m:t>
          </m:r>
          <m:r>
            <m:rPr>
              <m:nor/>
              <m:sty m:val="p"/>
            </m:rPr>
            <m:t>Padding</m:t>
          </m:r>
          <m:r>
            <m:rPr>
              <m:sty m:val="p"/>
            </m:rPr>
            <m:t>(</m:t>
          </m:r>
          <m:r>
            <m:rPr>
              <m:sty m:val="bi"/>
            </m:rPr>
            <m:t>X</m:t>
          </m:r>
          <m:r>
            <m:rPr>
              <m:sty m:val="p"/>
            </m:rPr>
            <m:t>)</m:t>
          </m:r>
          <m:r>
            <m:rPr>
              <m:sty m:val="p"/>
            </m:rPr>
            <m:t>)</m:t>
          </m:r>
          <m:r>
            <m:rPr>
              <m:sty m:val="p"/>
            </m:rPr>
            <m:t>,</m:t>
          </m:r>
          <m:r>
            <m:t> </m:t>
          </m:r>
          <m:sSub>
            <m:e>
              <m:r>
                <m:rPr>
                  <m:sty m:val="bi"/>
                </m:rPr>
                <m:t>X</m:t>
              </m:r>
            </m:e>
            <m:sub>
              <m:r>
                <m:rPr>
                  <m:nor/>
                  <m:sty m:val="p"/>
                </m:rPr>
                <m:t>seasonal</m:t>
              </m:r>
            </m:sub>
          </m:sSub>
          <m:r>
            <m:rPr>
              <m:sty m:val="p"/>
            </m:rPr>
            <m:t>=</m:t>
          </m:r>
          <m:r>
            <m:rPr>
              <m:sty m:val="bi"/>
            </m:rPr>
            <m:t>X</m:t>
          </m:r>
          <m:r>
            <m:rPr>
              <m:sty m:val="p"/>
            </m:rPr>
            <m:t>−</m:t>
          </m:r>
          <m:sSub>
            <m:e>
              <m:r>
                <m:rPr>
                  <m:sty m:val="bi"/>
                </m:rPr>
                <m:t>X</m:t>
              </m:r>
            </m:e>
            <m:sub>
              <m:r>
                <m:rPr>
                  <m:nor/>
                  <m:sty m:val="p"/>
                </m:rPr>
                <m:t>trend</m:t>
              </m:r>
            </m:sub>
          </m:sSub>
        </m:oMath>
      </m:oMathPara>
    </w:p>
    <w:p>
      <w:pPr>
        <w:pStyle w:val="FirstParagraph"/>
      </w:pPr>
      <w:r>
        <w:t xml:space="preserve">Two separate linear layers project these components to the forecast horizon</w:t>
      </w:r>
      <w:r>
        <w:t xml:space="preserve"> </w:t>
      </w:r>
      <m:oMath>
        <m:r>
          <m:t>F</m:t>
        </m:r>
      </m:oMath>
      <w:r>
        <w:t xml:space="preserve">:</w:t>
      </w:r>
    </w:p>
    <w:p>
      <w:pPr>
        <w:pStyle w:val="BodyText"/>
      </w:pPr>
      <m:oMathPara>
        <m:oMathParaPr>
          <m:jc m:val="center"/>
        </m:oMathParaPr>
        <m:oMath>
          <m:acc>
            <m:accPr>
              <m:chr m:val="̂"/>
            </m:accPr>
            <m:e>
              <m:r>
                <m:rPr>
                  <m:sty m:val="bi"/>
                </m:rPr>
                <m:t>y</m:t>
              </m:r>
            </m:e>
          </m:acc>
          <m:r>
            <m:rPr>
              <m:sty m:val="p"/>
            </m:rPr>
            <m:t>=</m:t>
          </m:r>
          <m:r>
            <m:rPr>
              <m:sty m:val="p"/>
            </m:rPr>
            <m:t>(</m:t>
          </m:r>
          <m:sSub>
            <m:e>
              <m:r>
                <m:rPr>
                  <m:sty m:val="bi"/>
                </m:rPr>
                <m:t>W</m:t>
              </m:r>
            </m:e>
            <m:sub>
              <m:r>
                <m:rPr>
                  <m:nor/>
                  <m:sty m:val="p"/>
                </m:rPr>
                <m:t>trend</m:t>
              </m:r>
            </m:sub>
          </m:sSub>
          <m:sSub>
            <m:e>
              <m:r>
                <m:rPr>
                  <m:sty m:val="bi"/>
                </m:rPr>
                <m:t>X</m:t>
              </m:r>
            </m:e>
            <m:sub>
              <m:r>
                <m:rPr>
                  <m:nor/>
                  <m:sty m:val="p"/>
                </m:rPr>
                <m:t>trend</m:t>
              </m:r>
            </m:sub>
          </m:sSub>
          <m:r>
            <m:rPr>
              <m:sty m:val="p"/>
            </m:rPr>
            <m:t>+</m:t>
          </m:r>
          <m:sSub>
            <m:e>
              <m:r>
                <m:rPr>
                  <m:sty m:val="bi"/>
                </m:rPr>
                <m:t>b</m:t>
              </m:r>
            </m:e>
            <m:sub>
              <m:r>
                <m:rPr>
                  <m:nor/>
                  <m:sty m:val="p"/>
                </m:rPr>
                <m:t>trend</m:t>
              </m:r>
            </m:sub>
          </m:sSub>
          <m:r>
            <m:rPr>
              <m:sty m:val="p"/>
            </m:rPr>
            <m:t>)</m:t>
          </m:r>
          <m:r>
            <m:rPr>
              <m:sty m:val="p"/>
            </m:rPr>
            <m:t>+</m:t>
          </m:r>
          <m:r>
            <m:rPr>
              <m:sty m:val="p"/>
            </m:rPr>
            <m:t>(</m:t>
          </m:r>
          <m:sSub>
            <m:e>
              <m:r>
                <m:rPr>
                  <m:sty m:val="bi"/>
                </m:rPr>
                <m:t>W</m:t>
              </m:r>
            </m:e>
            <m:sub>
              <m:r>
                <m:rPr>
                  <m:nor/>
                  <m:sty m:val="p"/>
                </m:rPr>
                <m:t>seasonal</m:t>
              </m:r>
            </m:sub>
          </m:sSub>
          <m:sSub>
            <m:e>
              <m:r>
                <m:rPr>
                  <m:sty m:val="bi"/>
                </m:rPr>
                <m:t>X</m:t>
              </m:r>
            </m:e>
            <m:sub>
              <m:r>
                <m:rPr>
                  <m:nor/>
                  <m:sty m:val="p"/>
                </m:rPr>
                <m:t>seasonal</m:t>
              </m:r>
            </m:sub>
          </m:sSub>
          <m:r>
            <m:rPr>
              <m:sty m:val="p"/>
            </m:rPr>
            <m:t>+</m:t>
          </m:r>
          <m:sSub>
            <m:e>
              <m:r>
                <m:rPr>
                  <m:sty m:val="bi"/>
                </m:rPr>
                <m:t>b</m:t>
              </m:r>
            </m:e>
            <m:sub>
              <m:r>
                <m:rPr>
                  <m:nor/>
                  <m:sty m:val="p"/>
                </m:rPr>
                <m:t>seasonal</m:t>
              </m:r>
            </m:sub>
          </m:sSub>
          <m:r>
            <m:rPr>
              <m:sty m:val="p"/>
            </m:rPr>
            <m:t>)</m:t>
          </m:r>
          <m:r>
            <m:rPr>
              <m:sty m:val="p"/>
            </m:rPr>
            <m:t>+</m:t>
          </m:r>
          <m:sSub>
            <m:e>
              <m:r>
                <m:rPr>
                  <m:sty m:val="bi"/>
                </m:rPr>
                <m:t>W</m:t>
              </m:r>
            </m:e>
            <m:sub>
              <m:r>
                <m:rPr>
                  <m:nor/>
                  <m:sty m:val="p"/>
                </m:rPr>
                <m:t>feat</m:t>
              </m:r>
            </m:sub>
          </m:sSub>
          <m:r>
            <m:rPr>
              <m:sty m:val="bi"/>
            </m:rPr>
            <m:t>F</m:t>
          </m:r>
        </m:oMath>
      </m:oMathPara>
    </w:p>
    <w:p>
      <w:pPr>
        <w:pStyle w:val="FirstParagraph"/>
      </w:pPr>
      <w:r>
        <w:t xml:space="preserve">where</w:t>
      </w:r>
      <w:r>
        <w:t xml:space="preserve"> </w:t>
      </w:r>
      <m:oMath>
        <m:r>
          <m:rPr>
            <m:sty m:val="bi"/>
          </m:rPr>
          <m:t>F</m:t>
        </m:r>
      </m:oMath>
      <w:r>
        <w:t xml:space="preserve"> </w:t>
      </w:r>
      <w:r>
        <w:t xml:space="preserve">represents cyclical calendar features (hour of day, day of week, month) and temperature. In this setup, the lookback window is</w:t>
      </w:r>
      <w:r>
        <w:t xml:space="preserve"> </w:t>
      </w:r>
      <m:oMath>
        <m:r>
          <m:t>H</m:t>
        </m:r>
        <m:r>
          <m:rPr>
            <m:sty m:val="p"/>
          </m:rPr>
          <m:t>=</m:t>
        </m:r>
        <m:r>
          <m:t>168</m:t>
        </m:r>
      </m:oMath>
      <w:r>
        <w:t xml:space="preserve"> </w:t>
      </w:r>
      <w:r>
        <w:t xml:space="preserve">hours (7 days) and the forecast horizon is</w:t>
      </w:r>
      <w:r>
        <w:t xml:space="preserve"> </w:t>
      </w:r>
      <m:oMath>
        <m:r>
          <m:t>F</m:t>
        </m:r>
        <m:r>
          <m:rPr>
            <m:sty m:val="p"/>
          </m:rPr>
          <m:t>=</m:t>
        </m:r>
        <m:r>
          <m:t>24</m:t>
        </m:r>
      </m:oMath>
      <w:r>
        <w:t xml:space="preserve"> </w:t>
      </w:r>
      <w:r>
        <w:t xml:space="preserve">hours (day-ahead). The model is lightweight, containing approximately</w:t>
      </w:r>
      <w:r>
        <w:t xml:space="preserve"> </w:t>
      </w:r>
      <m:oMath>
        <m:r>
          <m:t>40</m:t>
        </m:r>
        <m:r>
          <m:rPr>
            <m:sty m:val="p"/>
          </m:rPr>
          <m:t>,</m:t>
        </m:r>
        <m:r>
          <m:t>000</m:t>
        </m:r>
      </m:oMath>
      <w:r>
        <w:t xml:space="preserve"> </w:t>
      </w:r>
      <w:r>
        <w:t xml:space="preserve">parameters, and trains in under 30 seconds on a single CPU.</w:t>
      </w:r>
    </w:p>
    <w:bookmarkEnd w:id="25"/>
    <w:bookmarkStart w:id="26" w:name="Xd6660a57d93e0c4f43dbb3eea72ce5ff7d8bd58"/>
    <w:p>
      <w:pPr>
        <w:pStyle w:val="Heading3"/>
      </w:pPr>
      <w:r>
        <w:t xml:space="preserve">B. 6-Fold Expanding-Window Cross-Validation</w:t>
      </w:r>
    </w:p>
    <w:p>
      <w:pPr>
        <w:pStyle w:val="FirstParagraph"/>
      </w:pPr>
      <w:r>
        <w:t xml:space="preserve">To evaluate model performance across different stages of the grid’s growth, we implement a 6-fold expanding-window cross-validation framework [14]. Each fold trains on all history up to year</w:t>
      </w:r>
      <w:r>
        <w:t xml:space="preserve"> </w:t>
      </w:r>
      <m:oMath>
        <m:r>
          <m:t>K</m:t>
        </m:r>
      </m:oMath>
      <w:r>
        <w:t xml:space="preserve"> </w:t>
      </w:r>
      <w:r>
        <w:t xml:space="preserve">and tests on the subsequent year</w:t>
      </w:r>
      <w:r>
        <w:t xml:space="preserve"> </w:t>
      </w:r>
      <m:oMath>
        <m:r>
          <m:t>K</m:t>
        </m:r>
        <m:r>
          <m:rPr>
            <m:sty m:val="p"/>
          </m:rPr>
          <m:t>+</m:t>
        </m:r>
        <m:r>
          <m:t>1</m:t>
        </m:r>
      </m:oMath>
      <w:r>
        <w:t xml:space="preserve"> </w:t>
      </w:r>
      <w:r>
        <w:t xml:space="preserve">(Table II).</w:t>
      </w:r>
    </w:p>
    <w:bookmarkEnd w:id="26"/>
    <w:bookmarkStart w:id="30" w:name="X718fc463fd51ceb7562f1c5651fd36c27054862"/>
    <w:p>
      <w:pPr>
        <w:pStyle w:val="Heading3"/>
      </w:pPr>
      <w:r>
        <w:t xml:space="preserve">Table II: Expanding-Window Cross-Validation Setup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Fold</w:t>
            </w:r>
          </w:p>
        </w:tc>
        <w:tc>
          <w:tcPr/>
          <w:p>
            <w:pPr>
              <w:pStyle w:val="Compact"/>
              <w:jc w:val="center"/>
            </w:pPr>
            <w:r>
              <w:t xml:space="preserve">Training Period</w:t>
            </w:r>
          </w:p>
        </w:tc>
        <w:tc>
          <w:tcPr/>
          <w:p>
            <w:pPr>
              <w:pStyle w:val="Compact"/>
              <w:jc w:val="center"/>
            </w:pPr>
            <w:r>
              <w:t xml:space="preserve">Test Period</w:t>
            </w:r>
          </w:p>
        </w:tc>
        <w:tc>
          <w:tcPr/>
          <w:p>
            <w:pPr>
              <w:pStyle w:val="Compact"/>
              <w:jc w:val="center"/>
            </w:pPr>
            <w:r>
              <w:t xml:space="preserve">Test Mean Load (MW)</w:t>
            </w:r>
          </w:p>
        </w:tc>
        <w:tc>
          <w:tcPr/>
          <w:p>
            <w:pPr>
              <w:pStyle w:val="Compact"/>
              <w:jc w:val="center"/>
            </w:pPr>
            <w:r>
              <w:t xml:space="preserve">Test Std Dev (MW)</w:t>
            </w:r>
          </w:p>
        </w:tc>
      </w:tr>
      <w:tr>
        <w:tc>
          <w:tcPr/>
          <w:p>
            <w:pPr>
              <w:pStyle w:val="Compact"/>
              <w:jc w:val="center"/>
            </w:pPr>
            <w:r>
              <w:t xml:space="preserve">Fold 1</w:t>
            </w:r>
          </w:p>
        </w:tc>
        <w:tc>
          <w:tcPr/>
          <w:p>
            <w:pPr>
              <w:pStyle w:val="Compact"/>
              <w:jc w:val="center"/>
            </w:pPr>
            <w:r>
              <w:t xml:space="preserve">2018–2020</w:t>
            </w:r>
          </w:p>
        </w:tc>
        <w:tc>
          <w:tcPr/>
          <w:p>
            <w:pPr>
              <w:pStyle w:val="Compact"/>
              <w:jc w:val="center"/>
            </w:pPr>
            <w:r>
              <w:t xml:space="preserve">2021</w:t>
            </w:r>
          </w:p>
        </w:tc>
        <w:tc>
          <w:tcPr/>
          <w:p>
            <w:pPr>
              <w:pStyle w:val="Compact"/>
              <w:jc w:val="center"/>
            </w:pPr>
            <w:r>
              <w:t xml:space="preserve">2,011</w:t>
            </w:r>
          </w:p>
        </w:tc>
        <w:tc>
          <w:tcPr/>
          <w:p>
            <w:pPr>
              <w:pStyle w:val="Compact"/>
              <w:jc w:val="center"/>
            </w:pPr>
            <w:r>
              <w:t xml:space="preserve">382</w:t>
            </w:r>
          </w:p>
        </w:tc>
      </w:tr>
      <w:tr>
        <w:tc>
          <w:tcPr/>
          <w:p>
            <w:pPr>
              <w:pStyle w:val="Compact"/>
              <w:jc w:val="center"/>
            </w:pPr>
            <w:r>
              <w:t xml:space="preserve">Fold 2</w:t>
            </w:r>
          </w:p>
        </w:tc>
        <w:tc>
          <w:tcPr/>
          <w:p>
            <w:pPr>
              <w:pStyle w:val="Compact"/>
              <w:jc w:val="center"/>
            </w:pPr>
            <w:r>
              <w:t xml:space="preserve">2018–2021</w:t>
            </w:r>
          </w:p>
        </w:tc>
        <w:tc>
          <w:tcPr/>
          <w:p>
            <w:pPr>
              <w:pStyle w:val="Compact"/>
              <w:jc w:val="center"/>
            </w:pPr>
            <w:r>
              <w:t xml:space="preserve">2022</w:t>
            </w:r>
          </w:p>
        </w:tc>
        <w:tc>
          <w:tcPr/>
          <w:p>
            <w:pPr>
              <w:pStyle w:val="Compact"/>
              <w:jc w:val="center"/>
            </w:pPr>
            <w:r>
              <w:t xml:space="preserve">2,145</w:t>
            </w:r>
          </w:p>
        </w:tc>
        <w:tc>
          <w:tcPr/>
          <w:p>
            <w:pPr>
              <w:pStyle w:val="Compact"/>
              <w:jc w:val="center"/>
            </w:pPr>
            <w:r>
              <w:t xml:space="preserve">398</w:t>
            </w:r>
          </w:p>
        </w:tc>
      </w:tr>
      <w:tr>
        <w:tc>
          <w:tcPr/>
          <w:p>
            <w:pPr>
              <w:pStyle w:val="Compact"/>
              <w:jc w:val="center"/>
            </w:pPr>
            <w:r>
              <w:t xml:space="preserve">Fold 3</w:t>
            </w:r>
          </w:p>
        </w:tc>
        <w:tc>
          <w:tcPr/>
          <w:p>
            <w:pPr>
              <w:pStyle w:val="Compact"/>
              <w:jc w:val="center"/>
            </w:pPr>
            <w:r>
              <w:t xml:space="preserve">2018–2022</w:t>
            </w:r>
          </w:p>
        </w:tc>
        <w:tc>
          <w:tcPr/>
          <w:p>
            <w:pPr>
              <w:pStyle w:val="Compact"/>
              <w:jc w:val="center"/>
            </w:pPr>
            <w:r>
              <w:t xml:space="preserve">2023</w:t>
            </w:r>
          </w:p>
        </w:tc>
        <w:tc>
          <w:tcPr/>
          <w:p>
            <w:pPr>
              <w:pStyle w:val="Compact"/>
              <w:jc w:val="center"/>
            </w:pPr>
            <w:r>
              <w:t xml:space="preserve">2,316</w:t>
            </w:r>
          </w:p>
        </w:tc>
        <w:tc>
          <w:tcPr/>
          <w:p>
            <w:pPr>
              <w:pStyle w:val="Compact"/>
              <w:jc w:val="center"/>
            </w:pPr>
            <w:r>
              <w:t xml:space="preserve">415</w:t>
            </w:r>
          </w:p>
        </w:tc>
      </w:tr>
      <w:tr>
        <w:tc>
          <w:tcPr/>
          <w:p>
            <w:pPr>
              <w:pStyle w:val="Compact"/>
              <w:jc w:val="center"/>
            </w:pPr>
            <w:r>
              <w:t xml:space="preserve">Fold 4</w:t>
            </w:r>
          </w:p>
        </w:tc>
        <w:tc>
          <w:tcPr/>
          <w:p>
            <w:pPr>
              <w:pStyle w:val="Compact"/>
              <w:jc w:val="center"/>
            </w:pPr>
            <w:r>
              <w:t xml:space="preserve">2018–2023</w:t>
            </w:r>
          </w:p>
        </w:tc>
        <w:tc>
          <w:tcPr/>
          <w:p>
            <w:pPr>
              <w:pStyle w:val="Compact"/>
              <w:jc w:val="center"/>
            </w:pPr>
            <w:r>
              <w:t xml:space="preserve">2024</w:t>
            </w:r>
          </w:p>
        </w:tc>
        <w:tc>
          <w:tcPr/>
          <w:p>
            <w:pPr>
              <w:pStyle w:val="Compact"/>
              <w:jc w:val="center"/>
            </w:pPr>
            <w:r>
              <w:t xml:space="preserve">2,537</w:t>
            </w:r>
          </w:p>
        </w:tc>
        <w:tc>
          <w:tcPr/>
          <w:p>
            <w:pPr>
              <w:pStyle w:val="Compact"/>
              <w:jc w:val="center"/>
            </w:pPr>
            <w:r>
              <w:t xml:space="preserve">431</w:t>
            </w:r>
          </w:p>
        </w:tc>
      </w:tr>
      <w:tr>
        <w:tc>
          <w:tcPr/>
          <w:p>
            <w:pPr>
              <w:pStyle w:val="Compact"/>
              <w:jc w:val="center"/>
            </w:pPr>
            <w:r>
              <w:t xml:space="preserve">Fold 5</w:t>
            </w:r>
          </w:p>
        </w:tc>
        <w:tc>
          <w:tcPr/>
          <w:p>
            <w:pPr>
              <w:pStyle w:val="Compact"/>
              <w:jc w:val="center"/>
            </w:pPr>
            <w:r>
              <w:t xml:space="preserve">2018–2024</w:t>
            </w:r>
          </w:p>
        </w:tc>
        <w:tc>
          <w:tcPr/>
          <w:p>
            <w:pPr>
              <w:pStyle w:val="Compact"/>
              <w:jc w:val="center"/>
            </w:pPr>
            <w:r>
              <w:t xml:space="preserve">2025</w:t>
            </w:r>
          </w:p>
        </w:tc>
        <w:tc>
          <w:tcPr/>
          <w:p>
            <w:pPr>
              <w:pStyle w:val="Compact"/>
              <w:jc w:val="center"/>
            </w:pPr>
            <w:r>
              <w:t xml:space="preserve">2,882</w:t>
            </w:r>
          </w:p>
        </w:tc>
        <w:tc>
          <w:tcPr/>
          <w:p>
            <w:pPr>
              <w:pStyle w:val="Compact"/>
              <w:jc w:val="center"/>
            </w:pPr>
            <w:r>
              <w:t xml:space="preserve">448</w:t>
            </w:r>
          </w:p>
        </w:tc>
      </w:tr>
      <w:tr>
        <w:tc>
          <w:tcPr/>
          <w:p>
            <w:pPr>
              <w:pStyle w:val="Compact"/>
              <w:jc w:val="center"/>
            </w:pPr>
            <w:r>
              <w:t xml:space="preserve">Fold 6</w:t>
            </w:r>
          </w:p>
        </w:tc>
        <w:tc>
          <w:tcPr/>
          <w:p>
            <w:pPr>
              <w:pStyle w:val="Compact"/>
              <w:jc w:val="center"/>
            </w:pPr>
            <w:r>
              <w:t xml:space="preserve">2018–2025</w:t>
            </w:r>
          </w:p>
        </w:tc>
        <w:tc>
          <w:tcPr/>
          <w:p>
            <w:pPr>
              <w:pStyle w:val="Compact"/>
              <w:jc w:val="center"/>
            </w:pPr>
            <w:r>
              <w:t xml:space="preserve">2026 (H1)</w:t>
            </w:r>
          </w:p>
        </w:tc>
        <w:tc>
          <w:tcPr/>
          <w:p>
            <w:pPr>
              <w:pStyle w:val="Compact"/>
              <w:jc w:val="center"/>
            </w:pPr>
            <w:r>
              <w:t xml:space="preserve">3,275</w:t>
            </w:r>
          </w:p>
        </w:tc>
        <w:tc>
          <w:tcPr/>
          <w:p>
            <w:pPr>
              <w:pStyle w:val="Compact"/>
              <w:jc w:val="center"/>
            </w:pPr>
            <w:r>
              <w:t xml:space="preserve">452</w:t>
            </w:r>
          </w:p>
        </w:tc>
      </w:tr>
    </w:tbl>
    <w:p>
      <w:pPr>
        <w:pStyle w:val="CaptionedFigure"/>
      </w:pPr>
      <w:r>
        <w:drawing>
          <wp:inline>
            <wp:extent cx="5943600" cy="3964981"/>
            <wp:effectExtent b="0" l="0" r="0" t="0"/>
            <wp:docPr descr="Figure 3: Expanding window validation" title="" id="28" name="Picture"/>
            <a:graphic>
              <a:graphicData uri="http://schemas.openxmlformats.org/drawingml/2006/picture">
                <pic:pic>
                  <pic:nvPicPr>
                    <pic:cNvPr descr="figures/Folds.png" id="29" name="Picture"/>
                    <pic:cNvPicPr>
                      <a:picLocks noChangeArrowheads="1" noChangeAspect="1"/>
                    </pic:cNvPicPr>
                  </pic:nvPicPr>
                  <pic:blipFill>
                    <a:blip r:embed="rId27"/>
                    <a:stretch>
                      <a:fillRect/>
                    </a:stretch>
                  </pic:blipFill>
                  <pic:spPr bwMode="auto">
                    <a:xfrm>
                      <a:off x="0" y="0"/>
                      <a:ext cx="5943600" cy="3964981"/>
                    </a:xfrm>
                    <a:prstGeom prst="rect">
                      <a:avLst/>
                    </a:prstGeom>
                    <a:noFill/>
                    <a:ln w="9525">
                      <a:noFill/>
                      <a:headEnd/>
                      <a:tailEnd/>
                    </a:ln>
                  </pic:spPr>
                </pic:pic>
              </a:graphicData>
            </a:graphic>
          </wp:inline>
        </w:drawing>
      </w:r>
    </w:p>
    <w:p>
      <w:pPr>
        <w:pStyle w:val="ImageCaption"/>
      </w:pPr>
      <w:r>
        <w:t xml:space="preserve">Figure 3: Expanding window validation</w:t>
      </w:r>
    </w:p>
    <w:p>
      <w:pPr>
        <w:pStyle w:val="BodyText"/>
      </w:pPr>
      <w:r>
        <w:t xml:space="preserve">Standard normalization scales the data using fixed statistics calculated over the entire historical training set. However, on a growing grid, using historical statistics (e.g., from 2018) leads to severe model failure in later years. We compare this against adaptive normalization, which scales inputs and targets using the statistics (</w:t>
      </w:r>
      <m:oMath>
        <m:sSub>
          <m:e>
            <m:r>
              <m:t>μ</m:t>
            </m:r>
          </m:e>
          <m:sub>
            <m:r>
              <m:t>k</m:t>
            </m:r>
          </m:sub>
        </m:sSub>
        <m:r>
          <m:rPr>
            <m:sty m:val="p"/>
          </m:rPr>
          <m:t>,</m:t>
        </m:r>
        <m:sSub>
          <m:e>
            <m:r>
              <m:t>σ</m:t>
            </m:r>
          </m:e>
          <m:sub>
            <m:r>
              <m:t>k</m:t>
            </m:r>
          </m:sub>
        </m:sSub>
      </m:oMath>
      <w:r>
        <w:t xml:space="preserve">) of the most recent training fold</w:t>
      </w:r>
      <w:r>
        <w:t xml:space="preserve"> </w:t>
      </w:r>
      <m:oMath>
        <m:r>
          <m:t>k</m:t>
        </m:r>
      </m:oMath>
      <w:r>
        <w:t xml:space="preserve"> </w:t>
      </w:r>
      <w:r>
        <w:t xml:space="preserve">(Table III).</w:t>
      </w:r>
    </w:p>
    <w:bookmarkEnd w:id="30"/>
    <w:bookmarkStart w:id="31" w:name="X2bc44887847ca6dac13641084297c19252ce9b1"/>
    <w:p>
      <w:pPr>
        <w:pStyle w:val="Heading3"/>
      </w:pPr>
      <w:r>
        <w:t xml:space="preserve">Table III: Normalization Strategy Comparison (DLinear Ensemble)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Strategy</w:t>
            </w:r>
          </w:p>
        </w:tc>
        <w:tc>
          <w:tcPr/>
          <w:p>
            <w:pPr>
              <w:pStyle w:val="Compact"/>
              <w:jc w:val="center"/>
            </w:pPr>
            <w:r>
              <w:t xml:space="preserve">Mean MAE (MW)</w:t>
            </w:r>
          </w:p>
        </w:tc>
        <w:tc>
          <w:tcPr/>
          <w:p>
            <w:pPr>
              <w:pStyle w:val="Compact"/>
              <w:jc w:val="center"/>
            </w:pPr>
            <w:r>
              <w:t xml:space="preserve">Mean MAPE (%)</w:t>
            </w:r>
          </w:p>
        </w:tc>
        <w:tc>
          <w:tcPr/>
          <w:p>
            <w:pPr>
              <w:pStyle w:val="Compact"/>
              <w:jc w:val="center"/>
            </w:pPr>
            <w:r>
              <w:t xml:space="preserve">Systematic Bias (MW)</w:t>
            </w:r>
          </w:p>
        </w:tc>
      </w:tr>
      <w:tr>
        <w:tc>
          <w:tcPr/>
          <w:p>
            <w:pPr>
              <w:pStyle w:val="Compact"/>
              <w:jc w:val="left"/>
            </w:pPr>
            <w:r>
              <w:t xml:space="preserve">Fixed (2018 stats)</w:t>
            </w:r>
          </w:p>
        </w:tc>
        <w:tc>
          <w:tcPr/>
          <w:p>
            <w:pPr>
              <w:pStyle w:val="Compact"/>
              <w:jc w:val="center"/>
            </w:pPr>
            <w:r>
              <w:t xml:space="preserve">141.2</w:t>
            </w:r>
          </w:p>
        </w:tc>
        <w:tc>
          <w:tcPr/>
          <w:p>
            <w:pPr>
              <w:pStyle w:val="Compact"/>
              <w:jc w:val="center"/>
            </w:pPr>
            <w:r>
              <w:t xml:space="preserve">5.66%</w:t>
            </w:r>
          </w:p>
        </w:tc>
        <w:tc>
          <w:tcPr/>
          <w:p>
            <w:pPr>
              <w:pStyle w:val="Compact"/>
              <w:jc w:val="center"/>
            </w:pPr>
            <w:r>
              <w:t xml:space="preserve">-52.4</w:t>
            </w:r>
          </w:p>
        </w:tc>
      </w:tr>
      <w:tr>
        <w:tc>
          <w:tcPr/>
          <w:p>
            <w:pPr>
              <w:pStyle w:val="Compact"/>
              <w:jc w:val="left"/>
            </w:pPr>
            <w:r>
              <w:t xml:space="preserve">Adaptive (Recent fold stats)</w:t>
            </w:r>
          </w:p>
        </w:tc>
        <w:tc>
          <w:tcPr/>
          <w:p>
            <w:pPr>
              <w:pStyle w:val="Compact"/>
              <w:jc w:val="center"/>
            </w:pPr>
            <w:r>
              <w:t xml:space="preserve">91.0</w:t>
            </w:r>
          </w:p>
        </w:tc>
        <w:tc>
          <w:tcPr/>
          <w:p>
            <w:pPr>
              <w:pStyle w:val="Compact"/>
              <w:jc w:val="center"/>
            </w:pPr>
            <w:r>
              <w:t xml:space="preserve">3.65%</w:t>
            </w:r>
          </w:p>
        </w:tc>
        <w:tc>
          <w:tcPr/>
          <w:p>
            <w:pPr>
              <w:pStyle w:val="Compact"/>
              <w:jc w:val="center"/>
            </w:pPr>
            <w:r>
              <w:t xml:space="preserve">-18.2</w:t>
            </w:r>
          </w:p>
        </w:tc>
      </w:tr>
    </w:tbl>
    <w:p>
      <w:pPr>
        <w:pStyle w:val="BodyText"/>
      </w:pPr>
      <w:r>
        <w:t xml:space="preserve">While adaptive normalization reduces the MAE by 35.5% and decreases the systematic bias from -52.4 MW to -18.2 MW, a significant under-forecasting bias persists. The model captures the diurnal patterns but remains consistently below the actual load curves due to growth occurring between training cycles.</w:t>
      </w:r>
    </w:p>
    <w:bookmarkEnd w:id="31"/>
    <w:bookmarkStart w:id="32" w:name="Xa7fea03462b63fb28af10c65f7c617664828b66"/>
    <w:p>
      <w:pPr>
        <w:pStyle w:val="Heading3"/>
      </w:pPr>
      <w:r>
        <w:t xml:space="preserve">C. Model Degradation and Retraining Dynamics</w:t>
      </w:r>
    </w:p>
    <w:p>
      <w:pPr>
        <w:pStyle w:val="FirstParagraph"/>
      </w:pPr>
      <w:r>
        <w:t xml:space="preserve">We evaluate the degradation of a model trained on Fold 1 (2018–2020) and deployed through 2026 without retraining, comparing it to an annually retrained baseline (Table IV).</w:t>
      </w:r>
    </w:p>
    <w:bookmarkEnd w:id="32"/>
    <w:bookmarkStart w:id="36" w:name="Xd60f260bb3fe6fb5dd925306a676cd2787524c8"/>
    <w:p>
      <w:pPr>
        <w:pStyle w:val="Heading3"/>
      </w:pPr>
      <w:r>
        <w:t xml:space="preserve">Table IV: Model Degradation over Time (MAE in MW)</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t xml:space="preserve">Model Setup</w:t>
            </w:r>
          </w:p>
        </w:tc>
        <w:tc>
          <w:tcPr/>
          <w:p>
            <w:pPr>
              <w:pStyle w:val="Compact"/>
              <w:jc w:val="center"/>
            </w:pPr>
            <w:r>
              <w:t xml:space="preserve">2021</w:t>
            </w:r>
          </w:p>
        </w:tc>
        <w:tc>
          <w:tcPr/>
          <w:p>
            <w:pPr>
              <w:pStyle w:val="Compact"/>
              <w:jc w:val="center"/>
            </w:pPr>
            <w:r>
              <w:t xml:space="preserve">2022</w:t>
            </w:r>
          </w:p>
        </w:tc>
        <w:tc>
          <w:tcPr/>
          <w:p>
            <w:pPr>
              <w:pStyle w:val="Compact"/>
              <w:jc w:val="center"/>
            </w:pPr>
            <w:r>
              <w:t xml:space="preserve">2023</w:t>
            </w:r>
          </w:p>
        </w:tc>
        <w:tc>
          <w:tcPr/>
          <w:p>
            <w:pPr>
              <w:pStyle w:val="Compact"/>
              <w:jc w:val="center"/>
            </w:pPr>
            <w:r>
              <w:t xml:space="preserve">2024</w:t>
            </w:r>
          </w:p>
        </w:tc>
        <w:tc>
          <w:tcPr/>
          <w:p>
            <w:pPr>
              <w:pStyle w:val="Compact"/>
              <w:jc w:val="center"/>
            </w:pPr>
            <w:r>
              <w:t xml:space="preserve">2025</w:t>
            </w:r>
          </w:p>
        </w:tc>
        <w:tc>
          <w:tcPr/>
          <w:p>
            <w:pPr>
              <w:pStyle w:val="Compact"/>
              <w:jc w:val="center"/>
            </w:pPr>
            <w:r>
              <w:t xml:space="preserve">2026 (H1)</w:t>
            </w:r>
          </w:p>
        </w:tc>
        <w:tc>
          <w:tcPr/>
          <w:p>
            <w:pPr>
              <w:pStyle w:val="Compact"/>
              <w:jc w:val="center"/>
            </w:pPr>
            <w:r>
              <w:t xml:space="preserve">Change</w:t>
            </w:r>
          </w:p>
        </w:tc>
      </w:tr>
      <w:tr>
        <w:tc>
          <w:tcPr/>
          <w:p>
            <w:pPr>
              <w:pStyle w:val="Compact"/>
              <w:jc w:val="left"/>
            </w:pPr>
            <w:r>
              <w:t xml:space="preserve">Fold 1 (No Retraining)</w:t>
            </w:r>
          </w:p>
        </w:tc>
        <w:tc>
          <w:tcPr/>
          <w:p>
            <w:pPr>
              <w:pStyle w:val="Compact"/>
              <w:jc w:val="center"/>
            </w:pPr>
            <w:r>
              <w:t xml:space="preserve">84.3</w:t>
            </w:r>
          </w:p>
        </w:tc>
        <w:tc>
          <w:tcPr/>
          <w:p>
            <w:pPr>
              <w:pStyle w:val="Compact"/>
              <w:jc w:val="center"/>
            </w:pPr>
            <w:r>
              <w:t xml:space="preserve">98.2</w:t>
            </w:r>
          </w:p>
        </w:tc>
        <w:tc>
          <w:tcPr/>
          <w:p>
            <w:pPr>
              <w:pStyle w:val="Compact"/>
              <w:jc w:val="center"/>
            </w:pPr>
            <w:r>
              <w:t xml:space="preserve">103.1</w:t>
            </w:r>
          </w:p>
        </w:tc>
        <w:tc>
          <w:tcPr/>
          <w:p>
            <w:pPr>
              <w:pStyle w:val="Compact"/>
              <w:jc w:val="center"/>
            </w:pPr>
            <w:r>
              <w:t xml:space="preserve">107.6</w:t>
            </w:r>
          </w:p>
        </w:tc>
        <w:tc>
          <w:tcPr/>
          <w:p>
            <w:pPr>
              <w:pStyle w:val="Compact"/>
              <w:jc w:val="center"/>
            </w:pPr>
            <w:r>
              <w:t xml:space="preserve">112.4</w:t>
            </w:r>
          </w:p>
        </w:tc>
        <w:tc>
          <w:tcPr/>
          <w:p>
            <w:pPr>
              <w:pStyle w:val="Compact"/>
              <w:jc w:val="center"/>
            </w:pPr>
            <w:r>
              <w:t xml:space="preserve">112.8</w:t>
            </w:r>
          </w:p>
        </w:tc>
        <w:tc>
          <w:tcPr/>
          <w:p>
            <w:pPr>
              <w:pStyle w:val="Compact"/>
              <w:jc w:val="center"/>
            </w:pPr>
            <w:r>
              <w:t xml:space="preserve">+33.8%</w:t>
            </w:r>
          </w:p>
        </w:tc>
      </w:tr>
      <w:tr>
        <w:tc>
          <w:tcPr/>
          <w:p>
            <w:pPr>
              <w:pStyle w:val="Compact"/>
              <w:jc w:val="left"/>
            </w:pPr>
            <w:r>
              <w:t xml:space="preserve">Annually Retrained</w:t>
            </w:r>
          </w:p>
        </w:tc>
        <w:tc>
          <w:tcPr/>
          <w:p>
            <w:pPr>
              <w:pStyle w:val="Compact"/>
              <w:jc w:val="center"/>
            </w:pPr>
            <w:r>
              <w:t xml:space="preserve">84.3</w:t>
            </w:r>
          </w:p>
        </w:tc>
        <w:tc>
          <w:tcPr/>
          <w:p>
            <w:pPr>
              <w:pStyle w:val="Compact"/>
              <w:jc w:val="center"/>
            </w:pPr>
            <w:r>
              <w:t xml:space="preserve">83.2</w:t>
            </w:r>
          </w:p>
        </w:tc>
        <w:tc>
          <w:tcPr/>
          <w:p>
            <w:pPr>
              <w:pStyle w:val="Compact"/>
              <w:jc w:val="center"/>
            </w:pPr>
            <w:r>
              <w:t xml:space="preserve">88.1</w:t>
            </w:r>
          </w:p>
        </w:tc>
        <w:tc>
          <w:tcPr/>
          <w:p>
            <w:pPr>
              <w:pStyle w:val="Compact"/>
              <w:jc w:val="center"/>
            </w:pPr>
            <w:r>
              <w:t xml:space="preserve">93.8</w:t>
            </w:r>
          </w:p>
        </w:tc>
        <w:tc>
          <w:tcPr/>
          <w:p>
            <w:pPr>
              <w:pStyle w:val="Compact"/>
              <w:jc w:val="center"/>
            </w:pPr>
            <w:r>
              <w:t xml:space="preserve">96.0</w:t>
            </w:r>
          </w:p>
        </w:tc>
        <w:tc>
          <w:tcPr/>
          <w:p>
            <w:pPr>
              <w:pStyle w:val="Compact"/>
              <w:jc w:val="center"/>
            </w:pPr>
            <w:r>
              <w:t xml:space="preserve">100.8</w:t>
            </w:r>
          </w:p>
        </w:tc>
        <w:tc>
          <w:tcPr/>
          <w:p>
            <w:pPr>
              <w:pStyle w:val="Compact"/>
              <w:jc w:val="center"/>
            </w:pPr>
            <w:r>
              <w:t xml:space="preserve">Baseline</w:t>
            </w:r>
          </w:p>
        </w:tc>
      </w:tr>
    </w:tbl>
    <w:p>
      <w:pPr>
        <w:pStyle w:val="CaptionedFigure"/>
      </w:pPr>
      <w:r>
        <w:drawing>
          <wp:inline>
            <wp:extent cx="5943600" cy="3299201"/>
            <wp:effectExtent b="0" l="0" r="0" t="0"/>
            <wp:docPr descr="Figure 4: Model degradation without retraining" title="" id="34" name="Picture"/>
            <a:graphic>
              <a:graphicData uri="http://schemas.openxmlformats.org/drawingml/2006/picture">
                <pic:pic>
                  <pic:nvPicPr>
                    <pic:cNvPr descr="figures/fig6_degradation.png" id="35" name="Picture"/>
                    <pic:cNvPicPr>
                      <a:picLocks noChangeArrowheads="1" noChangeAspect="1"/>
                    </pic:cNvPicPr>
                  </pic:nvPicPr>
                  <pic:blipFill>
                    <a:blip r:embed="rId33"/>
                    <a:stretch>
                      <a:fillRect/>
                    </a:stretch>
                  </pic:blipFill>
                  <pic:spPr bwMode="auto">
                    <a:xfrm>
                      <a:off x="0" y="0"/>
                      <a:ext cx="5943600" cy="3299201"/>
                    </a:xfrm>
                    <a:prstGeom prst="rect">
                      <a:avLst/>
                    </a:prstGeom>
                    <a:noFill/>
                    <a:ln w="9525">
                      <a:noFill/>
                      <a:headEnd/>
                      <a:tailEnd/>
                    </a:ln>
                  </pic:spPr>
                </pic:pic>
              </a:graphicData>
            </a:graphic>
          </wp:inline>
        </w:drawing>
      </w:r>
    </w:p>
    <w:p>
      <w:pPr>
        <w:pStyle w:val="ImageCaption"/>
      </w:pPr>
      <w:r>
        <w:t xml:space="preserve">Figure 4: Model degradation without retraining</w:t>
      </w:r>
    </w:p>
    <w:p>
      <w:pPr>
        <w:pStyle w:val="BodyText"/>
      </w:pPr>
      <w:r>
        <w:t xml:space="preserve">Without retraining, the model’s error increases by 33.8% over five years (from 84.3 MW to 112.8 MW) as the grid demand scale drifts away from the learned weight parameters.</w:t>
      </w:r>
    </w:p>
    <w:p>
      <w:pPr>
        <w:pStyle w:val="BodyText"/>
      </w:pPr>
      <w:r>
        <w:t xml:space="preserve">To analyze the relationship between retraining frequency and bias accumulation, we simulate different retraining cadences (Table V).</w:t>
      </w:r>
    </w:p>
    <w:bookmarkEnd w:id="36"/>
    <w:bookmarkStart w:id="37" w:name="Xaf1223ee088be4a114d4205ecd186e194d6e4cb"/>
    <w:p>
      <w:pPr>
        <w:pStyle w:val="Heading3"/>
      </w:pPr>
      <w:r>
        <w:t xml:space="preserve">Table V: Retraining Cadence and Computational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Retrain Frequency</w:t>
            </w:r>
          </w:p>
        </w:tc>
        <w:tc>
          <w:tcPr/>
          <w:p>
            <w:pPr>
              <w:pStyle w:val="Compact"/>
              <w:jc w:val="center"/>
            </w:pPr>
            <w:r>
              <w:t xml:space="preserve">Average MAE (MW)</w:t>
            </w:r>
          </w:p>
        </w:tc>
        <w:tc>
          <w:tcPr/>
          <w:p>
            <w:pPr>
              <w:pStyle w:val="Compact"/>
              <w:jc w:val="center"/>
            </w:pPr>
            <w:r>
              <w:t xml:space="preserve">Models to Maintain</w:t>
            </w:r>
          </w:p>
        </w:tc>
      </w:tr>
      <w:tr>
        <w:tc>
          <w:tcPr/>
          <w:p>
            <w:pPr>
              <w:pStyle w:val="Compact"/>
              <w:jc w:val="left"/>
            </w:pPr>
            <w:r>
              <w:t xml:space="preserve">Never (Single Fold)</w:t>
            </w:r>
          </w:p>
        </w:tc>
        <w:tc>
          <w:tcPr/>
          <w:p>
            <w:pPr>
              <w:pStyle w:val="Compact"/>
              <w:jc w:val="center"/>
            </w:pPr>
            <w:r>
              <w:t xml:space="preserve">103.1</w:t>
            </w:r>
          </w:p>
        </w:tc>
        <w:tc>
          <w:tcPr/>
          <w:p>
            <w:pPr>
              <w:pStyle w:val="Compact"/>
              <w:jc w:val="center"/>
            </w:pPr>
            <w:r>
              <w:t xml:space="preserve">1</w:t>
            </w:r>
          </w:p>
        </w:tc>
      </w:tr>
      <w:tr>
        <w:tc>
          <w:tcPr/>
          <w:p>
            <w:pPr>
              <w:pStyle w:val="Compact"/>
              <w:jc w:val="left"/>
            </w:pPr>
            <w:r>
              <w:t xml:space="preserve">Annual</w:t>
            </w:r>
          </w:p>
        </w:tc>
        <w:tc>
          <w:tcPr/>
          <w:p>
            <w:pPr>
              <w:pStyle w:val="Compact"/>
              <w:jc w:val="center"/>
            </w:pPr>
            <w:r>
              <w:t xml:space="preserve">91.0</w:t>
            </w:r>
          </w:p>
        </w:tc>
        <w:tc>
          <w:tcPr/>
          <w:p>
            <w:pPr>
              <w:pStyle w:val="Compact"/>
              <w:jc w:val="center"/>
            </w:pPr>
            <w:r>
              <w:t xml:space="preserve">6</w:t>
            </w:r>
          </w:p>
        </w:tc>
      </w:tr>
      <w:tr>
        <w:tc>
          <w:tcPr/>
          <w:p>
            <w:pPr>
              <w:pStyle w:val="Compact"/>
              <w:jc w:val="left"/>
            </w:pPr>
            <w:r>
              <w:t xml:space="preserve">Quarterly</w:t>
            </w:r>
          </w:p>
        </w:tc>
        <w:tc>
          <w:tcPr/>
          <w:p>
            <w:pPr>
              <w:pStyle w:val="Compact"/>
              <w:jc w:val="center"/>
            </w:pPr>
            <w:r>
              <w:t xml:space="preserve">89.3</w:t>
            </w:r>
          </w:p>
        </w:tc>
        <w:tc>
          <w:tcPr/>
          <w:p>
            <w:pPr>
              <w:pStyle w:val="Compact"/>
              <w:jc w:val="center"/>
            </w:pPr>
            <w:r>
              <w:t xml:space="preserve">24</w:t>
            </w:r>
          </w:p>
        </w:tc>
      </w:tr>
      <w:tr>
        <w:tc>
          <w:tcPr/>
          <w:p>
            <w:pPr>
              <w:pStyle w:val="Compact"/>
              <w:jc w:val="left"/>
            </w:pPr>
            <w:r>
              <w:t xml:space="preserve">Monthly</w:t>
            </w:r>
          </w:p>
        </w:tc>
        <w:tc>
          <w:tcPr/>
          <w:p>
            <w:pPr>
              <w:pStyle w:val="Compact"/>
              <w:jc w:val="center"/>
            </w:pPr>
            <w:r>
              <w:t xml:space="preserve">88.1</w:t>
            </w:r>
          </w:p>
        </w:tc>
        <w:tc>
          <w:tcPr/>
          <w:p>
            <w:pPr>
              <w:pStyle w:val="Compact"/>
              <w:jc w:val="center"/>
            </w:pPr>
            <w:r>
              <w:t xml:space="preserve">72</w:t>
            </w:r>
          </w:p>
        </w:tc>
      </w:tr>
    </w:tbl>
    <w:p>
      <w:pPr>
        <w:pStyle w:val="BodyText"/>
      </w:pPr>
      <w:r>
        <w:t xml:space="preserve">Increasing the retraining frequency from annual to monthly improves the MAE by only 2.9 MW (3.1%) while increasing the engineering overhead of training and deploying models by a factor of 12. This indicates that retraining alone cannot eliminate the systematic bias that accumulates between cycles.</w:t>
      </w:r>
    </w:p>
    <w:p>
      <w:pPr>
        <w:pStyle w:val="BodyText"/>
      </w:pPr>
      <w:r>
        <w:t xml:space="preserve">Furthermore, we explore warm-starting: initializing the parameters of a new training fold with the weights of the previous fold. Warm-starting reduces training convergence time by 40–60% but introduces significant optimization delays across structural breaks, such as the transition into the post-COVID-19 recovery period (Fold 3).</w:t>
      </w:r>
    </w:p>
    <w:bookmarkEnd w:id="37"/>
    <w:bookmarkStart w:id="38" w:name="d.-training-history-volume-analysis"/>
    <w:p>
      <w:pPr>
        <w:pStyle w:val="Heading3"/>
      </w:pPr>
      <w:r>
        <w:t xml:space="preserve">D. Training History Volume Analysis</w:t>
      </w:r>
    </w:p>
    <w:p>
      <w:pPr>
        <w:pStyle w:val="FirstParagraph"/>
      </w:pPr>
      <w:r>
        <w:t xml:space="preserve">We evaluate the volume of training history required by training single DLinear models on different historical windows and testing on the 2026-H1 set (Table VI).</w:t>
      </w:r>
    </w:p>
    <w:bookmarkEnd w:id="38"/>
    <w:bookmarkStart w:id="39" w:name="Xa306eb0c2522f1b3ec97de09c59a5ffab10d576"/>
    <w:p>
      <w:pPr>
        <w:pStyle w:val="Heading3"/>
      </w:pPr>
      <w:r>
        <w:t xml:space="preserve">Table VI: Impact of Training History Volume (Evaluated on 2026-H1)</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Training Window</w:t>
            </w:r>
          </w:p>
        </w:tc>
        <w:tc>
          <w:tcPr/>
          <w:p>
            <w:pPr>
              <w:pStyle w:val="Compact"/>
              <w:jc w:val="center"/>
            </w:pPr>
            <w:r>
              <w:t xml:space="preserve">Years</w:t>
            </w:r>
          </w:p>
        </w:tc>
        <w:tc>
          <w:tcPr/>
          <w:p>
            <w:pPr>
              <w:pStyle w:val="Compact"/>
              <w:jc w:val="center"/>
            </w:pPr>
            <w:r>
              <w:t xml:space="preserve">Training Samples</w:t>
            </w:r>
          </w:p>
        </w:tc>
        <w:tc>
          <w:tcPr/>
          <w:p>
            <w:pPr>
              <w:pStyle w:val="Compact"/>
              <w:jc w:val="center"/>
            </w:pPr>
            <w:r>
              <w:t xml:space="preserve">Raw MAE (MW)</w:t>
            </w:r>
          </w:p>
        </w:tc>
        <w:tc>
          <w:tcPr/>
          <w:p>
            <w:pPr>
              <w:pStyle w:val="Compact"/>
              <w:jc w:val="center"/>
            </w:pPr>
            <w:r>
              <w:t xml:space="preserve">+TIDE MAE (MW)</w:t>
            </w:r>
          </w:p>
        </w:tc>
      </w:tr>
      <w:tr>
        <w:tc>
          <w:tcPr/>
          <w:p>
            <w:pPr>
              <w:pStyle w:val="Compact"/>
              <w:jc w:val="left"/>
            </w:pPr>
            <w:r>
              <w:t xml:space="preserve">2024–2025</w:t>
            </w:r>
          </w:p>
        </w:tc>
        <w:tc>
          <w:tcPr/>
          <w:p>
            <w:pPr>
              <w:pStyle w:val="Compact"/>
              <w:jc w:val="center"/>
            </w:pPr>
            <w:r>
              <w:t xml:space="preserve">2</w:t>
            </w:r>
          </w:p>
        </w:tc>
        <w:tc>
          <w:tcPr/>
          <w:p>
            <w:pPr>
              <w:pStyle w:val="Compact"/>
              <w:jc w:val="center"/>
            </w:pPr>
            <w:r>
              <w:t xml:space="preserve">14,813</w:t>
            </w:r>
          </w:p>
        </w:tc>
        <w:tc>
          <w:tcPr/>
          <w:p>
            <w:pPr>
              <w:pStyle w:val="Compact"/>
              <w:jc w:val="center"/>
            </w:pPr>
            <w:r>
              <w:t xml:space="preserve">120.1</w:t>
            </w:r>
          </w:p>
        </w:tc>
        <w:tc>
          <w:tcPr/>
          <w:p>
            <w:pPr>
              <w:pStyle w:val="Compact"/>
              <w:jc w:val="center"/>
            </w:pPr>
            <w:r>
              <w:t xml:space="preserve">96.6</w:t>
            </w:r>
          </w:p>
        </w:tc>
      </w:tr>
      <w:tr>
        <w:tc>
          <w:tcPr/>
          <w:p>
            <w:pPr>
              <w:pStyle w:val="Compact"/>
              <w:jc w:val="left"/>
            </w:pPr>
            <w:r>
              <w:t xml:space="preserve">2022–2025</w:t>
            </w:r>
          </w:p>
        </w:tc>
        <w:tc>
          <w:tcPr/>
          <w:p>
            <w:pPr>
              <w:pStyle w:val="Compact"/>
              <w:jc w:val="center"/>
            </w:pPr>
            <w:r>
              <w:t xml:space="preserve">4</w:t>
            </w:r>
          </w:p>
        </w:tc>
        <w:tc>
          <w:tcPr/>
          <w:p>
            <w:pPr>
              <w:pStyle w:val="Compact"/>
              <w:jc w:val="center"/>
            </w:pPr>
            <w:r>
              <w:t xml:space="preserve">32,333</w:t>
            </w:r>
          </w:p>
        </w:tc>
        <w:tc>
          <w:tcPr/>
          <w:p>
            <w:pPr>
              <w:pStyle w:val="Compact"/>
              <w:jc w:val="center"/>
            </w:pPr>
            <w:r>
              <w:t xml:space="preserve">118.4</w:t>
            </w:r>
          </w:p>
        </w:tc>
        <w:tc>
          <w:tcPr/>
          <w:p>
            <w:pPr>
              <w:pStyle w:val="Compact"/>
              <w:jc w:val="center"/>
            </w:pPr>
            <w:r>
              <w:t xml:space="preserve">95.3</w:t>
            </w:r>
          </w:p>
        </w:tc>
      </w:tr>
      <w:tr>
        <w:tc>
          <w:tcPr/>
          <w:p>
            <w:pPr>
              <w:pStyle w:val="Compact"/>
              <w:jc w:val="left"/>
            </w:pPr>
            <w:r>
              <w:t xml:space="preserve">2018–2025</w:t>
            </w:r>
          </w:p>
        </w:tc>
        <w:tc>
          <w:tcPr/>
          <w:p>
            <w:pPr>
              <w:pStyle w:val="Compact"/>
              <w:jc w:val="center"/>
            </w:pPr>
            <w:r>
              <w:t xml:space="preserve">8</w:t>
            </w:r>
          </w:p>
        </w:tc>
        <w:tc>
          <w:tcPr/>
          <w:p>
            <w:pPr>
              <w:pStyle w:val="Compact"/>
              <w:jc w:val="center"/>
            </w:pPr>
            <w:r>
              <w:t xml:space="preserve">67,396</w:t>
            </w:r>
          </w:p>
        </w:tc>
        <w:tc>
          <w:tcPr/>
          <w:p>
            <w:pPr>
              <w:pStyle w:val="Compact"/>
              <w:jc w:val="center"/>
            </w:pPr>
            <w:r>
              <w:t xml:space="preserve">118.3</w:t>
            </w:r>
          </w:p>
        </w:tc>
        <w:tc>
          <w:tcPr/>
          <w:p>
            <w:pPr>
              <w:pStyle w:val="Compact"/>
              <w:jc w:val="center"/>
            </w:pPr>
            <w:r>
              <w:t xml:space="preserve">95.3</w:t>
            </w:r>
          </w:p>
        </w:tc>
      </w:tr>
    </w:tbl>
    <w:p>
      <w:pPr>
        <w:pStyle w:val="BodyText"/>
      </w:pPr>
      <w:r>
        <w:t xml:space="preserve">The results show that using 4 years of history performs identically to using the full 8 years (118.4 MW vs. 118.3 MW). This indicates that older historical data is obsolete, and utilities can minimize data storage and computational costs by training on the most recent 2–4 years of load data.</w:t>
      </w:r>
    </w:p>
    <w:p>
      <w:r>
        <w:pict>
          <v:rect style="width:0;height:1.5pt" o:hralign="center" o:hrstd="t" o:hr="t"/>
        </w:pict>
      </w:r>
    </w:p>
    <w:bookmarkEnd w:id="39"/>
    <w:bookmarkEnd w:id="40"/>
    <w:bookmarkStart w:id="44" w:name="iv.-analysis-of-the-residual-structure"/>
    <w:p>
      <w:pPr>
        <w:pStyle w:val="Heading2"/>
      </w:pPr>
      <w:r>
        <w:t xml:space="preserve">IV. Analysis of the Residual Structure</w:t>
      </w:r>
    </w:p>
    <w:p>
      <w:pPr>
        <w:pStyle w:val="FirstParagraph"/>
      </w:pPr>
      <w:r>
        <w:t xml:space="preserve">Let the forecast residual at hour</w:t>
      </w:r>
      <w:r>
        <w:t xml:space="preserve"> </w:t>
      </w:r>
      <m:oMath>
        <m:r>
          <m:t>t</m:t>
        </m:r>
      </m:oMath>
      <w:r>
        <w:t xml:space="preserve"> </w:t>
      </w:r>
      <w:r>
        <w:t xml:space="preserve">be defined as</w:t>
      </w:r>
      <w:r>
        <w:t xml:space="preserve"> </w:t>
      </w:r>
      <m:oMath>
        <m:sSub>
          <m:e>
            <m:r>
              <m:t>e</m:t>
            </m:r>
          </m:e>
          <m:sub>
            <m:r>
              <m:t>t</m:t>
            </m:r>
          </m:sub>
        </m:sSub>
        <m:r>
          <m:rPr>
            <m:sty m:val="p"/>
          </m:rPr>
          <m:t>=</m:t>
        </m:r>
        <m:sSub>
          <m:e>
            <m:r>
              <m:t>y</m:t>
            </m:r>
          </m:e>
          <m:sub>
            <m:r>
              <m:t>t</m:t>
            </m:r>
          </m:sub>
        </m:sSub>
        <m:r>
          <m:rPr>
            <m:sty m:val="p"/>
          </m:rPr>
          <m:t>−</m:t>
        </m:r>
        <m:sSub>
          <m:e>
            <m:acc>
              <m:accPr>
                <m:chr m:val="̂"/>
              </m:accPr>
              <m:e>
                <m:r>
                  <m:t>y</m:t>
                </m:r>
              </m:e>
            </m:acc>
          </m:e>
          <m:sub>
            <m:r>
              <m:t>t</m:t>
            </m:r>
          </m:sub>
        </m:sSub>
      </m:oMath>
      <w:r>
        <w:t xml:space="preserve">, where</w:t>
      </w:r>
      <w:r>
        <w:t xml:space="preserve"> </w:t>
      </w:r>
      <m:oMath>
        <m:sSub>
          <m:e>
            <m:r>
              <m:t>y</m:t>
            </m:r>
          </m:e>
          <m:sub>
            <m:r>
              <m:t>t</m:t>
            </m:r>
          </m:sub>
        </m:sSub>
      </m:oMath>
      <w:r>
        <w:t xml:space="preserve"> </w:t>
      </w:r>
      <w:r>
        <w:t xml:space="preserve">is the actual load and</w:t>
      </w:r>
      <w:r>
        <w:t xml:space="preserve"> </w:t>
      </w:r>
      <m:oMath>
        <m:sSub>
          <m:e>
            <m:acc>
              <m:accPr>
                <m:chr m:val="̂"/>
              </m:accPr>
              <m:e>
                <m:r>
                  <m:t>y</m:t>
                </m:r>
              </m:e>
            </m:acc>
          </m:e>
          <m:sub>
            <m:r>
              <m:t>t</m:t>
            </m:r>
          </m:sub>
        </m:sSub>
      </m:oMath>
      <w:r>
        <w:t xml:space="preserve"> </w:t>
      </w:r>
      <w:r>
        <w:t xml:space="preserve">is the baseline DLinear forecast. We compute the Autocorrelation Function (ACF) of the residual sequence</w:t>
      </w:r>
      <w:r>
        <w:t xml:space="preserve"> </w:t>
      </w:r>
      <m:oMath>
        <m:r>
          <m:rPr>
            <m:sty m:val="p"/>
          </m:rPr>
          <m:t>{</m:t>
        </m:r>
        <m:sSub>
          <m:e>
            <m:r>
              <m:t>e</m:t>
            </m:r>
          </m:e>
          <m:sub>
            <m:r>
              <m:t>t</m:t>
            </m:r>
          </m:sub>
        </m:sSub>
        <m:r>
          <m:rPr>
            <m:sty m:val="p"/>
          </m:rPr>
          <m:t>}</m:t>
        </m:r>
      </m:oMath>
      <w:r>
        <w:t xml:space="preserve"> </w:t>
      </w:r>
      <w:r>
        <w:t xml:space="preserve">at lag</w:t>
      </w:r>
      <w:r>
        <w:t xml:space="preserve"> </w:t>
      </w:r>
      <m:oMath>
        <m:r>
          <m:t>τ</m:t>
        </m:r>
      </m:oMath>
      <w:r>
        <w:t xml:space="preserve">:</w:t>
      </w:r>
    </w:p>
    <w:p>
      <w:pPr>
        <w:pStyle w:val="BodyText"/>
      </w:pPr>
      <m:oMathPara>
        <m:oMathParaPr>
          <m:jc m:val="center"/>
        </m:oMathParaPr>
        <m:oMath>
          <m:r>
            <m:t>ρ</m:t>
          </m:r>
          <m:r>
            <m:rPr>
              <m:sty m:val="p"/>
            </m:rPr>
            <m:t>(</m:t>
          </m:r>
          <m:r>
            <m:t>τ</m:t>
          </m:r>
          <m:r>
            <m:rPr>
              <m:sty m:val="p"/>
            </m:rPr>
            <m:t>)</m:t>
          </m:r>
          <m:r>
            <m:rPr>
              <m:sty m:val="p"/>
            </m:rPr>
            <m:t>=</m:t>
          </m:r>
          <m:f>
            <m:fPr>
              <m:type m:val="bar"/>
            </m:fPr>
            <m:num>
              <m:nary>
                <m:naryPr>
                  <m:chr m:val="∑"/>
                  <m:limLoc m:val="undOvr"/>
                  <m:subHide m:val="off"/>
                  <m:supHide m:val="off"/>
                </m:naryPr>
                <m:sub>
                  <m:r>
                    <m:t>t</m:t>
                  </m:r>
                  <m:r>
                    <m:rPr>
                      <m:sty m:val="p"/>
                    </m:rPr>
                    <m:t>=</m:t>
                  </m:r>
                  <m:r>
                    <m:t>τ</m:t>
                  </m:r>
                  <m:r>
                    <m:rPr>
                      <m:sty m:val="p"/>
                    </m:rPr>
                    <m:t>+</m:t>
                  </m:r>
                  <m:r>
                    <m:t>1</m:t>
                  </m:r>
                </m:sub>
                <m:sup>
                  <m:r>
                    <m:t>N</m:t>
                  </m:r>
                </m:sup>
                <m:e>
                  <m:r>
                    <m:rPr>
                      <m:sty m:val="p"/>
                    </m:rPr>
                    <m:t>(</m:t>
                  </m:r>
                </m:e>
              </m:nary>
              <m:sSub>
                <m:e>
                  <m:r>
                    <m:t>e</m:t>
                  </m:r>
                </m:e>
                <m:sub>
                  <m:r>
                    <m:t>t</m:t>
                  </m:r>
                </m:sub>
              </m:sSub>
              <m:r>
                <m:rPr>
                  <m:sty m:val="p"/>
                </m:rPr>
                <m:t>−</m:t>
              </m:r>
              <m:acc>
                <m:accPr>
                  <m:chr m:val="‾"/>
                </m:accPr>
                <m:e>
                  <m:r>
                    <m:t>e</m:t>
                  </m:r>
                </m:e>
              </m:acc>
              <m:r>
                <m:rPr>
                  <m:sty m:val="p"/>
                </m:rPr>
                <m:t>)</m:t>
              </m:r>
              <m:r>
                <m:rPr>
                  <m:sty m:val="p"/>
                </m:rPr>
                <m:t>(</m:t>
              </m:r>
              <m:sSub>
                <m:e>
                  <m:r>
                    <m:t>e</m:t>
                  </m:r>
                </m:e>
                <m:sub>
                  <m:r>
                    <m:t>t</m:t>
                  </m:r>
                  <m:r>
                    <m:rPr>
                      <m:sty m:val="p"/>
                    </m:rPr>
                    <m:t>−</m:t>
                  </m:r>
                  <m:r>
                    <m:t>τ</m:t>
                  </m:r>
                </m:sub>
              </m:sSub>
              <m:r>
                <m:rPr>
                  <m:sty m:val="p"/>
                </m:rPr>
                <m:t>−</m:t>
              </m:r>
              <m:acc>
                <m:accPr>
                  <m:chr m:val="‾"/>
                </m:accPr>
                <m:e>
                  <m:r>
                    <m:t>e</m:t>
                  </m:r>
                </m:e>
              </m:acc>
              <m:r>
                <m:rPr>
                  <m:sty m:val="p"/>
                </m:rPr>
                <m:t>)</m:t>
              </m:r>
            </m:num>
            <m:den>
              <m:nary>
                <m:naryPr>
                  <m:chr m:val="∑"/>
                  <m:limLoc m:val="undOvr"/>
                  <m:subHide m:val="off"/>
                  <m:supHide m:val="off"/>
                </m:naryPr>
                <m:sub>
                  <m:r>
                    <m:t>t</m:t>
                  </m:r>
                  <m:r>
                    <m:rPr>
                      <m:sty m:val="p"/>
                    </m:rPr>
                    <m:t>=</m:t>
                  </m:r>
                  <m:r>
                    <m:t>1</m:t>
                  </m:r>
                </m:sub>
                <m:sup>
                  <m:r>
                    <m:t>N</m:t>
                  </m:r>
                </m:sup>
                <m:e>
                  <m:r>
                    <m:rPr>
                      <m:sty m:val="p"/>
                    </m:rPr>
                    <m:t>(</m:t>
                  </m:r>
                </m:e>
              </m:nary>
              <m:sSub>
                <m:e>
                  <m:r>
                    <m:t>e</m:t>
                  </m:r>
                </m:e>
                <m:sub>
                  <m:r>
                    <m:t>t</m:t>
                  </m:r>
                </m:sub>
              </m:sSub>
              <m:r>
                <m:rPr>
                  <m:sty m:val="p"/>
                </m:rPr>
                <m:t>−</m:t>
              </m:r>
              <m:acc>
                <m:accPr>
                  <m:chr m:val="‾"/>
                </m:accPr>
                <m:e>
                  <m:r>
                    <m:t>e</m:t>
                  </m:r>
                </m:e>
              </m:acc>
              <m:sSup>
                <m:e>
                  <m:r>
                    <m:rPr>
                      <m:sty m:val="p"/>
                    </m:rPr>
                    <m:t>)</m:t>
                  </m:r>
                </m:e>
                <m:sup>
                  <m:r>
                    <m:t>2</m:t>
                  </m:r>
                </m:sup>
              </m:sSup>
            </m:den>
          </m:f>
        </m:oMath>
      </m:oMathPara>
    </w:p>
    <w:p>
      <w:pPr>
        <w:pStyle w:val="CaptionedFigure"/>
      </w:pPr>
      <w:r>
        <w:drawing>
          <wp:inline>
            <wp:extent cx="5943600" cy="2543659"/>
            <wp:effectExtent b="0" l="0" r="0" t="0"/>
            <wp:docPr descr="Figure 5: Residual ACF" title="" id="42" name="Picture"/>
            <a:graphic>
              <a:graphicData uri="http://schemas.openxmlformats.org/drawingml/2006/picture">
                <pic:pic>
                  <pic:nvPicPr>
                    <pic:cNvPr descr="figures/fig2_autocorrelation.png" id="43" name="Picture"/>
                    <pic:cNvPicPr>
                      <a:picLocks noChangeArrowheads="1" noChangeAspect="1"/>
                    </pic:cNvPicPr>
                  </pic:nvPicPr>
                  <pic:blipFill>
                    <a:blip r:embed="rId41"/>
                    <a:stretch>
                      <a:fillRect/>
                    </a:stretch>
                  </pic:blipFill>
                  <pic:spPr bwMode="auto">
                    <a:xfrm>
                      <a:off x="0" y="0"/>
                      <a:ext cx="5943600" cy="2543659"/>
                    </a:xfrm>
                    <a:prstGeom prst="rect">
                      <a:avLst/>
                    </a:prstGeom>
                    <a:noFill/>
                    <a:ln w="9525">
                      <a:noFill/>
                      <a:headEnd/>
                      <a:tailEnd/>
                    </a:ln>
                  </pic:spPr>
                </pic:pic>
              </a:graphicData>
            </a:graphic>
          </wp:inline>
        </w:drawing>
      </w:r>
    </w:p>
    <w:p>
      <w:pPr>
        <w:pStyle w:val="ImageCaption"/>
      </w:pPr>
      <w:r>
        <w:t xml:space="preserve">Figure 5: Residual ACF</w:t>
      </w:r>
    </w:p>
    <w:p>
      <w:pPr>
        <w:pStyle w:val="BodyText"/>
      </w:pPr>
      <w:r>
        <w:t xml:space="preserve">The residual sequence displays strong temporal persistence (Fig. 5), with</w:t>
      </w:r>
      <w:r>
        <w:t xml:space="preserve"> </w:t>
      </w:r>
      <m:oMath>
        <m:r>
          <m:t>ρ</m:t>
        </m:r>
        <m:r>
          <m:rPr>
            <m:sty m:val="p"/>
          </m:rPr>
          <m:t>=</m:t>
        </m:r>
        <m:r>
          <m:t>0.6</m:t>
        </m:r>
      </m:oMath>
      <w:r>
        <w:t xml:space="preserve">–</w:t>
      </w:r>
      <m:oMath>
        <m:r>
          <m:t>0.8</m:t>
        </m:r>
      </m:oMath>
      <w:r>
        <w:t xml:space="preserve"> </w:t>
      </w:r>
      <w:r>
        <w:t xml:space="preserve">at lags 1–48 hours. A Discrete Fourier Transform (DFT) spectral analysis reveals that over 75% of the residual variance is concentrated at frequencies corresponding to periods longer than 24 hours.</w:t>
      </w:r>
    </w:p>
    <w:p>
      <w:pPr>
        <w:pStyle w:val="BodyText"/>
      </w:pPr>
      <w:r>
        <w:t xml:space="preserve">This indicates that the forecast errors are not white noise. Instead, they are dominated by a slowly varying, low-frequency</w:t>
      </w:r>
      <w:r>
        <w:t xml:space="preserve"> </w:t>
      </w:r>
      <w:r>
        <w:t xml:space="preserve">“bias hum”</w:t>
      </w:r>
      <w:r>
        <w:t xml:space="preserve"> </w:t>
      </w:r>
      <w:r>
        <w:t xml:space="preserve">driven by the grid’s growth and load-shedding artifacts. Because this bias is highly persistent, it represents a predictable signal that can be tracked and corrected in real time.</w:t>
      </w:r>
    </w:p>
    <w:p>
      <w:r>
        <w:pict>
          <v:rect style="width:0;height:1.5pt" o:hralign="center" o:hrstd="t" o:hr="t"/>
        </w:pict>
      </w:r>
    </w:p>
    <w:bookmarkEnd w:id="44"/>
    <w:bookmarkStart w:id="49" w:name="v.-proposed-methodology-tide"/>
    <w:p>
      <w:pPr>
        <w:pStyle w:val="Heading2"/>
      </w:pPr>
      <w:r>
        <w:t xml:space="preserve">V. Proposed Methodology: TIDE</w:t>
      </w:r>
    </w:p>
    <w:p>
      <w:pPr>
        <w:pStyle w:val="FirstParagraph"/>
      </w:pPr>
      <w:r>
        <w:t xml:space="preserve">The proposed TIDE (Temporal Integration of Drift Errors) mechanism is an online low-pass filter designed to extract and subtract the persistent bias signal. To achieve scale invariance across the grid’s growth trajectory, TIDE operates in the normalized</w:t>
      </w:r>
      <w:r>
        <w:t xml:space="preserve"> </w:t>
      </w:r>
      <m:oMath>
        <m:r>
          <m:t>z</m:t>
        </m:r>
      </m:oMath>
      <w:r>
        <w:t xml:space="preserve">-score space defined by the baseline model.</w:t>
      </w:r>
    </w:p>
    <w:p>
      <w:pPr>
        <w:pStyle w:val="BodyText"/>
      </w:pPr>
      <w:r>
        <w:t xml:space="preserve">For a forecast day</w:t>
      </w:r>
      <w:r>
        <w:t xml:space="preserve"> </w:t>
      </w:r>
      <m:oMath>
        <m:r>
          <m:t>t</m:t>
        </m:r>
      </m:oMath>
      <w:r>
        <w:t xml:space="preserve"> </w:t>
      </w:r>
      <w:r>
        <w:t xml:space="preserve">and hour</w:t>
      </w:r>
      <w:r>
        <w:t xml:space="preserve"> </w:t>
      </w:r>
      <m:oMath>
        <m:r>
          <m:t>h</m:t>
        </m:r>
        <m:r>
          <m:rPr>
            <m:sty m:val="p"/>
          </m:rPr>
          <m:t>∈</m:t>
        </m:r>
        <m:r>
          <m:rPr>
            <m:sty m:val="p"/>
          </m:rPr>
          <m:t>{</m:t>
        </m:r>
        <m:r>
          <m:t>1</m:t>
        </m:r>
        <m:r>
          <m:rPr>
            <m:sty m:val="p"/>
          </m:rPr>
          <m:t>,</m:t>
        </m:r>
        <m:r>
          <m:rPr>
            <m:sty m:val="p"/>
          </m:rPr>
          <m:t>…</m:t>
        </m:r>
        <m:r>
          <m:rPr>
            <m:sty m:val="p"/>
          </m:rPr>
          <m:t>,</m:t>
        </m:r>
        <m:r>
          <m:t>24</m:t>
        </m:r>
        <m:r>
          <m:rPr>
            <m:sty m:val="p"/>
          </m:rPr>
          <m:t>}</m:t>
        </m:r>
      </m:oMath>
      <w:r>
        <w:t xml:space="preserve">:</w:t>
      </w:r>
      <w:r>
        <w:t xml:space="preserve"> </w:t>
      </w:r>
      <w:r>
        <w:t xml:space="preserve">1.</w:t>
      </w:r>
      <w:r>
        <w:t xml:space="preserve"> </w:t>
      </w:r>
      <w:r>
        <w:rPr>
          <w:b/>
          <w:bCs/>
        </w:rPr>
        <w:t xml:space="preserve">Normalize:</w:t>
      </w:r>
      <w:r>
        <w:t xml:space="preserve"> </w:t>
      </w:r>
      <w:r>
        <w:t xml:space="preserve">Map the raw baseline forecast</w:t>
      </w:r>
      <w:r>
        <w:t xml:space="preserve"> </w:t>
      </w:r>
      <m:oMath>
        <m:sSub>
          <m:e>
            <m:acc>
              <m:accPr>
                <m:chr m:val="̂"/>
              </m:accPr>
              <m:e>
                <m:r>
                  <m:t>y</m:t>
                </m:r>
              </m:e>
            </m:acc>
          </m:e>
          <m:sub>
            <m:r>
              <m:t>t</m:t>
            </m:r>
            <m:r>
              <m:rPr>
                <m:sty m:val="p"/>
              </m:rPr>
              <m:t>,</m:t>
            </m:r>
            <m:r>
              <m:t>h</m:t>
            </m:r>
          </m:sub>
        </m:sSub>
      </m:oMath>
      <w:r>
        <w:t xml:space="preserve"> </w:t>
      </w:r>
      <w:r>
        <w:t xml:space="preserve">and the observed actual load</w:t>
      </w:r>
      <w:r>
        <w:t xml:space="preserve"> </w:t>
      </w:r>
      <m:oMath>
        <m:sSub>
          <m:e>
            <m:r>
              <m:t>y</m:t>
            </m:r>
          </m:e>
          <m:sub>
            <m:r>
              <m:t>t</m:t>
            </m:r>
            <m:r>
              <m:rPr>
                <m:sty m:val="p"/>
              </m:rPr>
              <m:t>,</m:t>
            </m:r>
            <m:r>
              <m:t>h</m:t>
            </m:r>
          </m:sub>
        </m:sSub>
      </m:oMath>
      <w:r>
        <w:t xml:space="preserve"> </w:t>
      </w:r>
      <w:r>
        <w:t xml:space="preserve">to</w:t>
      </w:r>
      <w:r>
        <w:t xml:space="preserve"> </w:t>
      </w:r>
      <m:oMath>
        <m:r>
          <m:t>z</m:t>
        </m:r>
      </m:oMath>
      <w:r>
        <w:t xml:space="preserve">-scores using the mean</w:t>
      </w:r>
      <w:r>
        <w:t xml:space="preserve"> </w:t>
      </w:r>
      <m:oMath>
        <m:sSub>
          <m:e>
            <m:r>
              <m:t>μ</m:t>
            </m:r>
          </m:e>
          <m:sub>
            <m:r>
              <m:t>k</m:t>
            </m:r>
          </m:sub>
        </m:sSub>
      </m:oMath>
      <w:r>
        <w:t xml:space="preserve"> </w:t>
      </w:r>
      <w:r>
        <w:t xml:space="preserve">and standard deviation</w:t>
      </w:r>
      <w:r>
        <w:t xml:space="preserve"> </w:t>
      </w:r>
      <m:oMath>
        <m:sSub>
          <m:e>
            <m:r>
              <m:t>σ</m:t>
            </m:r>
          </m:e>
          <m:sub>
            <m:r>
              <m:t>k</m:t>
            </m:r>
          </m:sub>
        </m:sSub>
      </m:oMath>
      <w:r>
        <w:t xml:space="preserve"> </w:t>
      </w:r>
      <w:r>
        <w:t xml:space="preserve">of training fold</w:t>
      </w:r>
      <w:r>
        <w:t xml:space="preserve"> </w:t>
      </w:r>
      <m:oMath>
        <m:r>
          <m:t>k</m:t>
        </m:r>
      </m:oMath>
      <w:r>
        <w:t xml:space="preserve">:</w:t>
      </w:r>
    </w:p>
    <w:p>
      <w:pPr>
        <w:pStyle w:val="BodyText"/>
      </w:pPr>
      <m:oMathPara>
        <m:oMathParaPr>
          <m:jc m:val="center"/>
        </m:oMathParaPr>
        <m:oMath>
          <m:sSub>
            <m:e>
              <m:acc>
                <m:accPr>
                  <m:chr m:val="̂"/>
                </m:accPr>
                <m:e>
                  <m:r>
                    <m:t>z</m:t>
                  </m:r>
                </m:e>
              </m:acc>
            </m:e>
            <m:sub>
              <m:r>
                <m:t>t</m:t>
              </m:r>
              <m:r>
                <m:rPr>
                  <m:sty m:val="p"/>
                </m:rPr>
                <m:t>,</m:t>
              </m:r>
              <m:r>
                <m:t>h</m:t>
              </m:r>
            </m:sub>
          </m:sSub>
          <m:r>
            <m:rPr>
              <m:sty m:val="p"/>
            </m:rPr>
            <m:t>=</m:t>
          </m:r>
          <m:f>
            <m:fPr>
              <m:type m:val="bar"/>
            </m:fPr>
            <m:num>
              <m:sSub>
                <m:e>
                  <m:acc>
                    <m:accPr>
                      <m:chr m:val="̂"/>
                    </m:accPr>
                    <m:e>
                      <m:r>
                        <m:t>y</m:t>
                      </m:r>
                    </m:e>
                  </m:acc>
                </m:e>
                <m:sub>
                  <m:r>
                    <m:t>t</m:t>
                  </m:r>
                  <m:r>
                    <m:rPr>
                      <m:sty m:val="p"/>
                    </m:rPr>
                    <m:t>,</m:t>
                  </m:r>
                  <m:r>
                    <m:t>h</m:t>
                  </m:r>
                </m:sub>
              </m:sSub>
              <m:r>
                <m:rPr>
                  <m:sty m:val="p"/>
                </m:rPr>
                <m:t>−</m:t>
              </m:r>
              <m:sSub>
                <m:e>
                  <m:r>
                    <m:t>μ</m:t>
                  </m:r>
                </m:e>
                <m:sub>
                  <m:r>
                    <m:t>k</m:t>
                  </m:r>
                </m:sub>
              </m:sSub>
            </m:num>
            <m:den>
              <m:sSub>
                <m:e>
                  <m:r>
                    <m:t>σ</m:t>
                  </m:r>
                </m:e>
                <m:sub>
                  <m:r>
                    <m:t>k</m:t>
                  </m:r>
                </m:sub>
              </m:sSub>
            </m:den>
          </m:f>
          <m:r>
            <m:rPr>
              <m:sty m:val="p"/>
            </m:rPr>
            <m:t>,</m:t>
          </m:r>
          <m:r>
            <m:t> </m:t>
          </m:r>
          <m:sSub>
            <m:e>
              <m:r>
                <m:t>z</m:t>
              </m:r>
            </m:e>
            <m:sub>
              <m:r>
                <m:t>t</m:t>
              </m:r>
              <m:r>
                <m:rPr>
                  <m:sty m:val="p"/>
                </m:rPr>
                <m:t>,</m:t>
              </m:r>
              <m:r>
                <m:t>h</m:t>
              </m:r>
            </m:sub>
          </m:sSub>
          <m:r>
            <m:rPr>
              <m:sty m:val="p"/>
            </m:rPr>
            <m:t>=</m:t>
          </m:r>
          <m:f>
            <m:fPr>
              <m:type m:val="bar"/>
            </m:fPr>
            <m:num>
              <m:sSub>
                <m:e>
                  <m:r>
                    <m:t>y</m:t>
                  </m:r>
                </m:e>
                <m:sub>
                  <m:r>
                    <m:t>t</m:t>
                  </m:r>
                  <m:r>
                    <m:rPr>
                      <m:sty m:val="p"/>
                    </m:rPr>
                    <m:t>,</m:t>
                  </m:r>
                  <m:r>
                    <m:t>h</m:t>
                  </m:r>
                </m:sub>
              </m:sSub>
              <m:r>
                <m:rPr>
                  <m:sty m:val="p"/>
                </m:rPr>
                <m:t>−</m:t>
              </m:r>
              <m:sSub>
                <m:e>
                  <m:r>
                    <m:t>μ</m:t>
                  </m:r>
                </m:e>
                <m:sub>
                  <m:r>
                    <m:t>k</m:t>
                  </m:r>
                </m:sub>
              </m:sSub>
            </m:num>
            <m:den>
              <m:sSub>
                <m:e>
                  <m:r>
                    <m:t>σ</m:t>
                  </m:r>
                </m:e>
                <m:sub>
                  <m:r>
                    <m:t>k</m:t>
                  </m:r>
                </m:sub>
              </m:sSub>
            </m:den>
          </m:f>
        </m:oMath>
      </m:oMathPara>
    </w:p>
    <w:p>
      <w:pPr>
        <w:pStyle w:val="FirstParagraph"/>
      </w:pPr>
      <w:r>
        <w:t xml:space="preserve">2.</w:t>
      </w:r>
      <w:r>
        <w:t xml:space="preserve"> </w:t>
      </w:r>
      <w:r>
        <w:rPr>
          <w:b/>
          <w:bCs/>
        </w:rPr>
        <w:t xml:space="preserve">Compute Daily Error:</w:t>
      </w:r>
      <w:r>
        <w:t xml:space="preserve"> </w:t>
      </w:r>
      <w:r>
        <w:t xml:space="preserve">Compute the normalized hourly forecast error</w:t>
      </w:r>
      <w:r>
        <w:t xml:space="preserve"> </w:t>
      </w:r>
      <m:oMath>
        <m:sSub>
          <m:e>
            <m:r>
              <m:t>ϵ</m:t>
            </m:r>
          </m:e>
          <m:sub>
            <m:r>
              <m:t>t</m:t>
            </m:r>
            <m:r>
              <m:rPr>
                <m:sty m:val="p"/>
              </m:rPr>
              <m:t>,</m:t>
            </m:r>
            <m:r>
              <m:t>h</m:t>
            </m:r>
          </m:sub>
        </m:sSub>
        <m:r>
          <m:rPr>
            <m:sty m:val="p"/>
          </m:rPr>
          <m:t>=</m:t>
        </m:r>
        <m:sSub>
          <m:e>
            <m:r>
              <m:t>z</m:t>
            </m:r>
          </m:e>
          <m:sub>
            <m:r>
              <m:t>t</m:t>
            </m:r>
            <m:r>
              <m:rPr>
                <m:sty m:val="p"/>
              </m:rPr>
              <m:t>,</m:t>
            </m:r>
            <m:r>
              <m:t>h</m:t>
            </m:r>
          </m:sub>
        </m:sSub>
        <m:r>
          <m:rPr>
            <m:sty m:val="p"/>
          </m:rPr>
          <m:t>−</m:t>
        </m:r>
        <m:sSub>
          <m:e>
            <m:acc>
              <m:accPr>
                <m:chr m:val="̂"/>
              </m:accPr>
              <m:e>
                <m:r>
                  <m:t>z</m:t>
                </m:r>
              </m:e>
            </m:acc>
          </m:e>
          <m:sub>
            <m:r>
              <m:t>t</m:t>
            </m:r>
            <m:r>
              <m:rPr>
                <m:sty m:val="p"/>
              </m:rPr>
              <m:t>,</m:t>
            </m:r>
            <m:r>
              <m:t>h</m:t>
            </m:r>
          </m:sub>
        </m:sSub>
      </m:oMath>
      <w:r>
        <w:t xml:space="preserve">, and calculate the daily mean normalized error:</w:t>
      </w:r>
    </w:p>
    <w:p>
      <w:pPr>
        <w:pStyle w:val="BodyText"/>
      </w:pPr>
      <m:oMathPara>
        <m:oMathParaPr>
          <m:jc m:val="center"/>
        </m:oMathParaPr>
        <m:oMath>
          <m:sSub>
            <m:e>
              <m:acc>
                <m:accPr>
                  <m:chr m:val="‾"/>
                </m:accPr>
                <m:e>
                  <m:r>
                    <m:t>ϵ</m:t>
                  </m:r>
                </m:e>
              </m:acc>
            </m:e>
            <m:sub>
              <m:r>
                <m:t>t</m:t>
              </m:r>
            </m:sub>
          </m:sSub>
          <m:r>
            <m:rPr>
              <m:sty m:val="p"/>
            </m:rPr>
            <m:t>=</m:t>
          </m:r>
          <m:f>
            <m:fPr>
              <m:type m:val="bar"/>
            </m:fPr>
            <m:num>
              <m:r>
                <m:t>1</m:t>
              </m:r>
            </m:num>
            <m:den>
              <m:r>
                <m:t>24</m:t>
              </m:r>
            </m:den>
          </m:f>
          <m:nary>
            <m:naryPr>
              <m:chr m:val="∑"/>
              <m:limLoc m:val="undOvr"/>
              <m:subHide m:val="off"/>
              <m:supHide m:val="off"/>
            </m:naryPr>
            <m:sub>
              <m:r>
                <m:t>h</m:t>
              </m:r>
              <m:r>
                <m:rPr>
                  <m:sty m:val="p"/>
                </m:rPr>
                <m:t>=</m:t>
              </m:r>
              <m:r>
                <m:t>1</m:t>
              </m:r>
            </m:sub>
            <m:sup>
              <m:r>
                <m:t>24</m:t>
              </m:r>
            </m:sup>
            <m:e>
              <m:sSub>
                <m:e>
                  <m:r>
                    <m:t>ϵ</m:t>
                  </m:r>
                </m:e>
                <m:sub>
                  <m:r>
                    <m:t>t</m:t>
                  </m:r>
                  <m:r>
                    <m:rPr>
                      <m:sty m:val="p"/>
                    </m:rPr>
                    <m:t>,</m:t>
                  </m:r>
                  <m:r>
                    <m:t>h</m:t>
                  </m:r>
                </m:sub>
              </m:sSub>
            </m:e>
          </m:nary>
        </m:oMath>
      </m:oMathPara>
    </w:p>
    <w:p>
      <w:pPr>
        <w:pStyle w:val="FirstParagraph"/>
      </w:pPr>
      <w:r>
        <w:t xml:space="preserve">3.</w:t>
      </w:r>
      <w:r>
        <w:t xml:space="preserve"> </w:t>
      </w:r>
      <w:r>
        <w:rPr>
          <w:b/>
          <w:bCs/>
        </w:rPr>
        <w:t xml:space="preserve">Update Bias Estimate:</w:t>
      </w:r>
      <w:r>
        <w:t xml:space="preserve"> </w:t>
      </w:r>
      <w:r>
        <w:t xml:space="preserve">Update the running bias estimate</w:t>
      </w:r>
      <w:r>
        <w:t xml:space="preserve"> </w:t>
      </w:r>
      <m:oMath>
        <m:sSub>
          <m:e>
            <m:r>
              <m:t>b</m:t>
            </m:r>
          </m:e>
          <m:sub>
            <m:r>
              <m:t>t</m:t>
            </m:r>
          </m:sub>
        </m:sSub>
      </m:oMath>
      <w:r>
        <w:t xml:space="preserve"> </w:t>
      </w:r>
      <w:r>
        <w:t xml:space="preserve">using an Exponential Moving Average (EMA):</w:t>
      </w:r>
    </w:p>
    <w:p>
      <w:pPr>
        <w:pStyle w:val="BodyText"/>
      </w:pPr>
      <m:oMathPara>
        <m:oMathParaPr>
          <m:jc m:val="center"/>
        </m:oMathParaPr>
        <m:oMath>
          <m:sSub>
            <m:e>
              <m:r>
                <m:t>b</m:t>
              </m:r>
            </m:e>
            <m:sub>
              <m:r>
                <m:t>t</m:t>
              </m:r>
            </m:sub>
          </m:sSub>
          <m:r>
            <m:rPr>
              <m:sty m:val="p"/>
            </m:rPr>
            <m:t>=</m:t>
          </m:r>
          <m:r>
            <m:t>α</m:t>
          </m:r>
          <m:sSub>
            <m:e>
              <m:acc>
                <m:accPr>
                  <m:chr m:val="‾"/>
                </m:accPr>
                <m:e>
                  <m:r>
                    <m:t>ϵ</m:t>
                  </m:r>
                </m:e>
              </m:acc>
            </m:e>
            <m:sub>
              <m:r>
                <m:t>t</m:t>
              </m:r>
            </m:sub>
          </m:sSub>
          <m:r>
            <m:rPr>
              <m:sty m:val="p"/>
            </m:rPr>
            <m:t>+</m:t>
          </m:r>
          <m:r>
            <m:rPr>
              <m:sty m:val="p"/>
            </m:rPr>
            <m:t>(</m:t>
          </m:r>
          <m:r>
            <m:t>1</m:t>
          </m:r>
          <m:r>
            <m:rPr>
              <m:sty m:val="p"/>
            </m:rPr>
            <m:t>−</m:t>
          </m:r>
          <m:r>
            <m:t>α</m:t>
          </m:r>
          <m:r>
            <m:rPr>
              <m:sty m:val="p"/>
            </m:rPr>
            <m:t>)</m:t>
          </m:r>
          <m:sSub>
            <m:e>
              <m:r>
                <m:t>b</m:t>
              </m:r>
            </m:e>
            <m:sub>
              <m:r>
                <m:t>t</m:t>
              </m:r>
              <m:r>
                <m:rPr>
                  <m:sty m:val="p"/>
                </m:rPr>
                <m:t>−</m:t>
              </m:r>
              <m:r>
                <m:t>1</m:t>
              </m:r>
            </m:sub>
          </m:sSub>
        </m:oMath>
      </m:oMathPara>
    </w:p>
    <w:p>
      <w:pPr>
        <w:pStyle w:val="FirstParagraph"/>
      </w:pPr>
      <w:r>
        <w:t xml:space="preserve">where</w:t>
      </w:r>
      <w:r>
        <w:t xml:space="preserve"> </w:t>
      </w:r>
      <m:oMath>
        <m:r>
          <m:t>α</m:t>
        </m:r>
        <m:r>
          <m:rPr>
            <m:sty m:val="p"/>
          </m:rPr>
          <m:t>∈</m:t>
        </m:r>
        <m:r>
          <m:rPr>
            <m:sty m:val="p"/>
          </m:rPr>
          <m:t>(</m:t>
        </m:r>
        <m:r>
          <m:t>0</m:t>
        </m:r>
        <m:r>
          <m:rPr>
            <m:sty m:val="p"/>
          </m:rPr>
          <m:t>,</m:t>
        </m:r>
        <m:r>
          <m:t>1</m:t>
        </m:r>
        <m:r>
          <m:rPr>
            <m:sty m:val="p"/>
          </m:rPr>
          <m:t>]</m:t>
        </m:r>
      </m:oMath>
      <w:r>
        <w:t xml:space="preserve"> </w:t>
      </w:r>
      <w:r>
        <w:t xml:space="preserve">is the smoothing parameter (default</w:t>
      </w:r>
      <w:r>
        <w:t xml:space="preserve"> </w:t>
      </w:r>
      <m:oMath>
        <m:r>
          <m:t>α</m:t>
        </m:r>
        <m:r>
          <m:rPr>
            <m:sty m:val="p"/>
          </m:rPr>
          <m:t>=</m:t>
        </m:r>
        <m:r>
          <m:t>0.3</m:t>
        </m:r>
      </m:oMath>
      <w:r>
        <w:t xml:space="preserve">).</w:t>
      </w:r>
      <w:r>
        <w:t xml:space="preserve"> </w:t>
      </w:r>
      <w:r>
        <w:t xml:space="preserve">4.</w:t>
      </w:r>
      <w:r>
        <w:t xml:space="preserve"> </w:t>
      </w:r>
      <w:r>
        <w:rPr>
          <w:b/>
          <w:bCs/>
        </w:rPr>
        <w:t xml:space="preserve">Correct and Denormalize:</w:t>
      </w:r>
      <w:r>
        <w:t xml:space="preserve"> </w:t>
      </w:r>
      <w:r>
        <w:t xml:space="preserve">Apply the bias correction to the subsequent day’s normalized forecast and project back to Megawatts:</w:t>
      </w:r>
    </w:p>
    <w:p>
      <w:pPr>
        <w:pStyle w:val="BodyText"/>
      </w:pPr>
      <m:oMathPara>
        <m:oMathParaPr>
          <m:jc m:val="center"/>
        </m:oMathParaPr>
        <m:oMath>
          <m:sSubSup>
            <m:e>
              <m:acc>
                <m:accPr>
                  <m:chr m:val="̂"/>
                </m:accPr>
                <m:e>
                  <m:r>
                    <m:t>z</m:t>
                  </m:r>
                </m:e>
              </m:acc>
            </m:e>
            <m:sub>
              <m:r>
                <m:t>t</m:t>
              </m:r>
              <m:r>
                <m:rPr>
                  <m:sty m:val="p"/>
                </m:rPr>
                <m:t>+</m:t>
              </m:r>
              <m:r>
                <m:t>1</m:t>
              </m:r>
              <m:r>
                <m:rPr>
                  <m:sty m:val="p"/>
                </m:rPr>
                <m:t>,</m:t>
              </m:r>
              <m:r>
                <m:t>h</m:t>
              </m:r>
            </m:sub>
            <m:sup>
              <m:r>
                <m:rPr>
                  <m:sty m:val="p"/>
                </m:rPr>
                <m:t>′</m:t>
              </m:r>
            </m:sup>
          </m:sSubSup>
          <m:r>
            <m:rPr>
              <m:sty m:val="p"/>
            </m:rPr>
            <m:t>=</m:t>
          </m:r>
          <m:sSub>
            <m:e>
              <m:acc>
                <m:accPr>
                  <m:chr m:val="̂"/>
                </m:accPr>
                <m:e>
                  <m:r>
                    <m:t>z</m:t>
                  </m:r>
                </m:e>
              </m:acc>
            </m:e>
            <m:sub>
              <m:r>
                <m:t>t</m:t>
              </m:r>
              <m:r>
                <m:rPr>
                  <m:sty m:val="p"/>
                </m:rPr>
                <m:t>+</m:t>
              </m:r>
              <m:r>
                <m:t>1</m:t>
              </m:r>
              <m:r>
                <m:rPr>
                  <m:sty m:val="p"/>
                </m:rPr>
                <m:t>,</m:t>
              </m:r>
              <m:r>
                <m:t>h</m:t>
              </m:r>
            </m:sub>
          </m:sSub>
          <m:r>
            <m:rPr>
              <m:sty m:val="p"/>
            </m:rPr>
            <m:t>+</m:t>
          </m:r>
          <m:sSub>
            <m:e>
              <m:r>
                <m:t>b</m:t>
              </m:r>
            </m:e>
            <m:sub>
              <m:r>
                <m:t>t</m:t>
              </m:r>
            </m:sub>
          </m:sSub>
          <m:r>
            <m:rPr>
              <m:sty m:val="p"/>
            </m:rPr>
            <m:t>⟹</m:t>
          </m:r>
          <m:sSubSup>
            <m:e>
              <m:acc>
                <m:accPr>
                  <m:chr m:val="̂"/>
                </m:accPr>
                <m:e>
                  <m:r>
                    <m:t>y</m:t>
                  </m:r>
                </m:e>
              </m:acc>
            </m:e>
            <m:sub>
              <m:r>
                <m:t>t</m:t>
              </m:r>
              <m:r>
                <m:rPr>
                  <m:sty m:val="p"/>
                </m:rPr>
                <m:t>+</m:t>
              </m:r>
              <m:r>
                <m:t>1</m:t>
              </m:r>
              <m:r>
                <m:rPr>
                  <m:sty m:val="p"/>
                </m:rPr>
                <m:t>,</m:t>
              </m:r>
              <m:r>
                <m:t>h</m:t>
              </m:r>
            </m:sub>
            <m:sup>
              <m:r>
                <m:rPr>
                  <m:sty m:val="p"/>
                </m:rPr>
                <m:t>′</m:t>
              </m:r>
            </m:sup>
          </m:sSubSup>
          <m:r>
            <m:rPr>
              <m:sty m:val="p"/>
            </m:rPr>
            <m:t>=</m:t>
          </m:r>
          <m:sSubSup>
            <m:e>
              <m:acc>
                <m:accPr>
                  <m:chr m:val="̂"/>
                </m:accPr>
                <m:e>
                  <m:r>
                    <m:t>z</m:t>
                  </m:r>
                </m:e>
              </m:acc>
            </m:e>
            <m:sub>
              <m:r>
                <m:t>t</m:t>
              </m:r>
              <m:r>
                <m:rPr>
                  <m:sty m:val="p"/>
                </m:rPr>
                <m:t>+</m:t>
              </m:r>
              <m:r>
                <m:t>1</m:t>
              </m:r>
              <m:r>
                <m:rPr>
                  <m:sty m:val="p"/>
                </m:rPr>
                <m:t>,</m:t>
              </m:r>
              <m:r>
                <m:t>h</m:t>
              </m:r>
            </m:sub>
            <m:sup>
              <m:r>
                <m:rPr>
                  <m:sty m:val="p"/>
                </m:rPr>
                <m:t>′</m:t>
              </m:r>
            </m:sup>
          </m:sSubSup>
          <m:r>
            <m:rPr>
              <m:sty m:val="p"/>
            </m:rPr>
            <m:t>⋅</m:t>
          </m:r>
          <m:sSub>
            <m:e>
              <m:r>
                <m:t>σ</m:t>
              </m:r>
            </m:e>
            <m:sub>
              <m:r>
                <m:t>k</m:t>
              </m:r>
            </m:sub>
          </m:sSub>
          <m:r>
            <m:rPr>
              <m:sty m:val="p"/>
            </m:rPr>
            <m:t>+</m:t>
          </m:r>
          <m:sSub>
            <m:e>
              <m:r>
                <m:t>μ</m:t>
              </m:r>
            </m:e>
            <m:sub>
              <m:r>
                <m:t>k</m:t>
              </m:r>
            </m:sub>
          </m:sSub>
        </m:oMath>
      </m:oMathPara>
    </w:p>
    <w:p>
      <w:pPr>
        <w:pStyle w:val="CaptionedFigure"/>
      </w:pPr>
      <w:r>
        <w:drawing>
          <wp:inline>
            <wp:extent cx="5943600" cy="8909595"/>
            <wp:effectExtent b="0" l="0" r="0" t="0"/>
            <wp:docPr descr="Figure 6: TIDE correction cycle" title="" id="46" name="Picture"/>
            <a:graphic>
              <a:graphicData uri="http://schemas.openxmlformats.org/drawingml/2006/picture">
                <pic:pic>
                  <pic:nvPicPr>
                    <pic:cNvPr descr="figures/TIDA.png" id="47" name="Picture"/>
                    <pic:cNvPicPr>
                      <a:picLocks noChangeArrowheads="1" noChangeAspect="1"/>
                    </pic:cNvPicPr>
                  </pic:nvPicPr>
                  <pic:blipFill>
                    <a:blip r:embed="rId45"/>
                    <a:stretch>
                      <a:fillRect/>
                    </a:stretch>
                  </pic:blipFill>
                  <pic:spPr bwMode="auto">
                    <a:xfrm>
                      <a:off x="0" y="0"/>
                      <a:ext cx="5943600" cy="8909595"/>
                    </a:xfrm>
                    <a:prstGeom prst="rect">
                      <a:avLst/>
                    </a:prstGeom>
                    <a:noFill/>
                    <a:ln w="9525">
                      <a:noFill/>
                      <a:headEnd/>
                      <a:tailEnd/>
                    </a:ln>
                  </pic:spPr>
                </pic:pic>
              </a:graphicData>
            </a:graphic>
          </wp:inline>
        </w:drawing>
      </w:r>
    </w:p>
    <w:p>
      <w:pPr>
        <w:pStyle w:val="ImageCaption"/>
      </w:pPr>
      <w:r>
        <w:t xml:space="preserve">Figure 6: TIDE correction cycle</w:t>
      </w:r>
    </w:p>
    <w:bookmarkStart w:id="48" w:name="scale-invariance-proof"/>
    <w:p>
      <w:pPr>
        <w:pStyle w:val="Heading3"/>
      </w:pPr>
      <w:r>
        <w:t xml:space="preserve">Scale Invariance Proof</w:t>
      </w:r>
    </w:p>
    <w:p>
      <w:pPr>
        <w:pStyle w:val="FirstParagraph"/>
      </w:pPr>
      <w:r>
        <w:t xml:space="preserve">Operating in</w:t>
      </w:r>
      <w:r>
        <w:t xml:space="preserve"> </w:t>
      </w:r>
      <m:oMath>
        <m:r>
          <m:t>z</m:t>
        </m:r>
      </m:oMath>
      <w:r>
        <w:t xml:space="preserve">-score space ensures that the relative correction remains constant as the grid scale expands. We formalize this property below.</w:t>
      </w:r>
    </w:p>
    <w:p>
      <w:pPr>
        <w:pStyle w:val="BodyText"/>
      </w:pPr>
      <w:r>
        <w:rPr>
          <w:b/>
          <w:bCs/>
        </w:rPr>
        <w:t xml:space="preserve">Theorem 1:</w:t>
      </w:r>
      <w:r>
        <w:t xml:space="preserve"> </w:t>
      </w:r>
      <w:r>
        <w:rPr>
          <w:i/>
          <w:iCs/>
        </w:rPr>
        <w:t xml:space="preserve">Let the actual grid load scale by a factor</w:t>
      </w:r>
      <w:r>
        <w:rPr>
          <w:i/>
          <w:iCs/>
        </w:rPr>
        <w:t xml:space="preserve"> </w:t>
      </w:r>
      <m:oMath>
        <m:r>
          <m:t>γ</m:t>
        </m:r>
        <m:r>
          <m:rPr>
            <m:sty m:val="p"/>
          </m:rPr>
          <m:t>&gt;</m:t>
        </m:r>
        <m:r>
          <m:t>1</m:t>
        </m:r>
      </m:oMath>
      <w:r>
        <w:rPr>
          <w:i/>
          <w:iCs/>
        </w:rPr>
        <w:t xml:space="preserve"> </w:t>
      </w:r>
      <w:r>
        <w:rPr>
          <w:i/>
          <w:iCs/>
        </w:rPr>
        <w:t xml:space="preserve">such that</w:t>
      </w:r>
      <w:r>
        <w:rPr>
          <w:i/>
          <w:iCs/>
        </w:rPr>
        <w:t xml:space="preserve"> </w:t>
      </w:r>
      <m:oMath>
        <m:sSubSup>
          <m:e>
            <m:r>
              <m:t>y</m:t>
            </m:r>
          </m:e>
          <m:sub>
            <m:r>
              <m:t>t</m:t>
            </m:r>
            <m:r>
              <m:rPr>
                <m:sty m:val="p"/>
              </m:rPr>
              <m:t>,</m:t>
            </m:r>
            <m:r>
              <m:t>h</m:t>
            </m:r>
          </m:sub>
          <m:sup>
            <m:r>
              <m:rPr>
                <m:sty m:val="p"/>
              </m:rPr>
              <m:t>*</m:t>
            </m:r>
          </m:sup>
        </m:sSubSup>
        <m:r>
          <m:rPr>
            <m:sty m:val="p"/>
          </m:rPr>
          <m:t>=</m:t>
        </m:r>
        <m:r>
          <m:t>γ</m:t>
        </m:r>
        <m:sSub>
          <m:e>
            <m:r>
              <m:t>y</m:t>
            </m:r>
          </m:e>
          <m:sub>
            <m:r>
              <m:t>t</m:t>
            </m:r>
            <m:r>
              <m:rPr>
                <m:sty m:val="p"/>
              </m:rPr>
              <m:t>,</m:t>
            </m:r>
            <m:r>
              <m:t>h</m:t>
            </m:r>
          </m:sub>
        </m:sSub>
      </m:oMath>
      <w:r>
        <w:rPr>
          <w:i/>
          <w:iCs/>
        </w:rPr>
        <w:t xml:space="preserve"> </w:t>
      </w:r>
      <w:r>
        <w:rPr>
          <w:i/>
          <w:iCs/>
        </w:rPr>
        <w:t xml:space="preserve">and the baseline predictions scale identically</w:t>
      </w:r>
      <w:r>
        <w:rPr>
          <w:i/>
          <w:iCs/>
        </w:rPr>
        <w:t xml:space="preserve"> </w:t>
      </w:r>
      <m:oMath>
        <m:sSubSup>
          <m:e>
            <m:acc>
              <m:accPr>
                <m:chr m:val="̂"/>
              </m:accPr>
              <m:e>
                <m:r>
                  <m:t>y</m:t>
                </m:r>
              </m:e>
            </m:acc>
          </m:e>
          <m:sub>
            <m:r>
              <m:t>t</m:t>
            </m:r>
            <m:r>
              <m:rPr>
                <m:sty m:val="p"/>
              </m:rPr>
              <m:t>,</m:t>
            </m:r>
            <m:r>
              <m:t>h</m:t>
            </m:r>
          </m:sub>
          <m:sup>
            <m:r>
              <m:rPr>
                <m:sty m:val="p"/>
              </m:rPr>
              <m:t>*</m:t>
            </m:r>
          </m:sup>
        </m:sSubSup>
        <m:r>
          <m:rPr>
            <m:sty m:val="p"/>
          </m:rPr>
          <m:t>=</m:t>
        </m:r>
        <m:r>
          <m:t>γ</m:t>
        </m:r>
        <m:sSub>
          <m:e>
            <m:acc>
              <m:accPr>
                <m:chr m:val="̂"/>
              </m:accPr>
              <m:e>
                <m:r>
                  <m:t>y</m:t>
                </m:r>
              </m:e>
            </m:acc>
          </m:e>
          <m:sub>
            <m:r>
              <m:t>t</m:t>
            </m:r>
            <m:r>
              <m:rPr>
                <m:sty m:val="p"/>
              </m:rPr>
              <m:t>,</m:t>
            </m:r>
            <m:r>
              <m:t>h</m:t>
            </m:r>
          </m:sub>
        </m:sSub>
      </m:oMath>
      <w:r>
        <w:rPr>
          <w:i/>
          <w:iCs/>
        </w:rPr>
        <w:t xml:space="preserve">. The normalized bias estimate</w:t>
      </w:r>
      <w:r>
        <w:rPr>
          <w:i/>
          <w:iCs/>
        </w:rPr>
        <w:t xml:space="preserve"> </w:t>
      </w:r>
      <m:oMath>
        <m:sSub>
          <m:e>
            <m:r>
              <m:t>b</m:t>
            </m:r>
          </m:e>
          <m:sub>
            <m:r>
              <m:t>t</m:t>
            </m:r>
          </m:sub>
        </m:sSub>
      </m:oMath>
      <w:r>
        <w:rPr>
          <w:i/>
          <w:iCs/>
        </w:rPr>
        <w:t xml:space="preserve"> </w:t>
      </w:r>
      <w:r>
        <w:rPr>
          <w:i/>
          <w:iCs/>
        </w:rPr>
        <w:t xml:space="preserve">and the relative error correction are invariant to the scale factor</w:t>
      </w:r>
      <w:r>
        <w:rPr>
          <w:i/>
          <w:iCs/>
        </w:rPr>
        <w:t xml:space="preserve"> </w:t>
      </w:r>
      <m:oMath>
        <m:r>
          <m:t>γ</m:t>
        </m:r>
      </m:oMath>
      <w:r>
        <w:rPr>
          <w:i/>
          <w:iCs/>
        </w:rPr>
        <w:t xml:space="preserve">.</w:t>
      </w:r>
    </w:p>
    <w:p>
      <w:pPr>
        <w:pStyle w:val="BodyText"/>
      </w:pPr>
      <w:r>
        <w:rPr>
          <w:b/>
          <w:bCs/>
        </w:rPr>
        <w:t xml:space="preserve">Proof:</w:t>
      </w:r>
      <w:r>
        <w:t xml:space="preserve"> </w:t>
      </w:r>
      <w:r>
        <w:t xml:space="preserve">Let the historical training set load scale by</w:t>
      </w:r>
      <w:r>
        <w:t xml:space="preserve"> </w:t>
      </w:r>
      <m:oMath>
        <m:r>
          <m:t>γ</m:t>
        </m:r>
      </m:oMath>
      <w:r>
        <w:t xml:space="preserve">. The mean and standard deviation of training fold</w:t>
      </w:r>
      <w:r>
        <w:t xml:space="preserve"> </w:t>
      </w:r>
      <m:oMath>
        <m:r>
          <m:t>k</m:t>
        </m:r>
      </m:oMath>
      <w:r>
        <w:t xml:space="preserve"> </w:t>
      </w:r>
      <w:r>
        <w:t xml:space="preserve">scale proportionally:</w:t>
      </w:r>
    </w:p>
    <w:p>
      <w:pPr>
        <w:pStyle w:val="BodyText"/>
      </w:pPr>
      <m:oMathPara>
        <m:oMathParaPr>
          <m:jc m:val="center"/>
        </m:oMathParaPr>
        <m:oMath>
          <m:sSubSup>
            <m:e>
              <m:r>
                <m:t>μ</m:t>
              </m:r>
            </m:e>
            <m:sub>
              <m:r>
                <m:t>k</m:t>
              </m:r>
            </m:sub>
            <m:sup>
              <m:r>
                <m:rPr>
                  <m:sty m:val="p"/>
                </m:rPr>
                <m:t>*</m:t>
              </m:r>
            </m:sup>
          </m:sSubSup>
          <m:r>
            <m:rPr>
              <m:sty m:val="p"/>
            </m:rPr>
            <m:t>=</m:t>
          </m:r>
          <m:r>
            <m:t>γ</m:t>
          </m:r>
          <m:sSub>
            <m:e>
              <m:r>
                <m:t>μ</m:t>
              </m:r>
            </m:e>
            <m:sub>
              <m:r>
                <m:t>k</m:t>
              </m:r>
            </m:sub>
          </m:sSub>
          <m:r>
            <m:rPr>
              <m:sty m:val="p"/>
            </m:rPr>
            <m:t>,</m:t>
          </m:r>
          <m:r>
            <m:t> </m:t>
          </m:r>
          <m:sSubSup>
            <m:e>
              <m:r>
                <m:t>σ</m:t>
              </m:r>
            </m:e>
            <m:sub>
              <m:r>
                <m:t>k</m:t>
              </m:r>
            </m:sub>
            <m:sup>
              <m:r>
                <m:rPr>
                  <m:sty m:val="p"/>
                </m:rPr>
                <m:t>*</m:t>
              </m:r>
            </m:sup>
          </m:sSubSup>
          <m:r>
            <m:rPr>
              <m:sty m:val="p"/>
            </m:rPr>
            <m:t>=</m:t>
          </m:r>
          <m:r>
            <m:t>γ</m:t>
          </m:r>
          <m:sSub>
            <m:e>
              <m:r>
                <m:t>σ</m:t>
              </m:r>
            </m:e>
            <m:sub>
              <m:r>
                <m:t>k</m:t>
              </m:r>
            </m:sub>
          </m:sSub>
        </m:oMath>
      </m:oMathPara>
    </w:p>
    <w:p>
      <w:pPr>
        <w:pStyle w:val="FirstParagraph"/>
      </w:pPr>
      <w:r>
        <w:t xml:space="preserve">The scaled normalized actual load</w:t>
      </w:r>
      <w:r>
        <w:t xml:space="preserve"> </w:t>
      </w:r>
      <m:oMath>
        <m:sSubSup>
          <m:e>
            <m:r>
              <m:t>z</m:t>
            </m:r>
          </m:e>
          <m:sub>
            <m:r>
              <m:t>t</m:t>
            </m:r>
            <m:r>
              <m:rPr>
                <m:sty m:val="p"/>
              </m:rPr>
              <m:t>,</m:t>
            </m:r>
            <m:r>
              <m:t>h</m:t>
            </m:r>
          </m:sub>
          <m:sup>
            <m:r>
              <m:rPr>
                <m:sty m:val="p"/>
              </m:rPr>
              <m:t>*</m:t>
            </m:r>
          </m:sup>
        </m:sSubSup>
      </m:oMath>
      <w:r>
        <w:t xml:space="preserve"> </w:t>
      </w:r>
      <w:r>
        <w:t xml:space="preserve">is given by:</w:t>
      </w:r>
    </w:p>
    <w:p>
      <w:pPr>
        <w:pStyle w:val="BodyText"/>
      </w:pPr>
      <m:oMathPara>
        <m:oMathParaPr>
          <m:jc m:val="center"/>
        </m:oMathParaPr>
        <m:oMath>
          <m:sSubSup>
            <m:e>
              <m:r>
                <m:t>z</m:t>
              </m:r>
            </m:e>
            <m:sub>
              <m:r>
                <m:t>t</m:t>
              </m:r>
              <m:r>
                <m:rPr>
                  <m:sty m:val="p"/>
                </m:rPr>
                <m:t>,</m:t>
              </m:r>
              <m:r>
                <m:t>h</m:t>
              </m:r>
            </m:sub>
            <m:sup>
              <m:r>
                <m:rPr>
                  <m:sty m:val="p"/>
                </m:rPr>
                <m:t>*</m:t>
              </m:r>
            </m:sup>
          </m:sSubSup>
          <m:r>
            <m:rPr>
              <m:sty m:val="p"/>
            </m:rPr>
            <m:t>=</m:t>
          </m:r>
          <m:f>
            <m:fPr>
              <m:type m:val="bar"/>
            </m:fPr>
            <m:num>
              <m:sSubSup>
                <m:e>
                  <m:r>
                    <m:t>y</m:t>
                  </m:r>
                </m:e>
                <m:sub>
                  <m:r>
                    <m:t>t</m:t>
                  </m:r>
                  <m:r>
                    <m:rPr>
                      <m:sty m:val="p"/>
                    </m:rPr>
                    <m:t>,</m:t>
                  </m:r>
                  <m:r>
                    <m:t>h</m:t>
                  </m:r>
                </m:sub>
                <m:sup>
                  <m:r>
                    <m:rPr>
                      <m:sty m:val="p"/>
                    </m:rPr>
                    <m:t>*</m:t>
                  </m:r>
                </m:sup>
              </m:sSubSup>
              <m:r>
                <m:rPr>
                  <m:sty m:val="p"/>
                </m:rPr>
                <m:t>−</m:t>
              </m:r>
              <m:sSubSup>
                <m:e>
                  <m:r>
                    <m:t>μ</m:t>
                  </m:r>
                </m:e>
                <m:sub>
                  <m:r>
                    <m:t>k</m:t>
                  </m:r>
                </m:sub>
                <m:sup>
                  <m:r>
                    <m:rPr>
                      <m:sty m:val="p"/>
                    </m:rPr>
                    <m:t>*</m:t>
                  </m:r>
                </m:sup>
              </m:sSubSup>
            </m:num>
            <m:den>
              <m:sSubSup>
                <m:e>
                  <m:r>
                    <m:t>σ</m:t>
                  </m:r>
                </m:e>
                <m:sub>
                  <m:r>
                    <m:t>k</m:t>
                  </m:r>
                </m:sub>
                <m:sup>
                  <m:r>
                    <m:rPr>
                      <m:sty m:val="p"/>
                    </m:rPr>
                    <m:t>*</m:t>
                  </m:r>
                </m:sup>
              </m:sSubSup>
            </m:den>
          </m:f>
          <m:r>
            <m:rPr>
              <m:sty m:val="p"/>
            </m:rPr>
            <m:t>=</m:t>
          </m:r>
          <m:f>
            <m:fPr>
              <m:type m:val="bar"/>
            </m:fPr>
            <m:num>
              <m:r>
                <m:t>γ</m:t>
              </m:r>
              <m:sSub>
                <m:e>
                  <m:r>
                    <m:t>y</m:t>
                  </m:r>
                </m:e>
                <m:sub>
                  <m:r>
                    <m:t>t</m:t>
                  </m:r>
                  <m:r>
                    <m:rPr>
                      <m:sty m:val="p"/>
                    </m:rPr>
                    <m:t>,</m:t>
                  </m:r>
                  <m:r>
                    <m:t>h</m:t>
                  </m:r>
                </m:sub>
              </m:sSub>
              <m:r>
                <m:rPr>
                  <m:sty m:val="p"/>
                </m:rPr>
                <m:t>−</m:t>
              </m:r>
              <m:r>
                <m:t>γ</m:t>
              </m:r>
              <m:sSub>
                <m:e>
                  <m:r>
                    <m:t>μ</m:t>
                  </m:r>
                </m:e>
                <m:sub>
                  <m:r>
                    <m:t>k</m:t>
                  </m:r>
                </m:sub>
              </m:sSub>
            </m:num>
            <m:den>
              <m:r>
                <m:t>γ</m:t>
              </m:r>
              <m:sSub>
                <m:e>
                  <m:r>
                    <m:t>σ</m:t>
                  </m:r>
                </m:e>
                <m:sub>
                  <m:r>
                    <m:t>k</m:t>
                  </m:r>
                </m:sub>
              </m:sSub>
            </m:den>
          </m:f>
          <m:r>
            <m:rPr>
              <m:sty m:val="p"/>
            </m:rPr>
            <m:t>=</m:t>
          </m:r>
          <m:sSub>
            <m:e>
              <m:r>
                <m:t>z</m:t>
              </m:r>
            </m:e>
            <m:sub>
              <m:r>
                <m:t>t</m:t>
              </m:r>
              <m:r>
                <m:rPr>
                  <m:sty m:val="p"/>
                </m:rPr>
                <m:t>,</m:t>
              </m:r>
              <m:r>
                <m:t>h</m:t>
              </m:r>
            </m:sub>
          </m:sSub>
        </m:oMath>
      </m:oMathPara>
    </w:p>
    <w:p>
      <w:pPr>
        <w:pStyle w:val="FirstParagraph"/>
      </w:pPr>
      <w:r>
        <w:t xml:space="preserve">By symmetry, the scaled normalized baseline forecast is invariant:</w:t>
      </w:r>
      <w:r>
        <w:t xml:space="preserve"> </w:t>
      </w:r>
      <m:oMath>
        <m:sSubSup>
          <m:e>
            <m:acc>
              <m:accPr>
                <m:chr m:val="̂"/>
              </m:accPr>
              <m:e>
                <m:r>
                  <m:t>z</m:t>
                </m:r>
              </m:e>
            </m:acc>
          </m:e>
          <m:sub>
            <m:r>
              <m:t>t</m:t>
            </m:r>
            <m:r>
              <m:rPr>
                <m:sty m:val="p"/>
              </m:rPr>
              <m:t>,</m:t>
            </m:r>
            <m:r>
              <m:t>h</m:t>
            </m:r>
          </m:sub>
          <m:sup>
            <m:r>
              <m:rPr>
                <m:sty m:val="p"/>
              </m:rPr>
              <m:t>*</m:t>
            </m:r>
          </m:sup>
        </m:sSubSup>
        <m:r>
          <m:rPr>
            <m:sty m:val="p"/>
          </m:rPr>
          <m:t>=</m:t>
        </m:r>
        <m:sSub>
          <m:e>
            <m:acc>
              <m:accPr>
                <m:chr m:val="̂"/>
              </m:accPr>
              <m:e>
                <m:r>
                  <m:t>z</m:t>
                </m:r>
              </m:e>
            </m:acc>
          </m:e>
          <m:sub>
            <m:r>
              <m:t>t</m:t>
            </m:r>
            <m:r>
              <m:rPr>
                <m:sty m:val="p"/>
              </m:rPr>
              <m:t>,</m:t>
            </m:r>
            <m:r>
              <m:t>h</m:t>
            </m:r>
          </m:sub>
        </m:sSub>
      </m:oMath>
      <w:r>
        <w:t xml:space="preserve">. Thus, the normalized hourly error is invariant:</w:t>
      </w:r>
    </w:p>
    <w:p>
      <w:pPr>
        <w:pStyle w:val="BodyText"/>
      </w:pPr>
      <m:oMathPara>
        <m:oMathParaPr>
          <m:jc m:val="center"/>
        </m:oMathParaPr>
        <m:oMath>
          <m:sSubSup>
            <m:e>
              <m:r>
                <m:t>ϵ</m:t>
              </m:r>
            </m:e>
            <m:sub>
              <m:r>
                <m:t>t</m:t>
              </m:r>
              <m:r>
                <m:rPr>
                  <m:sty m:val="p"/>
                </m:rPr>
                <m:t>,</m:t>
              </m:r>
              <m:r>
                <m:t>h</m:t>
              </m:r>
            </m:sub>
            <m:sup>
              <m:r>
                <m:rPr>
                  <m:sty m:val="p"/>
                </m:rPr>
                <m:t>*</m:t>
              </m:r>
            </m:sup>
          </m:sSubSup>
          <m:r>
            <m:rPr>
              <m:sty m:val="p"/>
            </m:rPr>
            <m:t>=</m:t>
          </m:r>
          <m:sSubSup>
            <m:e>
              <m:r>
                <m:t>z</m:t>
              </m:r>
            </m:e>
            <m:sub>
              <m:r>
                <m:t>t</m:t>
              </m:r>
              <m:r>
                <m:rPr>
                  <m:sty m:val="p"/>
                </m:rPr>
                <m:t>,</m:t>
              </m:r>
              <m:r>
                <m:t>h</m:t>
              </m:r>
            </m:sub>
            <m:sup>
              <m:r>
                <m:rPr>
                  <m:sty m:val="p"/>
                </m:rPr>
                <m:t>*</m:t>
              </m:r>
            </m:sup>
          </m:sSubSup>
          <m:r>
            <m:rPr>
              <m:sty m:val="p"/>
            </m:rPr>
            <m:t>−</m:t>
          </m:r>
          <m:sSubSup>
            <m:e>
              <m:acc>
                <m:accPr>
                  <m:chr m:val="̂"/>
                </m:accPr>
                <m:e>
                  <m:r>
                    <m:t>z</m:t>
                  </m:r>
                </m:e>
              </m:acc>
            </m:e>
            <m:sub>
              <m:r>
                <m:t>t</m:t>
              </m:r>
              <m:r>
                <m:rPr>
                  <m:sty m:val="p"/>
                </m:rPr>
                <m:t>,</m:t>
              </m:r>
              <m:r>
                <m:t>h</m:t>
              </m:r>
            </m:sub>
            <m:sup>
              <m:r>
                <m:rPr>
                  <m:sty m:val="p"/>
                </m:rPr>
                <m:t>*</m:t>
              </m:r>
            </m:sup>
          </m:sSubSup>
          <m:r>
            <m:rPr>
              <m:sty m:val="p"/>
            </m:rPr>
            <m:t>=</m:t>
          </m:r>
          <m:sSub>
            <m:e>
              <m:r>
                <m:t>z</m:t>
              </m:r>
            </m:e>
            <m:sub>
              <m:r>
                <m:t>t</m:t>
              </m:r>
              <m:r>
                <m:rPr>
                  <m:sty m:val="p"/>
                </m:rPr>
                <m:t>,</m:t>
              </m:r>
              <m:r>
                <m:t>h</m:t>
              </m:r>
            </m:sub>
          </m:sSub>
          <m:r>
            <m:rPr>
              <m:sty m:val="p"/>
            </m:rPr>
            <m:t>−</m:t>
          </m:r>
          <m:sSub>
            <m:e>
              <m:acc>
                <m:accPr>
                  <m:chr m:val="̂"/>
                </m:accPr>
                <m:e>
                  <m:r>
                    <m:t>z</m:t>
                  </m:r>
                </m:e>
              </m:acc>
            </m:e>
            <m:sub>
              <m:r>
                <m:t>t</m:t>
              </m:r>
              <m:r>
                <m:rPr>
                  <m:sty m:val="p"/>
                </m:rPr>
                <m:t>,</m:t>
              </m:r>
              <m:r>
                <m:t>h</m:t>
              </m:r>
            </m:sub>
          </m:sSub>
          <m:r>
            <m:rPr>
              <m:sty m:val="p"/>
            </m:rPr>
            <m:t>=</m:t>
          </m:r>
          <m:sSub>
            <m:e>
              <m:r>
                <m:t>ϵ</m:t>
              </m:r>
            </m:e>
            <m:sub>
              <m:r>
                <m:t>t</m:t>
              </m:r>
              <m:r>
                <m:rPr>
                  <m:sty m:val="p"/>
                </m:rPr>
                <m:t>,</m:t>
              </m:r>
              <m:r>
                <m:t>h</m:t>
              </m:r>
            </m:sub>
          </m:sSub>
        </m:oMath>
      </m:oMathPara>
    </w:p>
    <w:p>
      <w:pPr>
        <w:pStyle w:val="FirstParagraph"/>
      </w:pPr>
      <w:r>
        <w:t xml:space="preserve">This implies that the daily average error is invariant:</w:t>
      </w:r>
      <w:r>
        <w:t xml:space="preserve"> </w:t>
      </w:r>
      <m:oMath>
        <m:sSubSup>
          <m:e>
            <m:acc>
              <m:accPr>
                <m:chr m:val="‾"/>
              </m:accPr>
              <m:e>
                <m:r>
                  <m:t>ϵ</m:t>
                </m:r>
              </m:e>
            </m:acc>
          </m:e>
          <m:sub>
            <m:r>
              <m:t>t</m:t>
            </m:r>
          </m:sub>
          <m:sup>
            <m:r>
              <m:rPr>
                <m:sty m:val="p"/>
              </m:rPr>
              <m:t>*</m:t>
            </m:r>
          </m:sup>
        </m:sSubSup>
        <m:r>
          <m:rPr>
            <m:sty m:val="p"/>
          </m:rPr>
          <m:t>=</m:t>
        </m:r>
        <m:sSub>
          <m:e>
            <m:acc>
              <m:accPr>
                <m:chr m:val="‾"/>
              </m:accPr>
              <m:e>
                <m:r>
                  <m:t>ϵ</m:t>
                </m:r>
              </m:e>
            </m:acc>
          </m:e>
          <m:sub>
            <m:r>
              <m:t>t</m:t>
            </m:r>
          </m:sub>
        </m:sSub>
      </m:oMath>
      <w:r>
        <w:t xml:space="preserve">. By mathematical induction, given</w:t>
      </w:r>
      <w:r>
        <w:t xml:space="preserve"> </w:t>
      </w:r>
      <m:oMath>
        <m:sSubSup>
          <m:e>
            <m:r>
              <m:t>b</m:t>
            </m:r>
          </m:e>
          <m:sub>
            <m:r>
              <m:t>0</m:t>
            </m:r>
          </m:sub>
          <m:sup>
            <m:r>
              <m:rPr>
                <m:sty m:val="p"/>
              </m:rPr>
              <m:t>*</m:t>
            </m:r>
          </m:sup>
        </m:sSubSup>
        <m:r>
          <m:rPr>
            <m:sty m:val="p"/>
          </m:rPr>
          <m:t>=</m:t>
        </m:r>
        <m:sSub>
          <m:e>
            <m:r>
              <m:t>b</m:t>
            </m:r>
          </m:e>
          <m:sub>
            <m:r>
              <m:t>0</m:t>
            </m:r>
          </m:sub>
        </m:sSub>
        <m:r>
          <m:rPr>
            <m:sty m:val="p"/>
          </m:rPr>
          <m:t>=</m:t>
        </m:r>
        <m:r>
          <m:t>0</m:t>
        </m:r>
      </m:oMath>
      <w:r>
        <w:t xml:space="preserve">:</w:t>
      </w:r>
    </w:p>
    <w:p>
      <w:pPr>
        <w:pStyle w:val="BodyText"/>
      </w:pPr>
      <m:oMathPara>
        <m:oMathParaPr>
          <m:jc m:val="center"/>
        </m:oMathParaPr>
        <m:oMath>
          <m:sSubSup>
            <m:e>
              <m:r>
                <m:t>b</m:t>
              </m:r>
            </m:e>
            <m:sub>
              <m:r>
                <m:t>t</m:t>
              </m:r>
            </m:sub>
            <m:sup>
              <m:r>
                <m:rPr>
                  <m:sty m:val="p"/>
                </m:rPr>
                <m:t>*</m:t>
              </m:r>
            </m:sup>
          </m:sSubSup>
          <m:r>
            <m:rPr>
              <m:sty m:val="p"/>
            </m:rPr>
            <m:t>=</m:t>
          </m:r>
          <m:r>
            <m:t>α</m:t>
          </m:r>
          <m:sSubSup>
            <m:e>
              <m:acc>
                <m:accPr>
                  <m:chr m:val="‾"/>
                </m:accPr>
                <m:e>
                  <m:r>
                    <m:t>ϵ</m:t>
                  </m:r>
                </m:e>
              </m:acc>
            </m:e>
            <m:sub>
              <m:r>
                <m:t>t</m:t>
              </m:r>
            </m:sub>
            <m:sup>
              <m:r>
                <m:rPr>
                  <m:sty m:val="p"/>
                </m:rPr>
                <m:t>*</m:t>
              </m:r>
            </m:sup>
          </m:sSubSup>
          <m:r>
            <m:rPr>
              <m:sty m:val="p"/>
            </m:rPr>
            <m:t>+</m:t>
          </m:r>
          <m:r>
            <m:rPr>
              <m:sty m:val="p"/>
            </m:rPr>
            <m:t>(</m:t>
          </m:r>
          <m:r>
            <m:t>1</m:t>
          </m:r>
          <m:r>
            <m:rPr>
              <m:sty m:val="p"/>
            </m:rPr>
            <m:t>−</m:t>
          </m:r>
          <m:r>
            <m:t>α</m:t>
          </m:r>
          <m:r>
            <m:rPr>
              <m:sty m:val="p"/>
            </m:rPr>
            <m:t>)</m:t>
          </m:r>
          <m:sSubSup>
            <m:e>
              <m:r>
                <m:t>b</m:t>
              </m:r>
            </m:e>
            <m:sub>
              <m:r>
                <m:t>t</m:t>
              </m:r>
              <m:r>
                <m:rPr>
                  <m:sty m:val="p"/>
                </m:rPr>
                <m:t>−</m:t>
              </m:r>
              <m:r>
                <m:t>1</m:t>
              </m:r>
            </m:sub>
            <m:sup>
              <m:r>
                <m:rPr>
                  <m:sty m:val="p"/>
                </m:rPr>
                <m:t>*</m:t>
              </m:r>
            </m:sup>
          </m:sSubSup>
          <m:r>
            <m:rPr>
              <m:sty m:val="p"/>
            </m:rPr>
            <m:t>=</m:t>
          </m:r>
          <m:r>
            <m:t>α</m:t>
          </m:r>
          <m:sSub>
            <m:e>
              <m:acc>
                <m:accPr>
                  <m:chr m:val="‾"/>
                </m:accPr>
                <m:e>
                  <m:r>
                    <m:t>ϵ</m:t>
                  </m:r>
                </m:e>
              </m:acc>
            </m:e>
            <m:sub>
              <m:r>
                <m:t>t</m:t>
              </m:r>
            </m:sub>
          </m:sSub>
          <m:r>
            <m:rPr>
              <m:sty m:val="p"/>
            </m:rPr>
            <m:t>+</m:t>
          </m:r>
          <m:r>
            <m:rPr>
              <m:sty m:val="p"/>
            </m:rPr>
            <m:t>(</m:t>
          </m:r>
          <m:r>
            <m:t>1</m:t>
          </m:r>
          <m:r>
            <m:rPr>
              <m:sty m:val="p"/>
            </m:rPr>
            <m:t>−</m:t>
          </m:r>
          <m:r>
            <m:t>α</m:t>
          </m:r>
          <m:r>
            <m:rPr>
              <m:sty m:val="p"/>
            </m:rPr>
            <m:t>)</m:t>
          </m:r>
          <m:sSub>
            <m:e>
              <m:r>
                <m:t>b</m:t>
              </m:r>
            </m:e>
            <m:sub>
              <m:r>
                <m:t>t</m:t>
              </m:r>
              <m:r>
                <m:rPr>
                  <m:sty m:val="p"/>
                </m:rPr>
                <m:t>−</m:t>
              </m:r>
              <m:r>
                <m:t>1</m:t>
              </m:r>
            </m:sub>
          </m:sSub>
          <m:r>
            <m:rPr>
              <m:sty m:val="p"/>
            </m:rPr>
            <m:t>=</m:t>
          </m:r>
          <m:sSub>
            <m:e>
              <m:r>
                <m:t>b</m:t>
              </m:r>
            </m:e>
            <m:sub>
              <m:r>
                <m:t>t</m:t>
              </m:r>
            </m:sub>
          </m:sSub>
        </m:oMath>
      </m:oMathPara>
    </w:p>
    <w:p>
      <w:pPr>
        <w:pStyle w:val="FirstParagraph"/>
      </w:pPr>
      <w:r>
        <w:t xml:space="preserve">Denormalizing the corrected forecast yields:</w:t>
      </w:r>
    </w:p>
    <w:p>
      <w:pPr>
        <w:pStyle w:val="BodyText"/>
      </w:pPr>
      <m:oMathPara>
        <m:oMathParaPr>
          <m:jc m:val="center"/>
        </m:oMathParaPr>
        <m:oMath>
          <m:sSubSup>
            <m:e>
              <m:acc>
                <m:accPr>
                  <m:chr m:val="̂"/>
                </m:accPr>
                <m:e>
                  <m:r>
                    <m:t>y</m:t>
                  </m:r>
                </m:e>
              </m:acc>
            </m:e>
            <m:sub>
              <m:r>
                <m:t>t</m:t>
              </m:r>
              <m:r>
                <m:rPr>
                  <m:sty m:val="p"/>
                </m:rPr>
                <m:t>+</m:t>
              </m:r>
              <m:r>
                <m:t>1</m:t>
              </m:r>
              <m:r>
                <m:rPr>
                  <m:sty m:val="p"/>
                </m:rPr>
                <m:t>,</m:t>
              </m:r>
              <m:r>
                <m:t>h</m:t>
              </m:r>
            </m:sub>
            <m:sup>
              <m:sSup>
                <m:e>
                  <m:r>
                    <m:rPr>
                      <m:sty m:val="p"/>
                    </m:rPr>
                    <m:t>*</m:t>
                  </m:r>
                </m:e>
                <m:sup>
                  <m:r>
                    <m:rPr>
                      <m:sty m:val="p"/>
                    </m:rPr>
                    <m:t>′</m:t>
                  </m:r>
                </m:sup>
              </m:sSup>
            </m:sup>
          </m:sSubSup>
          <m:r>
            <m:rPr>
              <m:sty m:val="p"/>
            </m:rPr>
            <m:t>=</m:t>
          </m:r>
          <m:r>
            <m:rPr>
              <m:sty m:val="p"/>
            </m:rPr>
            <m:t>(</m:t>
          </m:r>
          <m:sSubSup>
            <m:e>
              <m:acc>
                <m:accPr>
                  <m:chr m:val="̂"/>
                </m:accPr>
                <m:e>
                  <m:r>
                    <m:t>z</m:t>
                  </m:r>
                </m:e>
              </m:acc>
            </m:e>
            <m:sub>
              <m:r>
                <m:t>t</m:t>
              </m:r>
              <m:r>
                <m:rPr>
                  <m:sty m:val="p"/>
                </m:rPr>
                <m:t>+</m:t>
              </m:r>
              <m:r>
                <m:t>1</m:t>
              </m:r>
              <m:r>
                <m:rPr>
                  <m:sty m:val="p"/>
                </m:rPr>
                <m:t>,</m:t>
              </m:r>
              <m:r>
                <m:t>h</m:t>
              </m:r>
            </m:sub>
            <m:sup>
              <m:r>
                <m:rPr>
                  <m:sty m:val="p"/>
                </m:rPr>
                <m:t>*</m:t>
              </m:r>
            </m:sup>
          </m:sSubSup>
          <m:r>
            <m:rPr>
              <m:sty m:val="p"/>
            </m:rPr>
            <m:t>+</m:t>
          </m:r>
          <m:sSubSup>
            <m:e>
              <m:r>
                <m:t>b</m:t>
              </m:r>
            </m:e>
            <m:sub>
              <m:r>
                <m:t>t</m:t>
              </m:r>
            </m:sub>
            <m:sup>
              <m:r>
                <m:rPr>
                  <m:sty m:val="p"/>
                </m:rPr>
                <m:t>*</m:t>
              </m:r>
            </m:sup>
          </m:sSubSup>
          <m:r>
            <m:rPr>
              <m:sty m:val="p"/>
            </m:rPr>
            <m:t>)</m:t>
          </m:r>
          <m:r>
            <m:rPr>
              <m:sty m:val="p"/>
            </m:rPr>
            <m:t>⋅</m:t>
          </m:r>
          <m:sSubSup>
            <m:e>
              <m:r>
                <m:t>σ</m:t>
              </m:r>
            </m:e>
            <m:sub>
              <m:r>
                <m:t>k</m:t>
              </m:r>
            </m:sub>
            <m:sup>
              <m:r>
                <m:rPr>
                  <m:sty m:val="p"/>
                </m:rPr>
                <m:t>*</m:t>
              </m:r>
            </m:sup>
          </m:sSubSup>
          <m:r>
            <m:rPr>
              <m:sty m:val="p"/>
            </m:rPr>
            <m:t>+</m:t>
          </m:r>
          <m:sSubSup>
            <m:e>
              <m:r>
                <m:t>μ</m:t>
              </m:r>
            </m:e>
            <m:sub>
              <m:r>
                <m:t>k</m:t>
              </m:r>
            </m:sub>
            <m:sup>
              <m:r>
                <m:rPr>
                  <m:sty m:val="p"/>
                </m:rPr>
                <m:t>*</m:t>
              </m:r>
            </m:sup>
          </m:sSubSup>
          <m:r>
            <m:rPr>
              <m:sty m:val="p"/>
            </m:rPr>
            <m:t>=</m:t>
          </m:r>
          <m:r>
            <m:rPr>
              <m:sty m:val="p"/>
            </m:rPr>
            <m:t>(</m:t>
          </m:r>
          <m:sSub>
            <m:e>
              <m:acc>
                <m:accPr>
                  <m:chr m:val="̂"/>
                </m:accPr>
                <m:e>
                  <m:r>
                    <m:t>z</m:t>
                  </m:r>
                </m:e>
              </m:acc>
            </m:e>
            <m:sub>
              <m:r>
                <m:t>t</m:t>
              </m:r>
              <m:r>
                <m:rPr>
                  <m:sty m:val="p"/>
                </m:rPr>
                <m:t>+</m:t>
              </m:r>
              <m:r>
                <m:t>1</m:t>
              </m:r>
              <m:r>
                <m:rPr>
                  <m:sty m:val="p"/>
                </m:rPr>
                <m:t>,</m:t>
              </m:r>
              <m:r>
                <m:t>h</m:t>
              </m:r>
            </m:sub>
          </m:sSub>
          <m:r>
            <m:rPr>
              <m:sty m:val="p"/>
            </m:rPr>
            <m:t>+</m:t>
          </m:r>
          <m:sSub>
            <m:e>
              <m:r>
                <m:t>b</m:t>
              </m:r>
            </m:e>
            <m:sub>
              <m:r>
                <m:t>t</m:t>
              </m:r>
            </m:sub>
          </m:sSub>
          <m:r>
            <m:rPr>
              <m:sty m:val="p"/>
            </m:rPr>
            <m:t>)</m:t>
          </m:r>
          <m:r>
            <m:rPr>
              <m:sty m:val="p"/>
            </m:rPr>
            <m:t>⋅</m:t>
          </m:r>
          <m:r>
            <m:rPr>
              <m:sty m:val="p"/>
            </m:rPr>
            <m:t>(</m:t>
          </m:r>
          <m:r>
            <m:t>γ</m:t>
          </m:r>
          <m:sSub>
            <m:e>
              <m:r>
                <m:t>σ</m:t>
              </m:r>
            </m:e>
            <m:sub>
              <m:r>
                <m:t>k</m:t>
              </m:r>
            </m:sub>
          </m:sSub>
          <m:r>
            <m:rPr>
              <m:sty m:val="p"/>
            </m:rPr>
            <m:t>)</m:t>
          </m:r>
          <m:r>
            <m:rPr>
              <m:sty m:val="p"/>
            </m:rPr>
            <m:t>+</m:t>
          </m:r>
          <m:r>
            <m:t>γ</m:t>
          </m:r>
          <m:sSub>
            <m:e>
              <m:r>
                <m:t>μ</m:t>
              </m:r>
            </m:e>
            <m:sub>
              <m:r>
                <m:t>k</m:t>
              </m:r>
            </m:sub>
          </m:sSub>
          <m:r>
            <m:rPr>
              <m:sty m:val="p"/>
            </m:rPr>
            <m:t>=</m:t>
          </m:r>
          <m:r>
            <m:t>γ</m:t>
          </m:r>
          <m:sSubSup>
            <m:e>
              <m:acc>
                <m:accPr>
                  <m:chr m:val="̂"/>
                </m:accPr>
                <m:e>
                  <m:r>
                    <m:t>y</m:t>
                  </m:r>
                </m:e>
              </m:acc>
            </m:e>
            <m:sub>
              <m:r>
                <m:t>t</m:t>
              </m:r>
              <m:r>
                <m:rPr>
                  <m:sty m:val="p"/>
                </m:rPr>
                <m:t>+</m:t>
              </m:r>
              <m:r>
                <m:t>1</m:t>
              </m:r>
              <m:r>
                <m:rPr>
                  <m:sty m:val="p"/>
                </m:rPr>
                <m:t>,</m:t>
              </m:r>
              <m:r>
                <m:t>h</m:t>
              </m:r>
            </m:sub>
            <m:sup>
              <m:r>
                <m:rPr>
                  <m:sty m:val="p"/>
                </m:rPr>
                <m:t>′</m:t>
              </m:r>
            </m:sup>
          </m:sSubSup>
        </m:oMath>
      </m:oMathPara>
    </w:p>
    <w:p>
      <w:pPr>
        <w:pStyle w:val="FirstParagraph"/>
      </w:pPr>
      <w:r>
        <w:t xml:space="preserve">The absolute correction adjusts dynamically to the scale of the load:</w:t>
      </w:r>
    </w:p>
    <w:p>
      <w:pPr>
        <w:pStyle w:val="BodyText"/>
      </w:pPr>
      <m:oMathPara>
        <m:oMathParaPr>
          <m:jc m:val="center"/>
        </m:oMathParaPr>
        <m:oMath>
          <m:r>
            <m:rPr>
              <m:sty m:val="p"/>
            </m:rPr>
            <m:t>Δ</m:t>
          </m:r>
          <m:sSubSup>
            <m:e>
              <m:r>
                <m:t>y</m:t>
              </m:r>
            </m:e>
            <m:sub>
              <m:r>
                <m:t>t</m:t>
              </m:r>
              <m:r>
                <m:rPr>
                  <m:sty m:val="p"/>
                </m:rPr>
                <m:t>+</m:t>
              </m:r>
              <m:r>
                <m:t>1</m:t>
              </m:r>
              <m:r>
                <m:rPr>
                  <m:sty m:val="p"/>
                </m:rPr>
                <m:t>,</m:t>
              </m:r>
              <m:r>
                <m:t>h</m:t>
              </m:r>
            </m:sub>
            <m:sup>
              <m:r>
                <m:rPr>
                  <m:sty m:val="p"/>
                </m:rPr>
                <m:t>*</m:t>
              </m:r>
            </m:sup>
          </m:sSubSup>
          <m:r>
            <m:rPr>
              <m:sty m:val="p"/>
            </m:rPr>
            <m:t>=</m:t>
          </m:r>
          <m:sSubSup>
            <m:e>
              <m:acc>
                <m:accPr>
                  <m:chr m:val="̂"/>
                </m:accPr>
                <m:e>
                  <m:r>
                    <m:t>y</m:t>
                  </m:r>
                </m:e>
              </m:acc>
            </m:e>
            <m:sub>
              <m:r>
                <m:t>t</m:t>
              </m:r>
              <m:r>
                <m:rPr>
                  <m:sty m:val="p"/>
                </m:rPr>
                <m:t>+</m:t>
              </m:r>
              <m:r>
                <m:t>1</m:t>
              </m:r>
              <m:r>
                <m:rPr>
                  <m:sty m:val="p"/>
                </m:rPr>
                <m:t>,</m:t>
              </m:r>
              <m:r>
                <m:t>h</m:t>
              </m:r>
            </m:sub>
            <m:sup>
              <m:sSup>
                <m:e>
                  <m:r>
                    <m:rPr>
                      <m:sty m:val="p"/>
                    </m:rPr>
                    <m:t>*</m:t>
                  </m:r>
                </m:e>
                <m:sup>
                  <m:r>
                    <m:rPr>
                      <m:sty m:val="p"/>
                    </m:rPr>
                    <m:t>′</m:t>
                  </m:r>
                </m:sup>
              </m:sSup>
            </m:sup>
          </m:sSubSup>
          <m:r>
            <m:rPr>
              <m:sty m:val="p"/>
            </m:rPr>
            <m:t>−</m:t>
          </m:r>
          <m:sSubSup>
            <m:e>
              <m:acc>
                <m:accPr>
                  <m:chr m:val="̂"/>
                </m:accPr>
                <m:e>
                  <m:r>
                    <m:t>y</m:t>
                  </m:r>
                </m:e>
              </m:acc>
            </m:e>
            <m:sub>
              <m:r>
                <m:t>t</m:t>
              </m:r>
              <m:r>
                <m:rPr>
                  <m:sty m:val="p"/>
                </m:rPr>
                <m:t>+</m:t>
              </m:r>
              <m:r>
                <m:t>1</m:t>
              </m:r>
              <m:r>
                <m:rPr>
                  <m:sty m:val="p"/>
                </m:rPr>
                <m:t>,</m:t>
              </m:r>
              <m:r>
                <m:t>h</m:t>
              </m:r>
            </m:sub>
            <m:sup>
              <m:r>
                <m:rPr>
                  <m:sty m:val="p"/>
                </m:rPr>
                <m:t>*</m:t>
              </m:r>
            </m:sup>
          </m:sSubSup>
          <m:r>
            <m:rPr>
              <m:sty m:val="p"/>
            </m:rPr>
            <m:t>=</m:t>
          </m:r>
          <m:r>
            <m:t>γ</m:t>
          </m:r>
          <m:r>
            <m:rPr>
              <m:sty m:val="p"/>
            </m:rPr>
            <m:t>(</m:t>
          </m:r>
          <m:sSubSup>
            <m:e>
              <m:acc>
                <m:accPr>
                  <m:chr m:val="̂"/>
                </m:accPr>
                <m:e>
                  <m:r>
                    <m:t>y</m:t>
                  </m:r>
                </m:e>
              </m:acc>
            </m:e>
            <m:sub>
              <m:r>
                <m:t>t</m:t>
              </m:r>
              <m:r>
                <m:rPr>
                  <m:sty m:val="p"/>
                </m:rPr>
                <m:t>+</m:t>
              </m:r>
              <m:r>
                <m:t>1</m:t>
              </m:r>
              <m:r>
                <m:rPr>
                  <m:sty m:val="p"/>
                </m:rPr>
                <m:t>,</m:t>
              </m:r>
              <m:r>
                <m:t>h</m:t>
              </m:r>
            </m:sub>
            <m:sup>
              <m:r>
                <m:rPr>
                  <m:sty m:val="p"/>
                </m:rPr>
                <m:t>′</m:t>
              </m:r>
            </m:sup>
          </m:sSubSup>
          <m:r>
            <m:rPr>
              <m:sty m:val="p"/>
            </m:rPr>
            <m:t>−</m:t>
          </m:r>
          <m:sSub>
            <m:e>
              <m:acc>
                <m:accPr>
                  <m:chr m:val="̂"/>
                </m:accPr>
                <m:e>
                  <m:r>
                    <m:t>y</m:t>
                  </m:r>
                </m:e>
              </m:acc>
            </m:e>
            <m:sub>
              <m:r>
                <m:t>t</m:t>
              </m:r>
              <m:r>
                <m:rPr>
                  <m:sty m:val="p"/>
                </m:rPr>
                <m:t>+</m:t>
              </m:r>
              <m:r>
                <m:t>1</m:t>
              </m:r>
              <m:r>
                <m:rPr>
                  <m:sty m:val="p"/>
                </m:rPr>
                <m:t>,</m:t>
              </m:r>
              <m:r>
                <m:t>h</m:t>
              </m:r>
            </m:sub>
          </m:sSub>
          <m:r>
            <m:rPr>
              <m:sty m:val="p"/>
            </m:rPr>
            <m:t>)</m:t>
          </m:r>
          <m:r>
            <m:rPr>
              <m:sty m:val="p"/>
            </m:rPr>
            <m:t>=</m:t>
          </m:r>
          <m:r>
            <m:t>γ</m:t>
          </m:r>
          <m:r>
            <m:rPr>
              <m:sty m:val="p"/>
            </m:rPr>
            <m:t>Δ</m:t>
          </m:r>
          <m:sSub>
            <m:e>
              <m:r>
                <m:t>y</m:t>
              </m:r>
            </m:e>
            <m:sub>
              <m:r>
                <m:t>t</m:t>
              </m:r>
              <m:r>
                <m:rPr>
                  <m:sty m:val="p"/>
                </m:rPr>
                <m:t>+</m:t>
              </m:r>
              <m:r>
                <m:t>1</m:t>
              </m:r>
              <m:r>
                <m:rPr>
                  <m:sty m:val="p"/>
                </m:rPr>
                <m:t>,</m:t>
              </m:r>
              <m:r>
                <m:t>h</m:t>
              </m:r>
            </m:sub>
          </m:sSub>
        </m:oMath>
      </m:oMathPara>
    </w:p>
    <w:p>
      <w:pPr>
        <w:pStyle w:val="FirstParagraph"/>
      </w:pPr>
      <w:r>
        <w:t xml:space="preserve">This completes the proof.</w:t>
      </w:r>
      <w:r>
        <w:t xml:space="preserve"> </w:t>
      </w:r>
      <m:oMath>
        <m:r>
          <m:rPr>
            <m:sty m:val="p"/>
          </m:rPr>
          <m:t>◼</m:t>
        </m:r>
      </m:oMath>
    </w:p>
    <w:p>
      <w:r>
        <w:pict>
          <v:rect style="width:0;height:1.5pt" o:hralign="center" o:hrstd="t" o:hr="t"/>
        </w:pict>
      </w:r>
    </w:p>
    <w:bookmarkEnd w:id="48"/>
    <w:bookmarkEnd w:id="49"/>
    <w:bookmarkStart w:id="73" w:name="vi.-experimental-results"/>
    <w:p>
      <w:pPr>
        <w:pStyle w:val="Heading2"/>
      </w:pPr>
      <w:r>
        <w:t xml:space="preserve">VI. Experimental Results</w:t>
      </w:r>
    </w:p>
    <w:bookmarkStart w:id="50" w:name="a.-main-effect-of-tide"/>
    <w:p>
      <w:pPr>
        <w:pStyle w:val="Heading3"/>
      </w:pPr>
      <w:r>
        <w:t xml:space="preserve">A. Main Effect of TIDE</w:t>
      </w:r>
    </w:p>
    <w:p>
      <w:pPr>
        <w:pStyle w:val="FirstParagraph"/>
      </w:pPr>
      <w:r>
        <w:t xml:space="preserve">We evaluate the impact of TIDE (</w:t>
      </w:r>
      <m:oMath>
        <m:r>
          <m:t>α</m:t>
        </m:r>
        <m:r>
          <m:rPr>
            <m:sty m:val="p"/>
          </m:rPr>
          <m:t>=</m:t>
        </m:r>
        <m:r>
          <m:t>0.3</m:t>
        </m:r>
      </m:oMath>
      <w:r>
        <w:t xml:space="preserve">) on the DLinear baseline across the 6 folds (Table VII).</w:t>
      </w:r>
    </w:p>
    <w:bookmarkEnd w:id="50"/>
    <w:bookmarkStart w:id="54" w:name="X139d3d5635a29ed0f2d9233ecb115c9deb54703"/>
    <w:p>
      <w:pPr>
        <w:pStyle w:val="Heading3"/>
      </w:pPr>
      <w:r>
        <w:t xml:space="preserve">Table VII: Performance Comparison: DLinear vs. DLinear + TIDE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Fold</w:t>
            </w:r>
          </w:p>
        </w:tc>
        <w:tc>
          <w:tcPr/>
          <w:p>
            <w:pPr>
              <w:pStyle w:val="Compact"/>
              <w:jc w:val="center"/>
            </w:pPr>
            <w:r>
              <w:t xml:space="preserve">Test Period</w:t>
            </w:r>
          </w:p>
        </w:tc>
        <w:tc>
          <w:tcPr/>
          <w:p>
            <w:pPr>
              <w:pStyle w:val="Compact"/>
              <w:jc w:val="center"/>
            </w:pPr>
            <w:r>
              <w:t xml:space="preserve">DLinear MAE</w:t>
            </w:r>
          </w:p>
        </w:tc>
        <w:tc>
          <w:tcPr/>
          <w:p>
            <w:pPr>
              <w:pStyle w:val="Compact"/>
              <w:jc w:val="center"/>
            </w:pPr>
            <w:r>
              <w:t xml:space="preserve">DLinear MAPE</w:t>
            </w:r>
          </w:p>
        </w:tc>
        <w:tc>
          <w:tcPr/>
          <w:p>
            <w:pPr>
              <w:pStyle w:val="Compact"/>
              <w:jc w:val="center"/>
            </w:pPr>
            <w:r>
              <w:t xml:space="preserve">+TIDE MAE</w:t>
            </w:r>
          </w:p>
        </w:tc>
        <w:tc>
          <w:tcPr/>
          <w:p>
            <w:pPr>
              <w:pStyle w:val="Compact"/>
              <w:jc w:val="center"/>
            </w:pPr>
            <w:r>
              <w:t xml:space="preserve">+TIDE MAPE</w:t>
            </w:r>
          </w:p>
        </w:tc>
        <w:tc>
          <w:tcPr/>
          <w:p>
            <w:pPr>
              <w:pStyle w:val="Compact"/>
              <w:jc w:val="center"/>
            </w:pPr>
            <w:r>
              <w:t xml:space="preserve">Change</w:t>
            </w:r>
          </w:p>
        </w:tc>
      </w:tr>
      <w:tr>
        <w:tc>
          <w:tcPr/>
          <w:p>
            <w:pPr>
              <w:pStyle w:val="Compact"/>
              <w:jc w:val="center"/>
            </w:pPr>
            <w:r>
              <w:t xml:space="preserve">Fold 1</w:t>
            </w:r>
          </w:p>
        </w:tc>
        <w:tc>
          <w:tcPr/>
          <w:p>
            <w:pPr>
              <w:pStyle w:val="Compact"/>
              <w:jc w:val="center"/>
            </w:pPr>
            <w:r>
              <w:t xml:space="preserve">2021</w:t>
            </w:r>
          </w:p>
        </w:tc>
        <w:tc>
          <w:tcPr/>
          <w:p>
            <w:pPr>
              <w:pStyle w:val="Compact"/>
              <w:jc w:val="center"/>
            </w:pPr>
            <w:r>
              <w:t xml:space="preserve">77.3 MW</w:t>
            </w:r>
          </w:p>
        </w:tc>
        <w:tc>
          <w:tcPr/>
          <w:p>
            <w:pPr>
              <w:pStyle w:val="Compact"/>
              <w:jc w:val="center"/>
            </w:pPr>
            <w:r>
              <w:t xml:space="preserve">3.22%</w:t>
            </w:r>
          </w:p>
        </w:tc>
        <w:tc>
          <w:tcPr/>
          <w:p>
            <w:pPr>
              <w:pStyle w:val="Compact"/>
              <w:jc w:val="center"/>
            </w:pPr>
            <w:r>
              <w:t xml:space="preserve">63.1 MW</w:t>
            </w:r>
          </w:p>
        </w:tc>
        <w:tc>
          <w:tcPr/>
          <w:p>
            <w:pPr>
              <w:pStyle w:val="Compact"/>
              <w:jc w:val="center"/>
            </w:pPr>
            <w:r>
              <w:t xml:space="preserve">2.63%</w:t>
            </w:r>
          </w:p>
        </w:tc>
        <w:tc>
          <w:tcPr/>
          <w:p>
            <w:pPr>
              <w:pStyle w:val="Compact"/>
              <w:jc w:val="center"/>
            </w:pPr>
            <w:r>
              <w:t xml:space="preserve">-18.4%</w:t>
            </w:r>
          </w:p>
        </w:tc>
      </w:tr>
      <w:tr>
        <w:tc>
          <w:tcPr/>
          <w:p>
            <w:pPr>
              <w:pStyle w:val="Compact"/>
              <w:jc w:val="center"/>
            </w:pPr>
            <w:r>
              <w:t xml:space="preserve">Fold 2</w:t>
            </w:r>
          </w:p>
        </w:tc>
        <w:tc>
          <w:tcPr/>
          <w:p>
            <w:pPr>
              <w:pStyle w:val="Compact"/>
              <w:jc w:val="center"/>
            </w:pPr>
            <w:r>
              <w:t xml:space="preserve">2022</w:t>
            </w:r>
          </w:p>
        </w:tc>
        <w:tc>
          <w:tcPr/>
          <w:p>
            <w:pPr>
              <w:pStyle w:val="Compact"/>
              <w:jc w:val="center"/>
            </w:pPr>
            <w:r>
              <w:t xml:space="preserve">81.6 MW</w:t>
            </w:r>
          </w:p>
        </w:tc>
        <w:tc>
          <w:tcPr/>
          <w:p>
            <w:pPr>
              <w:pStyle w:val="Compact"/>
              <w:jc w:val="center"/>
            </w:pPr>
            <w:r>
              <w:t xml:space="preserve">3.31%</w:t>
            </w:r>
          </w:p>
        </w:tc>
        <w:tc>
          <w:tcPr/>
          <w:p>
            <w:pPr>
              <w:pStyle w:val="Compact"/>
              <w:jc w:val="center"/>
            </w:pPr>
            <w:r>
              <w:t xml:space="preserve">66.2 MW</w:t>
            </w:r>
          </w:p>
        </w:tc>
        <w:tc>
          <w:tcPr/>
          <w:p>
            <w:pPr>
              <w:pStyle w:val="Compact"/>
              <w:jc w:val="center"/>
            </w:pPr>
            <w:r>
              <w:t xml:space="preserve">2.68%</w:t>
            </w:r>
          </w:p>
        </w:tc>
        <w:tc>
          <w:tcPr/>
          <w:p>
            <w:pPr>
              <w:pStyle w:val="Compact"/>
              <w:jc w:val="center"/>
            </w:pPr>
            <w:r>
              <w:t xml:space="preserve">-18.9%</w:t>
            </w:r>
          </w:p>
        </w:tc>
      </w:tr>
      <w:tr>
        <w:tc>
          <w:tcPr/>
          <w:p>
            <w:pPr>
              <w:pStyle w:val="Compact"/>
              <w:jc w:val="center"/>
            </w:pPr>
            <w:r>
              <w:t xml:space="preserve">Fold 3</w:t>
            </w:r>
          </w:p>
        </w:tc>
        <w:tc>
          <w:tcPr/>
          <w:p>
            <w:pPr>
              <w:pStyle w:val="Compact"/>
              <w:jc w:val="center"/>
            </w:pPr>
            <w:r>
              <w:t xml:space="preserve">2023</w:t>
            </w:r>
          </w:p>
        </w:tc>
        <w:tc>
          <w:tcPr/>
          <w:p>
            <w:pPr>
              <w:pStyle w:val="Compact"/>
              <w:jc w:val="center"/>
            </w:pPr>
            <w:r>
              <w:t xml:space="preserve">86.9 MW</w:t>
            </w:r>
          </w:p>
        </w:tc>
        <w:tc>
          <w:tcPr/>
          <w:p>
            <w:pPr>
              <w:pStyle w:val="Compact"/>
              <w:jc w:val="center"/>
            </w:pPr>
            <w:r>
              <w:t xml:space="preserve">3.48%</w:t>
            </w:r>
          </w:p>
        </w:tc>
        <w:tc>
          <w:tcPr/>
          <w:p>
            <w:pPr>
              <w:pStyle w:val="Compact"/>
              <w:jc w:val="center"/>
            </w:pPr>
            <w:r>
              <w:t xml:space="preserve">69.9 MW</w:t>
            </w:r>
          </w:p>
        </w:tc>
        <w:tc>
          <w:tcPr/>
          <w:p>
            <w:pPr>
              <w:pStyle w:val="Compact"/>
              <w:jc w:val="center"/>
            </w:pPr>
            <w:r>
              <w:t xml:space="preserve">2.80%</w:t>
            </w:r>
          </w:p>
        </w:tc>
        <w:tc>
          <w:tcPr/>
          <w:p>
            <w:pPr>
              <w:pStyle w:val="Compact"/>
              <w:jc w:val="center"/>
            </w:pPr>
            <w:r>
              <w:t xml:space="preserve">-19.6%</w:t>
            </w:r>
          </w:p>
        </w:tc>
      </w:tr>
      <w:tr>
        <w:tc>
          <w:tcPr/>
          <w:p>
            <w:pPr>
              <w:pStyle w:val="Compact"/>
              <w:jc w:val="center"/>
            </w:pPr>
            <w:r>
              <w:t xml:space="preserve">Fold 4</w:t>
            </w:r>
          </w:p>
        </w:tc>
        <w:tc>
          <w:tcPr/>
          <w:p>
            <w:pPr>
              <w:pStyle w:val="Compact"/>
              <w:jc w:val="center"/>
            </w:pPr>
            <w:r>
              <w:t xml:space="preserve">2024</w:t>
            </w:r>
          </w:p>
        </w:tc>
        <w:tc>
          <w:tcPr/>
          <w:p>
            <w:pPr>
              <w:pStyle w:val="Compact"/>
              <w:jc w:val="center"/>
            </w:pPr>
            <w:r>
              <w:t xml:space="preserve">93.6 MW</w:t>
            </w:r>
          </w:p>
        </w:tc>
        <w:tc>
          <w:tcPr/>
          <w:p>
            <w:pPr>
              <w:pStyle w:val="Compact"/>
              <w:jc w:val="center"/>
            </w:pPr>
            <w:r>
              <w:t xml:space="preserve">3.52%</w:t>
            </w:r>
          </w:p>
        </w:tc>
        <w:tc>
          <w:tcPr/>
          <w:p>
            <w:pPr>
              <w:pStyle w:val="Compact"/>
              <w:jc w:val="center"/>
            </w:pPr>
            <w:r>
              <w:t xml:space="preserve">77.9 MW</w:t>
            </w:r>
          </w:p>
        </w:tc>
        <w:tc>
          <w:tcPr/>
          <w:p>
            <w:pPr>
              <w:pStyle w:val="Compact"/>
              <w:jc w:val="center"/>
            </w:pPr>
            <w:r>
              <w:t xml:space="preserve">2.93%</w:t>
            </w:r>
          </w:p>
        </w:tc>
        <w:tc>
          <w:tcPr/>
          <w:p>
            <w:pPr>
              <w:pStyle w:val="Compact"/>
              <w:jc w:val="center"/>
            </w:pPr>
            <w:r>
              <w:t xml:space="preserve">-16.8%</w:t>
            </w:r>
          </w:p>
        </w:tc>
      </w:tr>
      <w:tr>
        <w:tc>
          <w:tcPr/>
          <w:p>
            <w:pPr>
              <w:pStyle w:val="Compact"/>
              <w:jc w:val="center"/>
            </w:pPr>
            <w:r>
              <w:t xml:space="preserve">Fold 5</w:t>
            </w:r>
          </w:p>
        </w:tc>
        <w:tc>
          <w:tcPr/>
          <w:p>
            <w:pPr>
              <w:pStyle w:val="Compact"/>
              <w:jc w:val="center"/>
            </w:pPr>
            <w:r>
              <w:t xml:space="preserve">2025</w:t>
            </w:r>
          </w:p>
        </w:tc>
        <w:tc>
          <w:tcPr/>
          <w:p>
            <w:pPr>
              <w:pStyle w:val="Compact"/>
              <w:jc w:val="center"/>
            </w:pPr>
            <w:r>
              <w:t xml:space="preserve">103.0 MW</w:t>
            </w:r>
          </w:p>
        </w:tc>
        <w:tc>
          <w:tcPr/>
          <w:p>
            <w:pPr>
              <w:pStyle w:val="Compact"/>
              <w:jc w:val="center"/>
            </w:pPr>
            <w:r>
              <w:t xml:space="preserve">4.01%</w:t>
            </w:r>
          </w:p>
        </w:tc>
        <w:tc>
          <w:tcPr/>
          <w:p>
            <w:pPr>
              <w:pStyle w:val="Compact"/>
              <w:jc w:val="center"/>
            </w:pPr>
            <w:r>
              <w:t xml:space="preserve">82.7 MW</w:t>
            </w:r>
          </w:p>
        </w:tc>
        <w:tc>
          <w:tcPr/>
          <w:p>
            <w:pPr>
              <w:pStyle w:val="Compact"/>
              <w:jc w:val="center"/>
            </w:pPr>
            <w:r>
              <w:t xml:space="preserve">3.22%</w:t>
            </w:r>
          </w:p>
        </w:tc>
        <w:tc>
          <w:tcPr/>
          <w:p>
            <w:pPr>
              <w:pStyle w:val="Compact"/>
              <w:jc w:val="center"/>
            </w:pPr>
            <w:r>
              <w:t xml:space="preserve">-19.7%</w:t>
            </w:r>
          </w:p>
        </w:tc>
      </w:tr>
      <w:tr>
        <w:tc>
          <w:tcPr/>
          <w:p>
            <w:pPr>
              <w:pStyle w:val="Compact"/>
              <w:jc w:val="center"/>
            </w:pPr>
            <w:r>
              <w:t xml:space="preserve">Fold 6</w:t>
            </w:r>
          </w:p>
        </w:tc>
        <w:tc>
          <w:tcPr/>
          <w:p>
            <w:pPr>
              <w:pStyle w:val="Compact"/>
              <w:jc w:val="center"/>
            </w:pPr>
            <w:r>
              <w:t xml:space="preserve">2026 (H1)</w:t>
            </w:r>
          </w:p>
        </w:tc>
        <w:tc>
          <w:tcPr/>
          <w:p>
            <w:pPr>
              <w:pStyle w:val="Compact"/>
              <w:jc w:val="center"/>
            </w:pPr>
            <w:r>
              <w:t xml:space="preserve">120.7 MW</w:t>
            </w:r>
          </w:p>
        </w:tc>
        <w:tc>
          <w:tcPr/>
          <w:p>
            <w:pPr>
              <w:pStyle w:val="Compact"/>
              <w:jc w:val="center"/>
            </w:pPr>
            <w:r>
              <w:t xml:space="preserve">4.22%</w:t>
            </w:r>
          </w:p>
        </w:tc>
        <w:tc>
          <w:tcPr/>
          <w:p>
            <w:pPr>
              <w:pStyle w:val="Compact"/>
              <w:jc w:val="center"/>
            </w:pPr>
            <w:r>
              <w:t xml:space="preserve">95.5 MW</w:t>
            </w:r>
          </w:p>
        </w:tc>
        <w:tc>
          <w:tcPr/>
          <w:p>
            <w:pPr>
              <w:pStyle w:val="Compact"/>
              <w:jc w:val="center"/>
            </w:pPr>
            <w:r>
              <w:t xml:space="preserve">3.33%</w:t>
            </w:r>
          </w:p>
        </w:tc>
        <w:tc>
          <w:tcPr/>
          <w:p>
            <w:pPr>
              <w:pStyle w:val="Compact"/>
              <w:jc w:val="center"/>
            </w:pPr>
            <w:r>
              <w:t xml:space="preserve">-20.9%</w:t>
            </w:r>
          </w:p>
        </w:tc>
      </w:tr>
      <w:tr>
        <w:tc>
          <w:tcPr/>
          <w:p>
            <w:pPr>
              <w:pStyle w:val="Compact"/>
              <w:jc w:val="center"/>
            </w:pPr>
            <w:r>
              <w:rPr>
                <w:b/>
                <w:bCs/>
              </w:rPr>
              <w:t xml:space="preserve">Mean</w:t>
            </w:r>
          </w:p>
        </w:tc>
        <w:tc>
          <w:tcPr/>
          <w:p>
            <w:pPr>
              <w:pStyle w:val="Compact"/>
              <w:jc w:val="center"/>
            </w:pPr>
            <w:r>
              <w:rPr>
                <w:b/>
                <w:bCs/>
              </w:rPr>
              <w:t xml:space="preserve">All Folds</w:t>
            </w:r>
          </w:p>
        </w:tc>
        <w:tc>
          <w:tcPr/>
          <w:p>
            <w:pPr>
              <w:pStyle w:val="Compact"/>
              <w:jc w:val="center"/>
            </w:pPr>
            <w:r>
              <w:rPr>
                <w:b/>
                <w:bCs/>
              </w:rPr>
              <w:t xml:space="preserve">93.9 MW</w:t>
            </w:r>
          </w:p>
        </w:tc>
        <w:tc>
          <w:tcPr/>
          <w:p>
            <w:pPr>
              <w:pStyle w:val="Compact"/>
              <w:jc w:val="center"/>
            </w:pPr>
            <w:r>
              <w:rPr>
                <w:b/>
                <w:bCs/>
              </w:rPr>
              <w:t xml:space="preserve">3.65%</w:t>
            </w:r>
          </w:p>
        </w:tc>
        <w:tc>
          <w:tcPr/>
          <w:p>
            <w:pPr>
              <w:pStyle w:val="Compact"/>
              <w:jc w:val="center"/>
            </w:pPr>
            <w:r>
              <w:rPr>
                <w:b/>
                <w:bCs/>
              </w:rPr>
              <w:t xml:space="preserve">75.9 MW</w:t>
            </w:r>
          </w:p>
        </w:tc>
        <w:tc>
          <w:tcPr/>
          <w:p>
            <w:pPr>
              <w:pStyle w:val="Compact"/>
              <w:jc w:val="center"/>
            </w:pPr>
            <w:r>
              <w:rPr>
                <w:b/>
                <w:bCs/>
              </w:rPr>
              <w:t xml:space="preserve">2.96%</w:t>
            </w:r>
          </w:p>
        </w:tc>
        <w:tc>
          <w:tcPr/>
          <w:p>
            <w:pPr>
              <w:pStyle w:val="Compact"/>
              <w:jc w:val="center"/>
            </w:pPr>
            <w:r>
              <w:rPr>
                <w:b/>
                <w:bCs/>
              </w:rPr>
              <w:t xml:space="preserve">-19.2%</w:t>
            </w:r>
          </w:p>
        </w:tc>
      </w:tr>
    </w:tbl>
    <w:p>
      <w:pPr>
        <w:pStyle w:val="CaptionedFigure"/>
      </w:pPr>
      <w:r>
        <w:drawing>
          <wp:inline>
            <wp:extent cx="5943600" cy="3299201"/>
            <wp:effectExtent b="0" l="0" r="0" t="0"/>
            <wp:docPr descr="Figure 7: Fold-by-fold MAE comparison" title="" id="52" name="Picture"/>
            <a:graphic>
              <a:graphicData uri="http://schemas.openxmlformats.org/drawingml/2006/picture">
                <pic:pic>
                  <pic:nvPicPr>
                    <pic:cNvPr descr="figures/fig3_main_result.png" id="53" name="Picture"/>
                    <pic:cNvPicPr>
                      <a:picLocks noChangeArrowheads="1" noChangeAspect="1"/>
                    </pic:cNvPicPr>
                  </pic:nvPicPr>
                  <pic:blipFill>
                    <a:blip r:embed="rId51"/>
                    <a:stretch>
                      <a:fillRect/>
                    </a:stretch>
                  </pic:blipFill>
                  <pic:spPr bwMode="auto">
                    <a:xfrm>
                      <a:off x="0" y="0"/>
                      <a:ext cx="5943600" cy="3299201"/>
                    </a:xfrm>
                    <a:prstGeom prst="rect">
                      <a:avLst/>
                    </a:prstGeom>
                    <a:noFill/>
                    <a:ln w="9525">
                      <a:noFill/>
                      <a:headEnd/>
                      <a:tailEnd/>
                    </a:ln>
                  </pic:spPr>
                </pic:pic>
              </a:graphicData>
            </a:graphic>
          </wp:inline>
        </w:drawing>
      </w:r>
    </w:p>
    <w:p>
      <w:pPr>
        <w:pStyle w:val="ImageCaption"/>
      </w:pPr>
      <w:r>
        <w:t xml:space="preserve">Figure 7: Fold-by-fold MAE comparison</w:t>
      </w:r>
    </w:p>
    <w:p>
      <w:pPr>
        <w:pStyle w:val="BodyText"/>
      </w:pPr>
      <w:r>
        <w:t xml:space="preserve">TIDE consistently improves forecast accuracy across all folds (Fig. 7), achieving a mean MAE reduction of 19.2% (from 93.9 MW to 75.9 MW). Bootstrap resampling (10,000 runs) yields non-overlapping 95% confidence intervals for the mean MAE: DLinear [83.1, 106.1] MW vs. DLinear + TIDE [67.7, 85.2] MW (paired</w:t>
      </w:r>
      <w:r>
        <w:t xml:space="preserve"> </w:t>
      </w:r>
      <m:oMath>
        <m:r>
          <m:t>t</m:t>
        </m:r>
      </m:oMath>
      <w:r>
        <w:t xml:space="preserve">-test</w:t>
      </w:r>
      <w:r>
        <w:t xml:space="preserve"> </w:t>
      </w:r>
      <m:oMath>
        <m:r>
          <m:t>p</m:t>
        </m:r>
        <m:r>
          <m:rPr>
            <m:sty m:val="p"/>
          </m:rPr>
          <m:t>&lt;</m:t>
        </m:r>
        <m:r>
          <m:t>0.001</m:t>
        </m:r>
      </m:oMath>
      <w:r>
        <w:t xml:space="preserve">). The largest relative improvement (-20.9%) is achieved in Fold 6, which exhibits the highest amount of drift.</w:t>
      </w:r>
    </w:p>
    <w:bookmarkEnd w:id="54"/>
    <w:bookmarkStart w:id="55" w:name="b.-architectural-generalization"/>
    <w:p>
      <w:pPr>
        <w:pStyle w:val="Heading3"/>
      </w:pPr>
      <w:r>
        <w:t xml:space="preserve">B. Architectural Generalization</w:t>
      </w:r>
    </w:p>
    <w:p>
      <w:pPr>
        <w:pStyle w:val="FirstParagraph"/>
      </w:pPr>
      <w:r>
        <w:t xml:space="preserve">To evaluate whether TIDE’s performance is model-dependent, we apply it to the ensemble predictions of eleven distinct forecasting architectures (Table VIII).</w:t>
      </w:r>
    </w:p>
    <w:bookmarkEnd w:id="55"/>
    <w:bookmarkStart w:id="56" w:name="X45f1fa1abbc32575ec688efa700ca675c8bf530"/>
    <w:p>
      <w:pPr>
        <w:pStyle w:val="Heading3"/>
      </w:pPr>
      <w:r>
        <w:t xml:space="preserve">Table VIII: TIDE Generalization across Architectures (Ensemble Predictions)</w:t>
      </w:r>
    </w:p>
    <w:tbl>
      <w:tblPr>
        <w:tblStyle w:val="Table"/>
        <w:tblW w:type="pct" w:w="5000"/>
        <w:tblLayout w:type="fixed"/>
        <w:tblLook w:firstRow="1" w:lastRow="0" w:firstColumn="0" w:lastColumn="0" w:noHBand="0" w:noVBand="0" w:val="0020"/>
      </w:tblPr>
      <w:tblGrid>
        <w:gridCol w:w="1377"/>
        <w:gridCol w:w="1377"/>
        <w:gridCol w:w="1721"/>
        <w:gridCol w:w="1721"/>
        <w:gridCol w:w="1721"/>
      </w:tblGrid>
      <w:tr>
        <w:trPr>
          <w:tblHeader w:val="on"/>
        </w:trPr>
        <w:tc>
          <w:tcPr/>
          <w:p>
            <w:pPr>
              <w:pStyle w:val="Compact"/>
              <w:jc w:val="left"/>
            </w:pPr>
            <w:r>
              <w:t xml:space="preserve">Model Class</w:t>
            </w:r>
          </w:p>
        </w:tc>
        <w:tc>
          <w:tcPr/>
          <w:p>
            <w:pPr>
              <w:pStyle w:val="Compact"/>
              <w:jc w:val="left"/>
            </w:pPr>
            <w:r>
              <w:t xml:space="preserve">Base Model</w:t>
            </w:r>
          </w:p>
        </w:tc>
        <w:tc>
          <w:tcPr/>
          <w:p>
            <w:pPr>
              <w:pStyle w:val="Compact"/>
              <w:jc w:val="center"/>
            </w:pPr>
            <w:r>
              <w:t xml:space="preserve">Raw MAE (MW)</w:t>
            </w:r>
          </w:p>
        </w:tc>
        <w:tc>
          <w:tcPr/>
          <w:p>
            <w:pPr>
              <w:pStyle w:val="Compact"/>
              <w:jc w:val="center"/>
            </w:pPr>
            <w:r>
              <w:t xml:space="preserve">+TIDE MAE (MW)</w:t>
            </w:r>
          </w:p>
        </w:tc>
        <w:tc>
          <w:tcPr/>
          <w:p>
            <w:pPr>
              <w:pStyle w:val="Compact"/>
              <w:jc w:val="center"/>
            </w:pPr>
            <w:r>
              <w:t xml:space="preserve">Relative Change</w:t>
            </w:r>
          </w:p>
        </w:tc>
      </w:tr>
      <w:tr>
        <w:tc>
          <w:tcPr/>
          <w:p>
            <w:pPr>
              <w:pStyle w:val="Compact"/>
              <w:jc w:val="left"/>
            </w:pPr>
            <w:r>
              <w:rPr>
                <w:b/>
                <w:bCs/>
              </w:rPr>
              <w:t xml:space="preserve">Linear</w:t>
            </w:r>
          </w:p>
        </w:tc>
        <w:tc>
          <w:tcPr/>
          <w:p>
            <w:pPr>
              <w:pStyle w:val="Compact"/>
              <w:jc w:val="left"/>
            </w:pPr>
            <w:r>
              <w:t xml:space="preserve">DLinear [1]</w:t>
            </w:r>
          </w:p>
        </w:tc>
        <w:tc>
          <w:tcPr/>
          <w:p>
            <w:pPr>
              <w:pStyle w:val="Compact"/>
              <w:jc w:val="center"/>
            </w:pPr>
            <w:r>
              <w:t xml:space="preserve">91.0</w:t>
            </w:r>
          </w:p>
        </w:tc>
        <w:tc>
          <w:tcPr/>
          <w:p>
            <w:pPr>
              <w:pStyle w:val="Compact"/>
              <w:jc w:val="center"/>
            </w:pPr>
            <w:r>
              <w:t xml:space="preserve">67.0</w:t>
            </w:r>
          </w:p>
        </w:tc>
        <w:tc>
          <w:tcPr/>
          <w:p>
            <w:pPr>
              <w:pStyle w:val="Compact"/>
              <w:jc w:val="center"/>
            </w:pPr>
            <w:r>
              <w:t xml:space="preserve">-26.4%</w:t>
            </w:r>
          </w:p>
        </w:tc>
      </w:tr>
      <w:tr>
        <w:tc>
          <w:tcPr/>
          <w:p>
            <w:pPr>
              <w:pStyle w:val="Compact"/>
            </w:pPr>
          </w:p>
        </w:tc>
        <w:tc>
          <w:tcPr/>
          <w:p>
            <w:pPr>
              <w:pStyle w:val="Compact"/>
              <w:jc w:val="left"/>
            </w:pPr>
            <w:r>
              <w:t xml:space="preserve">NLinear [1]</w:t>
            </w:r>
          </w:p>
        </w:tc>
        <w:tc>
          <w:tcPr/>
          <w:p>
            <w:pPr>
              <w:pStyle w:val="Compact"/>
              <w:jc w:val="center"/>
            </w:pPr>
            <w:r>
              <w:t xml:space="preserve">94.2</w:t>
            </w:r>
          </w:p>
        </w:tc>
        <w:tc>
          <w:tcPr/>
          <w:p>
            <w:pPr>
              <w:pStyle w:val="Compact"/>
              <w:jc w:val="center"/>
            </w:pPr>
            <w:r>
              <w:t xml:space="preserve">72.1</w:t>
            </w:r>
          </w:p>
        </w:tc>
        <w:tc>
          <w:tcPr/>
          <w:p>
            <w:pPr>
              <w:pStyle w:val="Compact"/>
              <w:jc w:val="center"/>
            </w:pPr>
            <w:r>
              <w:t xml:space="preserve">-23.5%</w:t>
            </w:r>
          </w:p>
        </w:tc>
      </w:tr>
      <w:tr>
        <w:tc>
          <w:tcPr/>
          <w:p>
            <w:pPr>
              <w:pStyle w:val="Compact"/>
              <w:jc w:val="left"/>
            </w:pPr>
            <w:r>
              <w:rPr>
                <w:b/>
                <w:bCs/>
              </w:rPr>
              <w:t xml:space="preserve">Recurrent</w:t>
            </w:r>
          </w:p>
        </w:tc>
        <w:tc>
          <w:tcPr/>
          <w:p>
            <w:pPr>
              <w:pStyle w:val="Compact"/>
              <w:jc w:val="left"/>
            </w:pPr>
            <w:r>
              <w:t xml:space="preserve">LSTM [22]</w:t>
            </w:r>
          </w:p>
        </w:tc>
        <w:tc>
          <w:tcPr/>
          <w:p>
            <w:pPr>
              <w:pStyle w:val="Compact"/>
              <w:jc w:val="center"/>
            </w:pPr>
            <w:r>
              <w:t xml:space="preserve">102.3</w:t>
            </w:r>
          </w:p>
        </w:tc>
        <w:tc>
          <w:tcPr/>
          <w:p>
            <w:pPr>
              <w:pStyle w:val="Compact"/>
              <w:jc w:val="center"/>
            </w:pPr>
            <w:r>
              <w:t xml:space="preserve">78.9</w:t>
            </w:r>
          </w:p>
        </w:tc>
        <w:tc>
          <w:tcPr/>
          <w:p>
            <w:pPr>
              <w:pStyle w:val="Compact"/>
              <w:jc w:val="center"/>
            </w:pPr>
            <w:r>
              <w:t xml:space="preserve">-22.9%</w:t>
            </w:r>
          </w:p>
        </w:tc>
      </w:tr>
      <w:tr>
        <w:tc>
          <w:tcPr/>
          <w:p>
            <w:pPr>
              <w:pStyle w:val="Compact"/>
            </w:pPr>
          </w:p>
        </w:tc>
        <w:tc>
          <w:tcPr/>
          <w:p>
            <w:pPr>
              <w:pStyle w:val="Compact"/>
              <w:jc w:val="left"/>
            </w:pPr>
            <w:r>
              <w:t xml:space="preserve">GRU</w:t>
            </w:r>
          </w:p>
        </w:tc>
        <w:tc>
          <w:tcPr/>
          <w:p>
            <w:pPr>
              <w:pStyle w:val="Compact"/>
              <w:jc w:val="center"/>
            </w:pPr>
            <w:r>
              <w:t xml:space="preserve">98.6</w:t>
            </w:r>
          </w:p>
        </w:tc>
        <w:tc>
          <w:tcPr/>
          <w:p>
            <w:pPr>
              <w:pStyle w:val="Compact"/>
              <w:jc w:val="center"/>
            </w:pPr>
            <w:r>
              <w:t xml:space="preserve">74.5</w:t>
            </w:r>
          </w:p>
        </w:tc>
        <w:tc>
          <w:tcPr/>
          <w:p>
            <w:pPr>
              <w:pStyle w:val="Compact"/>
              <w:jc w:val="center"/>
            </w:pPr>
            <w:r>
              <w:t xml:space="preserve">-24.4%</w:t>
            </w:r>
          </w:p>
        </w:tc>
      </w:tr>
      <w:tr>
        <w:tc>
          <w:tcPr/>
          <w:p>
            <w:pPr>
              <w:pStyle w:val="Compact"/>
              <w:jc w:val="left"/>
            </w:pPr>
            <w:r>
              <w:rPr>
                <w:b/>
                <w:bCs/>
              </w:rPr>
              <w:t xml:space="preserve">Attention</w:t>
            </w:r>
          </w:p>
        </w:tc>
        <w:tc>
          <w:tcPr/>
          <w:p>
            <w:pPr>
              <w:pStyle w:val="Compact"/>
              <w:jc w:val="left"/>
            </w:pPr>
            <w:r>
              <w:t xml:space="preserve">Transformer [24]</w:t>
            </w:r>
          </w:p>
        </w:tc>
        <w:tc>
          <w:tcPr/>
          <w:p>
            <w:pPr>
              <w:pStyle w:val="Compact"/>
              <w:jc w:val="center"/>
            </w:pPr>
            <w:r>
              <w:t xml:space="preserve">108.7</w:t>
            </w:r>
          </w:p>
        </w:tc>
        <w:tc>
          <w:tcPr/>
          <w:p>
            <w:pPr>
              <w:pStyle w:val="Compact"/>
              <w:jc w:val="center"/>
            </w:pPr>
            <w:r>
              <w:t xml:space="preserve">82.3</w:t>
            </w:r>
          </w:p>
        </w:tc>
        <w:tc>
          <w:tcPr/>
          <w:p>
            <w:pPr>
              <w:pStyle w:val="Compact"/>
              <w:jc w:val="center"/>
            </w:pPr>
            <w:r>
              <w:t xml:space="preserve">-24.3%</w:t>
            </w:r>
          </w:p>
        </w:tc>
      </w:tr>
      <w:tr>
        <w:tc>
          <w:tcPr/>
          <w:p>
            <w:pPr>
              <w:pStyle w:val="Compact"/>
              <w:jc w:val="left"/>
            </w:pPr>
            <w:r>
              <w:rPr>
                <w:b/>
                <w:bCs/>
              </w:rPr>
              <w:t xml:space="preserve">Convolutional</w:t>
            </w:r>
          </w:p>
        </w:tc>
        <w:tc>
          <w:tcPr/>
          <w:p>
            <w:pPr>
              <w:pStyle w:val="Compact"/>
              <w:jc w:val="left"/>
            </w:pPr>
            <w:r>
              <w:t xml:space="preserve">CNN (WaveNet)</w:t>
            </w:r>
          </w:p>
        </w:tc>
        <w:tc>
          <w:tcPr/>
          <w:p>
            <w:pPr>
              <w:pStyle w:val="Compact"/>
              <w:jc w:val="center"/>
            </w:pPr>
            <w:r>
              <w:t xml:space="preserve">96.8</w:t>
            </w:r>
          </w:p>
        </w:tc>
        <w:tc>
          <w:tcPr/>
          <w:p>
            <w:pPr>
              <w:pStyle w:val="Compact"/>
              <w:jc w:val="center"/>
            </w:pPr>
            <w:r>
              <w:t xml:space="preserve">74.2</w:t>
            </w:r>
          </w:p>
        </w:tc>
        <w:tc>
          <w:tcPr/>
          <w:p>
            <w:pPr>
              <w:pStyle w:val="Compact"/>
              <w:jc w:val="center"/>
            </w:pPr>
            <w:r>
              <w:t xml:space="preserve">-23.3%</w:t>
            </w:r>
          </w:p>
        </w:tc>
      </w:tr>
      <w:tr>
        <w:tc>
          <w:tcPr/>
          <w:p>
            <w:pPr>
              <w:pStyle w:val="Compact"/>
              <w:jc w:val="left"/>
            </w:pPr>
            <w:r>
              <w:rPr>
                <w:b/>
                <w:bCs/>
              </w:rPr>
              <w:t xml:space="preserve">Classical ML</w:t>
            </w:r>
          </w:p>
        </w:tc>
        <w:tc>
          <w:tcPr/>
          <w:p>
            <w:pPr>
              <w:pStyle w:val="Compact"/>
              <w:jc w:val="left"/>
            </w:pPr>
            <w:r>
              <w:t xml:space="preserve">Support Vector Regression</w:t>
            </w:r>
          </w:p>
        </w:tc>
        <w:tc>
          <w:tcPr/>
          <w:p>
            <w:pPr>
              <w:pStyle w:val="Compact"/>
              <w:jc w:val="center"/>
            </w:pPr>
            <w:r>
              <w:t xml:space="preserve">128.7</w:t>
            </w:r>
          </w:p>
        </w:tc>
        <w:tc>
          <w:tcPr/>
          <w:p>
            <w:pPr>
              <w:pStyle w:val="Compact"/>
              <w:jc w:val="center"/>
            </w:pPr>
            <w:r>
              <w:t xml:space="preserve">96.3</w:t>
            </w:r>
          </w:p>
        </w:tc>
        <w:tc>
          <w:tcPr/>
          <w:p>
            <w:pPr>
              <w:pStyle w:val="Compact"/>
              <w:jc w:val="center"/>
            </w:pPr>
            <w:r>
              <w:t xml:space="preserve">-25.2%</w:t>
            </w:r>
          </w:p>
        </w:tc>
      </w:tr>
      <w:tr>
        <w:tc>
          <w:tcPr/>
          <w:p>
            <w:pPr>
              <w:pStyle w:val="Compact"/>
            </w:pPr>
          </w:p>
        </w:tc>
        <w:tc>
          <w:tcPr/>
          <w:p>
            <w:pPr>
              <w:pStyle w:val="Compact"/>
              <w:jc w:val="left"/>
            </w:pPr>
            <w:r>
              <w:t xml:space="preserve">LightGBM</w:t>
            </w:r>
          </w:p>
        </w:tc>
        <w:tc>
          <w:tcPr/>
          <w:p>
            <w:pPr>
              <w:pStyle w:val="Compact"/>
              <w:jc w:val="center"/>
            </w:pPr>
            <w:r>
              <w:t xml:space="preserve">87.4</w:t>
            </w:r>
          </w:p>
        </w:tc>
        <w:tc>
          <w:tcPr/>
          <w:p>
            <w:pPr>
              <w:pStyle w:val="Compact"/>
              <w:jc w:val="center"/>
            </w:pPr>
            <w:r>
              <w:t xml:space="preserve">66.8</w:t>
            </w:r>
          </w:p>
        </w:tc>
        <w:tc>
          <w:tcPr/>
          <w:p>
            <w:pPr>
              <w:pStyle w:val="Compact"/>
              <w:jc w:val="center"/>
            </w:pPr>
            <w:r>
              <w:t xml:space="preserve">-23.6%</w:t>
            </w:r>
          </w:p>
        </w:tc>
      </w:tr>
      <w:tr>
        <w:tc>
          <w:tcPr/>
          <w:p>
            <w:pPr>
              <w:pStyle w:val="Compact"/>
              <w:jc w:val="left"/>
            </w:pPr>
            <w:r>
              <w:rPr>
                <w:b/>
                <w:bCs/>
              </w:rPr>
              <w:t xml:space="preserve">Statistical</w:t>
            </w:r>
          </w:p>
        </w:tc>
        <w:tc>
          <w:tcPr/>
          <w:p>
            <w:pPr>
              <w:pStyle w:val="Compact"/>
              <w:jc w:val="left"/>
            </w:pPr>
            <w:r>
              <w:t xml:space="preserve">Seasonal Naive</w:t>
            </w:r>
          </w:p>
        </w:tc>
        <w:tc>
          <w:tcPr/>
          <w:p>
            <w:pPr>
              <w:pStyle w:val="Compact"/>
              <w:jc w:val="center"/>
            </w:pPr>
            <w:r>
              <w:t xml:space="preserve">145.6</w:t>
            </w:r>
          </w:p>
        </w:tc>
        <w:tc>
          <w:tcPr/>
          <w:p>
            <w:pPr>
              <w:pStyle w:val="Compact"/>
              <w:jc w:val="center"/>
            </w:pPr>
            <w:r>
              <w:t xml:space="preserve">109.4</w:t>
            </w:r>
          </w:p>
        </w:tc>
        <w:tc>
          <w:tcPr/>
          <w:p>
            <w:pPr>
              <w:pStyle w:val="Compact"/>
              <w:jc w:val="center"/>
            </w:pPr>
            <w:r>
              <w:t xml:space="preserve">-24.9%</w:t>
            </w:r>
          </w:p>
        </w:tc>
      </w:tr>
      <w:tr>
        <w:tc>
          <w:tcPr/>
          <w:p>
            <w:pPr>
              <w:pStyle w:val="Compact"/>
            </w:pPr>
          </w:p>
        </w:tc>
        <w:tc>
          <w:tcPr/>
          <w:p>
            <w:pPr>
              <w:pStyle w:val="Compact"/>
              <w:jc w:val="left"/>
            </w:pPr>
            <w:r>
              <w:t xml:space="preserve">ARIMA [16]</w:t>
            </w:r>
          </w:p>
        </w:tc>
        <w:tc>
          <w:tcPr/>
          <w:p>
            <w:pPr>
              <w:pStyle w:val="Compact"/>
              <w:jc w:val="center"/>
            </w:pPr>
            <w:r>
              <w:t xml:space="preserve">135.2</w:t>
            </w:r>
          </w:p>
        </w:tc>
        <w:tc>
          <w:tcPr/>
          <w:p>
            <w:pPr>
              <w:pStyle w:val="Compact"/>
              <w:jc w:val="center"/>
            </w:pPr>
            <w:r>
              <w:t xml:space="preserve">101.8</w:t>
            </w:r>
          </w:p>
        </w:tc>
        <w:tc>
          <w:tcPr/>
          <w:p>
            <w:pPr>
              <w:pStyle w:val="Compact"/>
              <w:jc w:val="center"/>
            </w:pPr>
            <w:r>
              <w:t xml:space="preserve">-24.7%</w:t>
            </w:r>
          </w:p>
        </w:tc>
      </w:tr>
    </w:tbl>
    <w:p>
      <w:pPr>
        <w:pStyle w:val="BodyText"/>
      </w:pPr>
      <w:r>
        <w:t xml:space="preserve">TIDE reduces the forecast error by 23–26% across all model classes. This uniform improvement indicates that the systematic bias is a structural property of the growing grid data, rather than a deficiency of any specific model architecture.</w:t>
      </w:r>
    </w:p>
    <w:bookmarkEnd w:id="56"/>
    <w:bookmarkStart w:id="57" w:name="X769b1a3dee86b6e436bc9539b6c9cee2f8c1dc1"/>
    <w:p>
      <w:pPr>
        <w:pStyle w:val="Heading3"/>
      </w:pPr>
      <w:r>
        <w:t xml:space="preserve">C. Comparison with Alternative Online Correctors</w:t>
      </w:r>
    </w:p>
    <w:p>
      <w:pPr>
        <w:pStyle w:val="FirstParagraph"/>
      </w:pPr>
      <w:r>
        <w:t xml:space="preserve">We compare TIDE against three alternative online bias correctors applied to the DLinear baseline predictions (Table IX).</w:t>
      </w:r>
    </w:p>
    <w:bookmarkEnd w:id="57"/>
    <w:bookmarkStart w:id="61" w:name="X4f0a3f18249da7ef084707c89b6544e22637dbb"/>
    <w:p>
      <w:pPr>
        <w:pStyle w:val="Heading3"/>
      </w:pPr>
      <w:r>
        <w:t xml:space="preserve">Table IX: Online Bias Corrector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Corrector</w:t>
            </w:r>
          </w:p>
        </w:tc>
        <w:tc>
          <w:tcPr/>
          <w:p>
            <w:pPr>
              <w:pStyle w:val="Compact"/>
              <w:jc w:val="left"/>
            </w:pPr>
            <w:r>
              <w:t xml:space="preserve">Key Hyperparameter</w:t>
            </w:r>
          </w:p>
        </w:tc>
        <w:tc>
          <w:tcPr/>
          <w:p>
            <w:pPr>
              <w:pStyle w:val="Compact"/>
              <w:jc w:val="center"/>
            </w:pPr>
            <w:r>
              <w:t xml:space="preserve">Mean MAE (MW)</w:t>
            </w:r>
          </w:p>
        </w:tc>
        <w:tc>
          <w:tcPr/>
          <w:p>
            <w:pPr>
              <w:pStyle w:val="Compact"/>
              <w:jc w:val="center"/>
            </w:pPr>
            <w:r>
              <w:t xml:space="preserve">Relative Change</w:t>
            </w:r>
          </w:p>
        </w:tc>
      </w:tr>
      <w:tr>
        <w:tc>
          <w:tcPr/>
          <w:p>
            <w:pPr>
              <w:pStyle w:val="Compact"/>
              <w:jc w:val="left"/>
            </w:pPr>
            <w:r>
              <w:t xml:space="preserve">None (Baseline)</w:t>
            </w:r>
          </w:p>
        </w:tc>
        <w:tc>
          <w:tcPr/>
          <w:p>
            <w:pPr>
              <w:pStyle w:val="Compact"/>
              <w:jc w:val="left"/>
            </w:pPr>
            <w:r>
              <w:t xml:space="preserve">—</w:t>
            </w:r>
          </w:p>
        </w:tc>
        <w:tc>
          <w:tcPr/>
          <w:p>
            <w:pPr>
              <w:pStyle w:val="Compact"/>
              <w:jc w:val="center"/>
            </w:pPr>
            <w:r>
              <w:t xml:space="preserve">93.9</w:t>
            </w:r>
          </w:p>
        </w:tc>
        <w:tc>
          <w:tcPr/>
          <w:p>
            <w:pPr>
              <w:pStyle w:val="Compact"/>
              <w:jc w:val="center"/>
            </w:pPr>
            <w:r>
              <w:t xml:space="preserve">—</w:t>
            </w:r>
          </w:p>
        </w:tc>
      </w:tr>
      <w:tr>
        <w:tc>
          <w:tcPr/>
          <w:p>
            <w:pPr>
              <w:pStyle w:val="Compact"/>
              <w:jc w:val="left"/>
            </w:pPr>
            <w:r>
              <w:t xml:space="preserve">Simple Moving Average</w:t>
            </w:r>
          </w:p>
        </w:tc>
        <w:tc>
          <w:tcPr/>
          <w:p>
            <w:pPr>
              <w:pStyle w:val="Compact"/>
              <w:jc w:val="left"/>
            </w:pPr>
            <w:r>
              <w:t xml:space="preserve">Window = 7 days</w:t>
            </w:r>
          </w:p>
        </w:tc>
        <w:tc>
          <w:tcPr/>
          <w:p>
            <w:pPr>
              <w:pStyle w:val="Compact"/>
              <w:jc w:val="center"/>
            </w:pPr>
            <w:r>
              <w:t xml:space="preserve">77.8</w:t>
            </w:r>
          </w:p>
        </w:tc>
        <w:tc>
          <w:tcPr/>
          <w:p>
            <w:pPr>
              <w:pStyle w:val="Compact"/>
              <w:jc w:val="center"/>
            </w:pPr>
            <w:r>
              <w:t xml:space="preserve">-17.1%</w:t>
            </w:r>
          </w:p>
        </w:tc>
      </w:tr>
      <w:tr>
        <w:tc>
          <w:tcPr/>
          <w:p>
            <w:pPr>
              <w:pStyle w:val="Compact"/>
              <w:jc w:val="left"/>
            </w:pPr>
            <w:r>
              <w:t xml:space="preserve">Simple Moving Average</w:t>
            </w:r>
          </w:p>
        </w:tc>
        <w:tc>
          <w:tcPr/>
          <w:p>
            <w:pPr>
              <w:pStyle w:val="Compact"/>
              <w:jc w:val="left"/>
            </w:pPr>
            <w:r>
              <w:t xml:space="preserve">Window = 30 days</w:t>
            </w:r>
          </w:p>
        </w:tc>
        <w:tc>
          <w:tcPr/>
          <w:p>
            <w:pPr>
              <w:pStyle w:val="Compact"/>
              <w:jc w:val="center"/>
            </w:pPr>
            <w:r>
              <w:t xml:space="preserve">90.7</w:t>
            </w:r>
          </w:p>
        </w:tc>
        <w:tc>
          <w:tcPr/>
          <w:p>
            <w:pPr>
              <w:pStyle w:val="Compact"/>
              <w:jc w:val="center"/>
            </w:pPr>
            <w:r>
              <w:t xml:space="preserve">-3.4%</w:t>
            </w:r>
          </w:p>
        </w:tc>
      </w:tr>
      <w:tr>
        <w:tc>
          <w:tcPr/>
          <w:p>
            <w:pPr>
              <w:pStyle w:val="Compact"/>
              <w:jc w:val="left"/>
            </w:pPr>
            <w:r>
              <w:t xml:space="preserve">Kalman Filter</w:t>
            </w:r>
          </w:p>
        </w:tc>
        <w:tc>
          <w:tcPr/>
          <w:p>
            <w:pPr>
              <w:pStyle w:val="Compact"/>
              <w:jc w:val="left"/>
            </w:pPr>
            <m:oMath>
              <m:r>
                <m:t>Q</m:t>
              </m:r>
              <m:r>
                <m:rPr>
                  <m:sty m:val="p"/>
                </m:rPr>
                <m:t>=</m:t>
              </m:r>
              <m:sSup>
                <m:e>
                  <m:r>
                    <m:t>10</m:t>
                  </m:r>
                </m:e>
                <m:sup>
                  <m:r>
                    <m:rPr>
                      <m:sty m:val="p"/>
                    </m:rPr>
                    <m:t>−</m:t>
                  </m:r>
                  <m:r>
                    <m:t>2</m:t>
                  </m:r>
                </m:sup>
              </m:sSup>
              <m:r>
                <m:rPr>
                  <m:sty m:val="p"/>
                </m:rPr>
                <m:t>,</m:t>
              </m:r>
              <m:r>
                <m:t>R</m:t>
              </m:r>
              <m:r>
                <m:rPr>
                  <m:sty m:val="p"/>
                </m:rPr>
                <m:t>=</m:t>
              </m:r>
              <m:r>
                <m:t>1</m:t>
              </m:r>
            </m:oMath>
          </w:p>
        </w:tc>
        <w:tc>
          <w:tcPr/>
          <w:p>
            <w:pPr>
              <w:pStyle w:val="Compact"/>
              <w:jc w:val="center"/>
            </w:pPr>
            <w:r>
              <w:t xml:space="preserve">83.8</w:t>
            </w:r>
          </w:p>
        </w:tc>
        <w:tc>
          <w:tcPr/>
          <w:p>
            <w:pPr>
              <w:pStyle w:val="Compact"/>
              <w:jc w:val="center"/>
            </w:pPr>
            <w:r>
              <w:t xml:space="preserve">-10.7%</w:t>
            </w:r>
          </w:p>
        </w:tc>
      </w:tr>
      <w:tr>
        <w:tc>
          <w:tcPr/>
          <w:p>
            <w:pPr>
              <w:pStyle w:val="Compact"/>
              <w:jc w:val="left"/>
            </w:pPr>
            <w:r>
              <w:t xml:space="preserve">Linear Trend</w:t>
            </w:r>
          </w:p>
        </w:tc>
        <w:tc>
          <w:tcPr/>
          <w:p>
            <w:pPr>
              <w:pStyle w:val="Compact"/>
              <w:jc w:val="left"/>
            </w:pPr>
            <w:r>
              <w:t xml:space="preserve">Window = 14 days</w:t>
            </w:r>
          </w:p>
        </w:tc>
        <w:tc>
          <w:tcPr/>
          <w:p>
            <w:pPr>
              <w:pStyle w:val="Compact"/>
              <w:jc w:val="center"/>
            </w:pPr>
            <w:r>
              <w:t xml:space="preserve">79.8</w:t>
            </w:r>
          </w:p>
        </w:tc>
        <w:tc>
          <w:tcPr/>
          <w:p>
            <w:pPr>
              <w:pStyle w:val="Compact"/>
              <w:jc w:val="center"/>
            </w:pPr>
            <w:r>
              <w:t xml:space="preserve">-15.0%</w:t>
            </w:r>
          </w:p>
        </w:tc>
      </w:tr>
      <w:tr>
        <w:tc>
          <w:tcPr/>
          <w:p>
            <w:pPr>
              <w:pStyle w:val="Compact"/>
              <w:jc w:val="left"/>
            </w:pPr>
            <w:r>
              <w:rPr>
                <w:b/>
                <w:bCs/>
              </w:rPr>
              <w:t xml:space="preserve">TIDE (Proposed)</w:t>
            </w:r>
          </w:p>
        </w:tc>
        <w:tc>
          <w:tcPr/>
          <w:p>
            <w:pPr>
              <w:pStyle w:val="Compact"/>
              <w:jc w:val="left"/>
            </w:pPr>
            <m:oMath>
              <m:r>
                <m:t>α</m:t>
              </m:r>
              <m:r>
                <m:rPr>
                  <m:sty m:val="p"/>
                </m:rPr>
                <m:t>=</m:t>
              </m:r>
              <m:r>
                <m:t>0.3</m:t>
              </m:r>
            </m:oMath>
          </w:p>
        </w:tc>
        <w:tc>
          <w:tcPr/>
          <w:p>
            <w:pPr>
              <w:pStyle w:val="Compact"/>
              <w:jc w:val="center"/>
            </w:pPr>
            <w:r>
              <w:rPr>
                <w:b/>
                <w:bCs/>
              </w:rPr>
              <w:t xml:space="preserve">75.9</w:t>
            </w:r>
          </w:p>
        </w:tc>
        <w:tc>
          <w:tcPr/>
          <w:p>
            <w:pPr>
              <w:pStyle w:val="Compact"/>
              <w:jc w:val="center"/>
            </w:pPr>
            <w:r>
              <w:rPr>
                <w:b/>
                <w:bCs/>
              </w:rPr>
              <w:t xml:space="preserve">-19.2%</w:t>
            </w:r>
          </w:p>
        </w:tc>
      </w:tr>
      <w:tr>
        <w:tc>
          <w:tcPr/>
          <w:p>
            <w:pPr>
              <w:pStyle w:val="Compact"/>
              <w:jc w:val="left"/>
            </w:pPr>
            <w:r>
              <w:rPr>
                <w:b/>
                <w:bCs/>
              </w:rPr>
              <w:t xml:space="preserve">TIDE (Proposed)</w:t>
            </w:r>
          </w:p>
        </w:tc>
        <w:tc>
          <w:tcPr/>
          <w:p>
            <w:pPr>
              <w:pStyle w:val="Compact"/>
              <w:jc w:val="left"/>
            </w:pPr>
            <m:oMath>
              <m:r>
                <m:t>α</m:t>
              </m:r>
              <m:r>
                <m:rPr>
                  <m:sty m:val="p"/>
                </m:rPr>
                <m:t>=</m:t>
              </m:r>
              <m:r>
                <m:t>0.9</m:t>
              </m:r>
            </m:oMath>
          </w:p>
        </w:tc>
        <w:tc>
          <w:tcPr/>
          <w:p>
            <w:pPr>
              <w:pStyle w:val="Compact"/>
              <w:jc w:val="center"/>
            </w:pPr>
            <w:r>
              <w:rPr>
                <w:b/>
                <w:bCs/>
              </w:rPr>
              <w:t xml:space="preserve">73.6</w:t>
            </w:r>
          </w:p>
        </w:tc>
        <w:tc>
          <w:tcPr/>
          <w:p>
            <w:pPr>
              <w:pStyle w:val="Compact"/>
              <w:jc w:val="center"/>
            </w:pPr>
            <w:r>
              <w:rPr>
                <w:b/>
                <w:bCs/>
              </w:rPr>
              <w:t xml:space="preserve">-21.5%</w:t>
            </w:r>
          </w:p>
        </w:tc>
      </w:tr>
    </w:tbl>
    <w:p>
      <w:pPr>
        <w:pStyle w:val="CaptionedFigure"/>
      </w:pPr>
      <w:r>
        <w:drawing>
          <wp:inline>
            <wp:extent cx="5943600" cy="2920193"/>
            <wp:effectExtent b="0" l="0" r="0" t="0"/>
            <wp:docPr descr="Figure 8: Online corrector comparison" title="" id="59" name="Picture"/>
            <a:graphic>
              <a:graphicData uri="http://schemas.openxmlformats.org/drawingml/2006/picture">
                <pic:pic>
                  <pic:nvPicPr>
                    <pic:cNvPr descr="figures/fig4_corrector_comparison.png" id="60" name="Picture"/>
                    <pic:cNvPicPr>
                      <a:picLocks noChangeArrowheads="1" noChangeAspect="1"/>
                    </pic:cNvPicPr>
                  </pic:nvPicPr>
                  <pic:blipFill>
                    <a:blip r:embed="rId58"/>
                    <a:stretch>
                      <a:fillRect/>
                    </a:stretch>
                  </pic:blipFill>
                  <pic:spPr bwMode="auto">
                    <a:xfrm>
                      <a:off x="0" y="0"/>
                      <a:ext cx="5943600" cy="2920193"/>
                    </a:xfrm>
                    <a:prstGeom prst="rect">
                      <a:avLst/>
                    </a:prstGeom>
                    <a:noFill/>
                    <a:ln w="9525">
                      <a:noFill/>
                      <a:headEnd/>
                      <a:tailEnd/>
                    </a:ln>
                  </pic:spPr>
                </pic:pic>
              </a:graphicData>
            </a:graphic>
          </wp:inline>
        </w:drawing>
      </w:r>
    </w:p>
    <w:p>
      <w:pPr>
        <w:pStyle w:val="ImageCaption"/>
      </w:pPr>
      <w:r>
        <w:t xml:space="preserve">Figure 8: Online corrector comparison</w:t>
      </w:r>
    </w:p>
    <w:p>
      <w:pPr>
        <w:pStyle w:val="BodyText"/>
      </w:pPr>
      <w:r>
        <w:t xml:space="preserve">TIDE outperforms all alternative online correctors (Fig. 8). The 7-day Simple Moving Average (SMA) is the closest competitor (77.8 MW), but adapts too slowly to rapid changes in drift. The Kalman filter’s performance (83.8 MW) is highly sensitive to the process-to-measurement noise ratio (</w:t>
      </w:r>
      <m:oMath>
        <m:r>
          <m:t>Q</m:t>
        </m:r>
        <m:r>
          <m:rPr>
            <m:sty m:val="p"/>
          </m:rPr>
          <m:t>/</m:t>
        </m:r>
        <m:r>
          <m:t>R</m:t>
        </m:r>
      </m:oMath>
      <w:r>
        <w:t xml:space="preserve">), which requires manual tuning. Linear trend extrapolation (79.8 MW) exhibits instability and over-corrects during transition periods.</w:t>
      </w:r>
    </w:p>
    <w:bookmarkEnd w:id="61"/>
    <w:bookmarkStart w:id="62" w:name="d.-parameter-sensitivity-ema-alpha"/>
    <w:p>
      <w:pPr>
        <w:pStyle w:val="Heading3"/>
      </w:pPr>
      <w:r>
        <w:t xml:space="preserve">D. Parameter Sensitivity: EMA Alpha</w:t>
      </w:r>
    </w:p>
    <w:p>
      <w:pPr>
        <w:pStyle w:val="FirstParagraph"/>
      </w:pPr>
      <w:r>
        <w:t xml:space="preserve">We evaluate the sensitivity of TIDE to the smoothing parameter</w:t>
      </w:r>
      <w:r>
        <w:t xml:space="preserve"> </w:t>
      </w:r>
      <m:oMath>
        <m:r>
          <m:t>α</m:t>
        </m:r>
        <m:r>
          <m:rPr>
            <m:sty m:val="p"/>
          </m:rPr>
          <m:t>∈</m:t>
        </m:r>
        <m:r>
          <m:rPr>
            <m:sty m:val="p"/>
          </m:rPr>
          <m:t>{</m:t>
        </m:r>
        <m:r>
          <m:t>0.1</m:t>
        </m:r>
        <m:r>
          <m:rPr>
            <m:sty m:val="p"/>
          </m:rPr>
          <m:t>,</m:t>
        </m:r>
        <m:r>
          <m:t>0.3</m:t>
        </m:r>
        <m:r>
          <m:rPr>
            <m:sty m:val="p"/>
          </m:rPr>
          <m:t>,</m:t>
        </m:r>
        <m:r>
          <m:t>0.5</m:t>
        </m:r>
        <m:r>
          <m:rPr>
            <m:sty m:val="p"/>
          </m:rPr>
          <m:t>,</m:t>
        </m:r>
        <m:r>
          <m:t>0.7</m:t>
        </m:r>
        <m:r>
          <m:rPr>
            <m:sty m:val="p"/>
          </m:rPr>
          <m:t>,</m:t>
        </m:r>
        <m:r>
          <m:t>0.9</m:t>
        </m:r>
        <m:r>
          <m:rPr>
            <m:sty m:val="p"/>
          </m:rPr>
          <m:t>}</m:t>
        </m:r>
      </m:oMath>
      <w:r>
        <w:t xml:space="preserve"> </w:t>
      </w:r>
      <w:r>
        <w:t xml:space="preserve">(Table X).</w:t>
      </w:r>
    </w:p>
    <w:bookmarkEnd w:id="62"/>
    <w:bookmarkStart w:id="66" w:name="X29e1413a32213787615f2ebdac89c7774677c7d"/>
    <w:p>
      <w:pPr>
        <w:pStyle w:val="Heading3"/>
      </w:pPr>
      <w:r>
        <w:t xml:space="preserve">Table X: TIDE Sensitivity to Parameter</w:t>
      </w:r>
      <w:r>
        <w:t xml:space="preserve"> </w:t>
      </w:r>
      <m:oMath>
        <m:r>
          <m:t>α</m:t>
        </m:r>
      </m:oMath>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t xml:space="preserve">Alpha (</w:t>
            </w:r>
            <m:oMath>
              <m:r>
                <m:t>α</m:t>
              </m:r>
            </m:oMath>
            <w:r>
              <w:t xml:space="preserve">)</w:t>
            </w:r>
          </w:p>
        </w:tc>
        <w:tc>
          <w:tcPr/>
          <w:p>
            <w:pPr>
              <w:pStyle w:val="Compact"/>
              <w:jc w:val="left"/>
            </w:pPr>
            <w:r>
              <w:t xml:space="preserve">Effective Tracking Window</w:t>
            </w:r>
          </w:p>
        </w:tc>
        <w:tc>
          <w:tcPr/>
          <w:p>
            <w:pPr>
              <w:pStyle w:val="Compact"/>
              <w:jc w:val="center"/>
            </w:pPr>
            <w:r>
              <w:t xml:space="preserve">Mean MAE (MW)</w:t>
            </w:r>
          </w:p>
        </w:tc>
        <w:tc>
          <w:tcPr/>
          <w:p>
            <w:pPr>
              <w:pStyle w:val="Compact"/>
              <w:jc w:val="center"/>
            </w:pPr>
            <w:r>
              <w:t xml:space="preserve">Relative Change</w:t>
            </w:r>
          </w:p>
        </w:tc>
      </w:tr>
      <w:tr>
        <w:tc>
          <w:tcPr/>
          <w:p>
            <w:pPr>
              <w:pStyle w:val="Compact"/>
              <w:jc w:val="center"/>
            </w:pPr>
            <w:r>
              <w:t xml:space="preserve">0.1</w:t>
            </w:r>
          </w:p>
        </w:tc>
        <w:tc>
          <w:tcPr/>
          <w:p>
            <w:pPr>
              <w:pStyle w:val="Compact"/>
              <w:jc w:val="left"/>
            </w:pPr>
            <m:oMath>
              <m:r>
                <m:rPr>
                  <m:sty m:val="p"/>
                </m:rPr>
                <m:t>≈</m:t>
              </m:r>
              <m:r>
                <m:t>10</m:t>
              </m:r>
            </m:oMath>
            <w:r>
              <w:t xml:space="preserve"> </w:t>
            </w:r>
            <w:r>
              <w:t xml:space="preserve">days</w:t>
            </w:r>
          </w:p>
        </w:tc>
        <w:tc>
          <w:tcPr/>
          <w:p>
            <w:pPr>
              <w:pStyle w:val="Compact"/>
              <w:jc w:val="center"/>
            </w:pPr>
            <w:r>
              <w:t xml:space="preserve">81.8</w:t>
            </w:r>
          </w:p>
        </w:tc>
        <w:tc>
          <w:tcPr/>
          <w:p>
            <w:pPr>
              <w:pStyle w:val="Compact"/>
              <w:jc w:val="center"/>
            </w:pPr>
            <w:r>
              <w:t xml:space="preserve">-12.8%</w:t>
            </w:r>
          </w:p>
        </w:tc>
      </w:tr>
      <w:tr>
        <w:tc>
          <w:tcPr/>
          <w:p>
            <w:pPr>
              <w:pStyle w:val="Compact"/>
              <w:jc w:val="center"/>
            </w:pPr>
            <w:r>
              <w:t xml:space="preserve">0.3</w:t>
            </w:r>
          </w:p>
        </w:tc>
        <w:tc>
          <w:tcPr/>
          <w:p>
            <w:pPr>
              <w:pStyle w:val="Compact"/>
              <w:jc w:val="left"/>
            </w:pPr>
            <m:oMath>
              <m:r>
                <m:rPr>
                  <m:sty m:val="p"/>
                </m:rPr>
                <m:t>≈</m:t>
              </m:r>
              <m:r>
                <m:t>3</m:t>
              </m:r>
            </m:oMath>
            <w:r>
              <w:t xml:space="preserve"> </w:t>
            </w:r>
            <w:r>
              <w:t xml:space="preserve">days</w:t>
            </w:r>
          </w:p>
        </w:tc>
        <w:tc>
          <w:tcPr/>
          <w:p>
            <w:pPr>
              <w:pStyle w:val="Compact"/>
              <w:jc w:val="center"/>
            </w:pPr>
            <w:r>
              <w:t xml:space="preserve">75.9</w:t>
            </w:r>
          </w:p>
        </w:tc>
        <w:tc>
          <w:tcPr/>
          <w:p>
            <w:pPr>
              <w:pStyle w:val="Compact"/>
              <w:jc w:val="center"/>
            </w:pPr>
            <w:r>
              <w:t xml:space="preserve">-19.2%</w:t>
            </w:r>
          </w:p>
        </w:tc>
      </w:tr>
      <w:tr>
        <w:tc>
          <w:tcPr/>
          <w:p>
            <w:pPr>
              <w:pStyle w:val="Compact"/>
              <w:jc w:val="center"/>
            </w:pPr>
            <w:r>
              <w:t xml:space="preserve">0.5</w:t>
            </w:r>
          </w:p>
        </w:tc>
        <w:tc>
          <w:tcPr/>
          <w:p>
            <w:pPr>
              <w:pStyle w:val="Compact"/>
              <w:jc w:val="left"/>
            </w:pPr>
            <m:oMath>
              <m:r>
                <m:rPr>
                  <m:sty m:val="p"/>
                </m:rPr>
                <m:t>≈</m:t>
              </m:r>
              <m:r>
                <m:t>2</m:t>
              </m:r>
            </m:oMath>
            <w:r>
              <w:t xml:space="preserve"> </w:t>
            </w:r>
            <w:r>
              <w:t xml:space="preserve">days</w:t>
            </w:r>
          </w:p>
        </w:tc>
        <w:tc>
          <w:tcPr/>
          <w:p>
            <w:pPr>
              <w:pStyle w:val="Compact"/>
              <w:jc w:val="center"/>
            </w:pPr>
            <w:r>
              <w:t xml:space="preserve">74.4</w:t>
            </w:r>
          </w:p>
        </w:tc>
        <w:tc>
          <w:tcPr/>
          <w:p>
            <w:pPr>
              <w:pStyle w:val="Compact"/>
              <w:jc w:val="center"/>
            </w:pPr>
            <w:r>
              <w:t xml:space="preserve">-20.7%</w:t>
            </w:r>
          </w:p>
        </w:tc>
      </w:tr>
      <w:tr>
        <w:tc>
          <w:tcPr/>
          <w:p>
            <w:pPr>
              <w:pStyle w:val="Compact"/>
              <w:jc w:val="center"/>
            </w:pPr>
            <w:r>
              <w:t xml:space="preserve">0.7</w:t>
            </w:r>
          </w:p>
        </w:tc>
        <w:tc>
          <w:tcPr/>
          <w:p>
            <w:pPr>
              <w:pStyle w:val="Compact"/>
              <w:jc w:val="left"/>
            </w:pPr>
            <m:oMath>
              <m:r>
                <m:rPr>
                  <m:sty m:val="p"/>
                </m:rPr>
                <m:t>≈</m:t>
              </m:r>
              <m:r>
                <m:t>1.4</m:t>
              </m:r>
            </m:oMath>
            <w:r>
              <w:t xml:space="preserve"> </w:t>
            </w:r>
            <w:r>
              <w:t xml:space="preserve">days</w:t>
            </w:r>
          </w:p>
        </w:tc>
        <w:tc>
          <w:tcPr/>
          <w:p>
            <w:pPr>
              <w:pStyle w:val="Compact"/>
              <w:jc w:val="center"/>
            </w:pPr>
            <w:r>
              <w:t xml:space="preserve">73.9</w:t>
            </w:r>
          </w:p>
        </w:tc>
        <w:tc>
          <w:tcPr/>
          <w:p>
            <w:pPr>
              <w:pStyle w:val="Compact"/>
              <w:jc w:val="center"/>
            </w:pPr>
            <w:r>
              <w:t xml:space="preserve">-21.3%</w:t>
            </w:r>
          </w:p>
        </w:tc>
      </w:tr>
      <w:tr>
        <w:tc>
          <w:tcPr/>
          <w:p>
            <w:pPr>
              <w:pStyle w:val="Compact"/>
              <w:jc w:val="center"/>
            </w:pPr>
            <w:r>
              <w:t xml:space="preserve">0.9</w:t>
            </w:r>
          </w:p>
        </w:tc>
        <w:tc>
          <w:tcPr/>
          <w:p>
            <w:pPr>
              <w:pStyle w:val="Compact"/>
              <w:jc w:val="left"/>
            </w:pPr>
            <m:oMath>
              <m:r>
                <m:rPr>
                  <m:sty m:val="p"/>
                </m:rPr>
                <m:t>≈</m:t>
              </m:r>
              <m:r>
                <m:t>1.1</m:t>
              </m:r>
            </m:oMath>
            <w:r>
              <w:t xml:space="preserve"> </w:t>
            </w:r>
            <w:r>
              <w:t xml:space="preserve">days</w:t>
            </w:r>
          </w:p>
        </w:tc>
        <w:tc>
          <w:tcPr/>
          <w:p>
            <w:pPr>
              <w:pStyle w:val="Compact"/>
              <w:jc w:val="center"/>
            </w:pPr>
            <w:r>
              <w:t xml:space="preserve">73.6</w:t>
            </w:r>
          </w:p>
        </w:tc>
        <w:tc>
          <w:tcPr/>
          <w:p>
            <w:pPr>
              <w:pStyle w:val="Compact"/>
              <w:jc w:val="center"/>
            </w:pPr>
            <w:r>
              <w:t xml:space="preserve">-21.5%</w:t>
            </w:r>
          </w:p>
        </w:tc>
      </w:tr>
    </w:tbl>
    <w:p>
      <w:pPr>
        <w:pStyle w:val="CaptionedFigure"/>
      </w:pPr>
      <w:r>
        <w:drawing>
          <wp:inline>
            <wp:extent cx="5943600" cy="3348507"/>
            <wp:effectExtent b="0" l="0" r="0" t="0"/>
            <wp:docPr descr="Figure 9: Parameter alpha sensitivity" title="" id="64" name="Picture"/>
            <a:graphic>
              <a:graphicData uri="http://schemas.openxmlformats.org/drawingml/2006/picture">
                <pic:pic>
                  <pic:nvPicPr>
                    <pic:cNvPr descr="figures/fig5_alpha_sensitivity.png" id="65" name="Picture"/>
                    <pic:cNvPicPr>
                      <a:picLocks noChangeArrowheads="1" noChangeAspect="1"/>
                    </pic:cNvPicPr>
                  </pic:nvPicPr>
                  <pic:blipFill>
                    <a:blip r:embed="rId63"/>
                    <a:stretch>
                      <a:fillRect/>
                    </a:stretch>
                  </pic:blipFill>
                  <pic:spPr bwMode="auto">
                    <a:xfrm>
                      <a:off x="0" y="0"/>
                      <a:ext cx="5943600" cy="3348507"/>
                    </a:xfrm>
                    <a:prstGeom prst="rect">
                      <a:avLst/>
                    </a:prstGeom>
                    <a:noFill/>
                    <a:ln w="9525">
                      <a:noFill/>
                      <a:headEnd/>
                      <a:tailEnd/>
                    </a:ln>
                  </pic:spPr>
                </pic:pic>
              </a:graphicData>
            </a:graphic>
          </wp:inline>
        </w:drawing>
      </w:r>
    </w:p>
    <w:p>
      <w:pPr>
        <w:pStyle w:val="ImageCaption"/>
      </w:pPr>
      <w:r>
        <w:t xml:space="preserve">Figure 9: Parameter alpha sensitivity</w:t>
      </w:r>
    </w:p>
    <w:p>
      <w:pPr>
        <w:pStyle w:val="BodyText"/>
      </w:pPr>
      <w:r>
        <w:t xml:space="preserve">All values of</w:t>
      </w:r>
      <w:r>
        <w:t xml:space="preserve"> </w:t>
      </w:r>
      <m:oMath>
        <m:r>
          <m:t>α</m:t>
        </m:r>
        <m:r>
          <m:rPr>
            <m:sty m:val="p"/>
          </m:rPr>
          <m:t>≥</m:t>
        </m:r>
        <m:r>
          <m:t>0.3</m:t>
        </m:r>
      </m:oMath>
      <w:r>
        <w:t xml:space="preserve"> </w:t>
      </w:r>
      <w:r>
        <w:t xml:space="preserve">perform within a narrow 3% error band (Fig. 9), showing that TIDE is robust and does not require continuous hyperparameter tuning. Values of</w:t>
      </w:r>
      <w:r>
        <w:t xml:space="preserve"> </w:t>
      </w:r>
      <m:oMath>
        <m:r>
          <m:t>α</m:t>
        </m:r>
        <m:r>
          <m:rPr>
            <m:sty m:val="p"/>
          </m:rPr>
          <m:t>=</m:t>
        </m:r>
        <m:r>
          <m:t>0.1</m:t>
        </m:r>
      </m:oMath>
      <w:r>
        <w:t xml:space="preserve"> </w:t>
      </w:r>
      <w:r>
        <w:t xml:space="preserve">perform poorly, as an effective window of 10 days is too slow to track the grid’s rapid drift.</w:t>
      </w:r>
    </w:p>
    <w:bookmarkEnd w:id="66"/>
    <w:bookmarkStart w:id="67" w:name="X9ad2d59624e658328be508149affa0fe11bd539"/>
    <w:p>
      <w:pPr>
        <w:pStyle w:val="Heading3"/>
      </w:pPr>
      <w:r>
        <w:t xml:space="preserve">E. Sobolev Trajectory Loss Regularization</w:t>
      </w:r>
    </w:p>
    <w:p>
      <w:pPr>
        <w:pStyle w:val="FirstParagraph"/>
      </w:pPr>
      <w:r>
        <w:t xml:space="preserve">We investigate whether modifying the training objective to penalize discrepancies in hour-over-hour differences (trajectory regularization) can improve the baseline model’s predictions. We define the Sobolev trajectory loss [15]:</w:t>
      </w:r>
    </w:p>
    <w:p>
      <w:pPr>
        <w:pStyle w:val="BodyText"/>
      </w:pPr>
      <m:oMathPara>
        <m:oMathParaPr>
          <m:jc m:val="center"/>
        </m:oMathParaPr>
        <m:oMath>
          <m:r>
            <m:rPr>
              <m:scr m:val="script"/>
              <m:sty m:val="p"/>
            </m:rPr>
            <m:t>L</m:t>
          </m:r>
          <m:r>
            <m:rPr>
              <m:sty m:val="p"/>
            </m:rPr>
            <m:t>=</m:t>
          </m:r>
          <m:r>
            <m:rPr>
              <m:nor/>
              <m:sty m:val="p"/>
            </m:rPr>
            <m:t>MAE</m:t>
          </m:r>
          <m:r>
            <m:rPr>
              <m:sty m:val="p"/>
            </m:rPr>
            <m:t>(</m:t>
          </m:r>
          <m:r>
            <m:rPr>
              <m:sty m:val="bi"/>
            </m:rPr>
            <m:t>y</m:t>
          </m:r>
          <m:r>
            <m:rPr>
              <m:sty m:val="p"/>
            </m:rPr>
            <m:t>,</m:t>
          </m:r>
          <m:acc>
            <m:accPr>
              <m:chr m:val="̂"/>
            </m:accPr>
            <m:e>
              <m:r>
                <m:rPr>
                  <m:sty m:val="bi"/>
                </m:rPr>
                <m:t>y</m:t>
              </m:r>
            </m:e>
          </m:acc>
          <m:r>
            <m:rPr>
              <m:sty m:val="p"/>
            </m:rPr>
            <m:t>)</m:t>
          </m:r>
          <m:r>
            <m:rPr>
              <m:sty m:val="p"/>
            </m:rPr>
            <m:t>+</m:t>
          </m:r>
          <m:r>
            <m:t>λ</m:t>
          </m:r>
          <m:r>
            <m:rPr>
              <m:sty m:val="p"/>
            </m:rPr>
            <m:t>⋅</m:t>
          </m:r>
          <m:f>
            <m:fPr>
              <m:type m:val="bar"/>
            </m:fPr>
            <m:num>
              <m:r>
                <m:t>1</m:t>
              </m:r>
            </m:num>
            <m:den>
              <m:r>
                <m:t>T</m:t>
              </m:r>
              <m:r>
                <m:rPr>
                  <m:sty m:val="p"/>
                </m:rPr>
                <m:t>−</m:t>
              </m:r>
              <m:r>
                <m:t>1</m:t>
              </m:r>
            </m:den>
          </m:f>
          <m:nary>
            <m:naryPr>
              <m:chr m:val="∑"/>
              <m:limLoc m:val="undOvr"/>
              <m:subHide m:val="off"/>
              <m:supHide m:val="off"/>
            </m:naryPr>
            <m:sub>
              <m:r>
                <m:t>t</m:t>
              </m:r>
              <m:r>
                <m:rPr>
                  <m:sty m:val="p"/>
                </m:rPr>
                <m:t>=</m:t>
              </m:r>
              <m:r>
                <m:t>1</m:t>
              </m:r>
            </m:sub>
            <m:sup>
              <m:r>
                <m:t>T</m:t>
              </m:r>
              <m:r>
                <m:rPr>
                  <m:sty m:val="p"/>
                </m:rPr>
                <m:t>−</m:t>
              </m:r>
              <m:r>
                <m:t>1</m:t>
              </m:r>
            </m:sup>
            <m:e>
              <m:d>
                <m:dPr>
                  <m:begChr m:val="|"/>
                  <m:sepChr m:val=""/>
                  <m:endChr m:val="|"/>
                  <m:grow/>
                </m:dPr>
                <m:e>
                  <m:r>
                    <m:rPr>
                      <m:sty m:val="p"/>
                    </m:rPr>
                    <m:t>(</m:t>
                  </m:r>
                  <m:sSub>
                    <m:e>
                      <m:r>
                        <m:t>y</m:t>
                      </m:r>
                    </m:e>
                    <m:sub>
                      <m:r>
                        <m:t>t</m:t>
                      </m:r>
                      <m:r>
                        <m:rPr>
                          <m:sty m:val="p"/>
                        </m:rPr>
                        <m:t>+</m:t>
                      </m:r>
                      <m:r>
                        <m:t>1</m:t>
                      </m:r>
                    </m:sub>
                  </m:sSub>
                  <m:r>
                    <m:rPr>
                      <m:sty m:val="p"/>
                    </m:rPr>
                    <m:t>−</m:t>
                  </m:r>
                  <m:sSub>
                    <m:e>
                      <m:r>
                        <m:t>y</m:t>
                      </m:r>
                    </m:e>
                    <m:sub>
                      <m:r>
                        <m:t>t</m:t>
                      </m:r>
                    </m:sub>
                  </m:sSub>
                  <m:r>
                    <m:rPr>
                      <m:sty m:val="p"/>
                    </m:rPr>
                    <m:t>)</m:t>
                  </m:r>
                  <m:r>
                    <m:rPr>
                      <m:sty m:val="p"/>
                    </m:rPr>
                    <m:t>−</m:t>
                  </m:r>
                  <m:r>
                    <m:rPr>
                      <m:sty m:val="p"/>
                    </m:rPr>
                    <m:t>(</m:t>
                  </m:r>
                  <m:sSub>
                    <m:e>
                      <m:acc>
                        <m:accPr>
                          <m:chr m:val="̂"/>
                        </m:accPr>
                        <m:e>
                          <m:r>
                            <m:t>y</m:t>
                          </m:r>
                        </m:e>
                      </m:acc>
                    </m:e>
                    <m:sub>
                      <m:r>
                        <m:t>t</m:t>
                      </m:r>
                      <m:r>
                        <m:rPr>
                          <m:sty m:val="p"/>
                        </m:rPr>
                        <m:t>+</m:t>
                      </m:r>
                      <m:r>
                        <m:t>1</m:t>
                      </m:r>
                    </m:sub>
                  </m:sSub>
                  <m:r>
                    <m:rPr>
                      <m:sty m:val="p"/>
                    </m:rPr>
                    <m:t>−</m:t>
                  </m:r>
                  <m:sSub>
                    <m:e>
                      <m:acc>
                        <m:accPr>
                          <m:chr m:val="̂"/>
                        </m:accPr>
                        <m:e>
                          <m:r>
                            <m:t>y</m:t>
                          </m:r>
                        </m:e>
                      </m:acc>
                    </m:e>
                    <m:sub>
                      <m:r>
                        <m:t>t</m:t>
                      </m:r>
                    </m:sub>
                  </m:sSub>
                  <m:r>
                    <m:rPr>
                      <m:sty m:val="p"/>
                    </m:rPr>
                    <m:t>)</m:t>
                  </m:r>
                </m:e>
              </m:d>
            </m:e>
          </m:nary>
        </m:oMath>
      </m:oMathPara>
    </w:p>
    <w:p>
      <w:pPr>
        <w:pStyle w:val="FirstParagraph"/>
      </w:pPr>
      <w:r>
        <w:t xml:space="preserve">where</w:t>
      </w:r>
      <w:r>
        <w:t xml:space="preserve"> </w:t>
      </w:r>
      <m:oMath>
        <m:r>
          <m:t>λ</m:t>
        </m:r>
      </m:oMath>
      <w:r>
        <w:t xml:space="preserve"> </w:t>
      </w:r>
      <w:r>
        <w:t xml:space="preserve">is the regularization coefficient. We evaluate</w:t>
      </w:r>
      <w:r>
        <w:t xml:space="preserve"> </w:t>
      </w:r>
      <m:oMath>
        <m:r>
          <m:t>λ</m:t>
        </m:r>
        <m:r>
          <m:rPr>
            <m:sty m:val="p"/>
          </m:rPr>
          <m:t>∈</m:t>
        </m:r>
        <m:r>
          <m:rPr>
            <m:sty m:val="p"/>
          </m:rPr>
          <m:t>{</m:t>
        </m:r>
        <m:r>
          <m:t>0.0</m:t>
        </m:r>
        <m:r>
          <m:rPr>
            <m:sty m:val="p"/>
          </m:rPr>
          <m:t>,</m:t>
        </m:r>
        <m:r>
          <m:t>0.3</m:t>
        </m:r>
        <m:r>
          <m:rPr>
            <m:sty m:val="p"/>
          </m:rPr>
          <m:t>,</m:t>
        </m:r>
        <m:r>
          <m:t>1.0</m:t>
        </m:r>
        <m:r>
          <m:rPr>
            <m:sty m:val="p"/>
          </m:rPr>
          <m:t>}</m:t>
        </m:r>
      </m:oMath>
      <w:r>
        <w:t xml:space="preserve"> </w:t>
      </w:r>
      <w:r>
        <w:t xml:space="preserve">across the 6 folds (Table XI).</w:t>
      </w:r>
    </w:p>
    <w:bookmarkEnd w:id="67"/>
    <w:bookmarkStart w:id="71" w:name="X38868808bf4e1b9cf348ed88b85cdccc33f0a54"/>
    <w:p>
      <w:pPr>
        <w:pStyle w:val="Heading3"/>
      </w:pPr>
      <w:r>
        <w:t xml:space="preserve">Table XI: Sobolev Loss Regularization (Fold-level Normalized MAE)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Fold</w:t>
            </w:r>
          </w:p>
        </w:tc>
        <w:tc>
          <w:tcPr/>
          <w:p>
            <w:pPr>
              <w:pStyle w:val="Compact"/>
              <w:jc w:val="center"/>
            </w:pPr>
            <m:oMath>
              <m:r>
                <m:t>λ</m:t>
              </m:r>
              <m:r>
                <m:rPr>
                  <m:sty m:val="p"/>
                </m:rPr>
                <m:t>=</m:t>
              </m:r>
              <m:r>
                <m:t>0.0</m:t>
              </m:r>
            </m:oMath>
            <w:r>
              <w:t xml:space="preserve"> </w:t>
            </w:r>
            <w:r>
              <w:t xml:space="preserve">(Baseline)</w:t>
            </w:r>
          </w:p>
        </w:tc>
        <w:tc>
          <w:tcPr/>
          <w:p>
            <w:pPr>
              <w:pStyle w:val="Compact"/>
              <w:jc w:val="center"/>
            </w:pPr>
            <m:oMath>
              <m:r>
                <m:t>λ</m:t>
              </m:r>
              <m:r>
                <m:rPr>
                  <m:sty m:val="p"/>
                </m:rPr>
                <m:t>=</m:t>
              </m:r>
              <m:r>
                <m:t>0.3</m:t>
              </m:r>
            </m:oMath>
          </w:p>
        </w:tc>
        <w:tc>
          <w:tcPr/>
          <w:p>
            <w:pPr>
              <w:pStyle w:val="Compact"/>
              <w:jc w:val="center"/>
            </w:pPr>
            <m:oMath>
              <m:r>
                <m:t>λ</m:t>
              </m:r>
              <m:r>
                <m:rPr>
                  <m:sty m:val="p"/>
                </m:rPr>
                <m:t>=</m:t>
              </m:r>
              <m:r>
                <m:t>1.0</m:t>
              </m:r>
            </m:oMath>
          </w:p>
        </w:tc>
      </w:tr>
      <w:tr>
        <w:tc>
          <w:tcPr/>
          <w:p>
            <w:pPr>
              <w:pStyle w:val="Compact"/>
              <w:jc w:val="center"/>
            </w:pPr>
            <w:r>
              <w:t xml:space="preserve">Fold 1</w:t>
            </w:r>
          </w:p>
        </w:tc>
        <w:tc>
          <w:tcPr/>
          <w:p>
            <w:pPr>
              <w:pStyle w:val="Compact"/>
              <w:jc w:val="center"/>
            </w:pPr>
            <w:r>
              <w:t xml:space="preserve">0.31015</w:t>
            </w:r>
          </w:p>
        </w:tc>
        <w:tc>
          <w:tcPr/>
          <w:p>
            <w:pPr>
              <w:pStyle w:val="Compact"/>
              <w:jc w:val="center"/>
            </w:pPr>
            <w:r>
              <w:t xml:space="preserve">0.30960</w:t>
            </w:r>
          </w:p>
        </w:tc>
        <w:tc>
          <w:tcPr/>
          <w:p>
            <w:pPr>
              <w:pStyle w:val="Compact"/>
              <w:jc w:val="center"/>
            </w:pPr>
            <w:r>
              <w:rPr>
                <w:b/>
                <w:bCs/>
              </w:rPr>
              <w:t xml:space="preserve">0.30658</w:t>
            </w:r>
          </w:p>
        </w:tc>
      </w:tr>
      <w:tr>
        <w:tc>
          <w:tcPr/>
          <w:p>
            <w:pPr>
              <w:pStyle w:val="Compact"/>
              <w:jc w:val="center"/>
            </w:pPr>
            <w:r>
              <w:t xml:space="preserve">Fold 2</w:t>
            </w:r>
          </w:p>
        </w:tc>
        <w:tc>
          <w:tcPr/>
          <w:p>
            <w:pPr>
              <w:pStyle w:val="Compact"/>
              <w:jc w:val="center"/>
            </w:pPr>
            <w:r>
              <w:t xml:space="preserve">0.27502</w:t>
            </w:r>
          </w:p>
        </w:tc>
        <w:tc>
          <w:tcPr/>
          <w:p>
            <w:pPr>
              <w:pStyle w:val="Compact"/>
              <w:jc w:val="center"/>
            </w:pPr>
            <w:r>
              <w:t xml:space="preserve">0.27463</w:t>
            </w:r>
          </w:p>
        </w:tc>
        <w:tc>
          <w:tcPr/>
          <w:p>
            <w:pPr>
              <w:pStyle w:val="Compact"/>
              <w:jc w:val="center"/>
            </w:pPr>
            <w:r>
              <w:rPr>
                <w:b/>
                <w:bCs/>
              </w:rPr>
              <w:t xml:space="preserve">0.27394</w:t>
            </w:r>
          </w:p>
        </w:tc>
      </w:tr>
      <w:tr>
        <w:tc>
          <w:tcPr/>
          <w:p>
            <w:pPr>
              <w:pStyle w:val="Compact"/>
              <w:jc w:val="center"/>
            </w:pPr>
            <w:r>
              <w:t xml:space="preserve">Fold 3</w:t>
            </w:r>
          </w:p>
        </w:tc>
        <w:tc>
          <w:tcPr/>
          <w:p>
            <w:pPr>
              <w:pStyle w:val="Compact"/>
              <w:jc w:val="center"/>
            </w:pPr>
            <w:r>
              <w:t xml:space="preserve">0.26900</w:t>
            </w:r>
          </w:p>
        </w:tc>
        <w:tc>
          <w:tcPr/>
          <w:p>
            <w:pPr>
              <w:pStyle w:val="Compact"/>
              <w:jc w:val="center"/>
            </w:pPr>
            <w:r>
              <w:t xml:space="preserve">0.26830</w:t>
            </w:r>
          </w:p>
        </w:tc>
        <w:tc>
          <w:tcPr/>
          <w:p>
            <w:pPr>
              <w:pStyle w:val="Compact"/>
              <w:jc w:val="center"/>
            </w:pPr>
            <w:r>
              <w:rPr>
                <w:b/>
                <w:bCs/>
              </w:rPr>
              <w:t xml:space="preserve">0.26726</w:t>
            </w:r>
          </w:p>
        </w:tc>
      </w:tr>
      <w:tr>
        <w:tc>
          <w:tcPr/>
          <w:p>
            <w:pPr>
              <w:pStyle w:val="Compact"/>
              <w:jc w:val="center"/>
            </w:pPr>
            <w:r>
              <w:t xml:space="preserve">Fold 4</w:t>
            </w:r>
          </w:p>
        </w:tc>
        <w:tc>
          <w:tcPr/>
          <w:p>
            <w:pPr>
              <w:pStyle w:val="Compact"/>
              <w:jc w:val="center"/>
            </w:pPr>
            <w:r>
              <w:t xml:space="preserve">0.26954</w:t>
            </w:r>
          </w:p>
        </w:tc>
        <w:tc>
          <w:tcPr/>
          <w:p>
            <w:pPr>
              <w:pStyle w:val="Compact"/>
              <w:jc w:val="center"/>
            </w:pPr>
            <w:r>
              <w:rPr>
                <w:b/>
                <w:bCs/>
              </w:rPr>
              <w:t xml:space="preserve">0.26856</w:t>
            </w:r>
          </w:p>
        </w:tc>
        <w:tc>
          <w:tcPr/>
          <w:p>
            <w:pPr>
              <w:pStyle w:val="Compact"/>
              <w:jc w:val="center"/>
            </w:pPr>
            <w:r>
              <w:t xml:space="preserve">0.26924</w:t>
            </w:r>
          </w:p>
        </w:tc>
      </w:tr>
      <w:tr>
        <w:tc>
          <w:tcPr/>
          <w:p>
            <w:pPr>
              <w:pStyle w:val="Compact"/>
              <w:jc w:val="center"/>
            </w:pPr>
            <w:r>
              <w:t xml:space="preserve">Fold 5</w:t>
            </w:r>
          </w:p>
        </w:tc>
        <w:tc>
          <w:tcPr/>
          <w:p>
            <w:pPr>
              <w:pStyle w:val="Compact"/>
              <w:jc w:val="center"/>
            </w:pPr>
            <w:r>
              <w:t xml:space="preserve">0.26387</w:t>
            </w:r>
          </w:p>
        </w:tc>
        <w:tc>
          <w:tcPr/>
          <w:p>
            <w:pPr>
              <w:pStyle w:val="Compact"/>
              <w:jc w:val="center"/>
            </w:pPr>
            <w:r>
              <w:t xml:space="preserve">0.26189</w:t>
            </w:r>
          </w:p>
        </w:tc>
        <w:tc>
          <w:tcPr/>
          <w:p>
            <w:pPr>
              <w:pStyle w:val="Compact"/>
              <w:jc w:val="center"/>
            </w:pPr>
            <w:r>
              <w:rPr>
                <w:b/>
                <w:bCs/>
              </w:rPr>
              <w:t xml:space="preserve">0.26093</w:t>
            </w:r>
          </w:p>
        </w:tc>
      </w:tr>
      <w:tr>
        <w:tc>
          <w:tcPr/>
          <w:p>
            <w:pPr>
              <w:pStyle w:val="Compact"/>
              <w:jc w:val="center"/>
            </w:pPr>
            <w:r>
              <w:t xml:space="preserve">Fold 6</w:t>
            </w:r>
          </w:p>
        </w:tc>
        <w:tc>
          <w:tcPr/>
          <w:p>
            <w:pPr>
              <w:pStyle w:val="Compact"/>
              <w:jc w:val="center"/>
            </w:pPr>
            <w:r>
              <w:t xml:space="preserve">0.27267</w:t>
            </w:r>
          </w:p>
        </w:tc>
        <w:tc>
          <w:tcPr/>
          <w:p>
            <w:pPr>
              <w:pStyle w:val="Compact"/>
              <w:jc w:val="center"/>
            </w:pPr>
            <w:r>
              <w:t xml:space="preserve">0.26843</w:t>
            </w:r>
          </w:p>
        </w:tc>
        <w:tc>
          <w:tcPr/>
          <w:p>
            <w:pPr>
              <w:pStyle w:val="Compact"/>
              <w:jc w:val="center"/>
            </w:pPr>
            <w:r>
              <w:rPr>
                <w:b/>
                <w:bCs/>
              </w:rPr>
              <w:t xml:space="preserve">0.26817</w:t>
            </w:r>
          </w:p>
        </w:tc>
      </w:tr>
      <w:tr>
        <w:tc>
          <w:tcPr/>
          <w:p>
            <w:pPr>
              <w:pStyle w:val="Compact"/>
              <w:jc w:val="center"/>
            </w:pPr>
            <w:r>
              <w:rPr>
                <w:b/>
                <w:bCs/>
              </w:rPr>
              <w:t xml:space="preserve">Mean</w:t>
            </w:r>
          </w:p>
        </w:tc>
        <w:tc>
          <w:tcPr/>
          <w:p>
            <w:pPr>
              <w:pStyle w:val="Compact"/>
              <w:jc w:val="center"/>
            </w:pPr>
            <w:r>
              <w:rPr>
                <w:b/>
                <w:bCs/>
              </w:rPr>
              <w:t xml:space="preserve">0.27671</w:t>
            </w:r>
          </w:p>
        </w:tc>
        <w:tc>
          <w:tcPr/>
          <w:p>
            <w:pPr>
              <w:pStyle w:val="Compact"/>
              <w:jc w:val="center"/>
            </w:pPr>
            <w:r>
              <w:rPr>
                <w:b/>
                <w:bCs/>
              </w:rPr>
              <w:t xml:space="preserve">0.27523 (-0.53%)</w:t>
            </w:r>
          </w:p>
        </w:tc>
        <w:tc>
          <w:tcPr/>
          <w:p>
            <w:pPr>
              <w:pStyle w:val="Compact"/>
              <w:jc w:val="center"/>
            </w:pPr>
            <w:r>
              <w:rPr>
                <w:b/>
                <w:bCs/>
              </w:rPr>
              <w:t xml:space="preserve">0.27435 (-0.85%)</w:t>
            </w:r>
          </w:p>
        </w:tc>
      </w:tr>
    </w:tbl>
    <w:p>
      <w:pPr>
        <w:pStyle w:val="CaptionedFigure"/>
      </w:pPr>
      <w:r>
        <w:drawing>
          <wp:inline>
            <wp:extent cx="5943600" cy="2926467"/>
            <wp:effectExtent b="0" l="0" r="0" t="0"/>
            <wp:docPr descr="Figure 10: Sobolev coefficient lambda ablation" title="" id="69" name="Picture"/>
            <a:graphic>
              <a:graphicData uri="http://schemas.openxmlformats.org/drawingml/2006/picture">
                <pic:pic>
                  <pic:nvPicPr>
                    <pic:cNvPr descr="figures/fig7_sobolev.png" id="70" name="Picture"/>
                    <pic:cNvPicPr>
                      <a:picLocks noChangeArrowheads="1" noChangeAspect="1"/>
                    </pic:cNvPicPr>
                  </pic:nvPicPr>
                  <pic:blipFill>
                    <a:blip r:embed="rId68"/>
                    <a:stretch>
                      <a:fillRect/>
                    </a:stretch>
                  </pic:blipFill>
                  <pic:spPr bwMode="auto">
                    <a:xfrm>
                      <a:off x="0" y="0"/>
                      <a:ext cx="5943600" cy="2926467"/>
                    </a:xfrm>
                    <a:prstGeom prst="rect">
                      <a:avLst/>
                    </a:prstGeom>
                    <a:noFill/>
                    <a:ln w="9525">
                      <a:noFill/>
                      <a:headEnd/>
                      <a:tailEnd/>
                    </a:ln>
                  </pic:spPr>
                </pic:pic>
              </a:graphicData>
            </a:graphic>
          </wp:inline>
        </w:drawing>
      </w:r>
    </w:p>
    <w:p>
      <w:pPr>
        <w:pStyle w:val="ImageCaption"/>
      </w:pPr>
      <w:r>
        <w:t xml:space="preserve">Figure 10: Sobolev coefficient lambda ablation</w:t>
      </w:r>
    </w:p>
    <w:p>
      <w:pPr>
        <w:pStyle w:val="BodyText"/>
      </w:pPr>
      <w:r>
        <w:t xml:space="preserve">The Sobolev loss coefficient</w:t>
      </w:r>
      <w:r>
        <w:t xml:space="preserve"> </w:t>
      </w:r>
      <m:oMath>
        <m:r>
          <m:t>λ</m:t>
        </m:r>
        <m:r>
          <m:rPr>
            <m:sty m:val="p"/>
          </m:rPr>
          <m:t>=</m:t>
        </m:r>
        <m:r>
          <m:t>1.0</m:t>
        </m:r>
      </m:oMath>
      <w:r>
        <w:t xml:space="preserve"> </w:t>
      </w:r>
      <w:r>
        <w:t xml:space="preserve">yields a statistically significant mean error reduction of 0.85% (</w:t>
      </w:r>
      <m:oMath>
        <m:r>
          <m:t>p</m:t>
        </m:r>
        <m:r>
          <m:rPr>
            <m:sty m:val="p"/>
          </m:rPr>
          <m:t>&lt;</m:t>
        </m:r>
        <m:r>
          <m:t>0.008</m:t>
        </m:r>
      </m:oMath>
      <w:r>
        <w:t xml:space="preserve">) (Fig. 10). Trajectory regularization is complementary to TIDE: Sobolev loss refines the diurnal shape during offline training, while TIDE corrects the level shift during online inference.</w:t>
      </w:r>
    </w:p>
    <w:bookmarkEnd w:id="71"/>
    <w:bookmarkStart w:id="72" w:name="X291540915ab7da351fe158a05619a1fb6723d38"/>
    <w:p>
      <w:pPr>
        <w:pStyle w:val="Heading3"/>
      </w:pPr>
      <w:r>
        <w:t xml:space="preserve">F. The Batch Correction Availability Constraint</w:t>
      </w:r>
    </w:p>
    <w:p>
      <w:pPr>
        <w:pStyle w:val="FirstParagraph"/>
      </w:pPr>
      <w:r>
        <w:t xml:space="preserve">The residual analysis in Section IV established that forecast errors are dominated by a persistent low-frequency signal (</w:t>
      </w:r>
      <m:oMath>
        <m:r>
          <m:t>ρ</m:t>
        </m:r>
        <m:r>
          <m:rPr>
            <m:sty m:val="p"/>
          </m:rPr>
          <m:t>=</m:t>
        </m:r>
        <m:r>
          <m:t>0.6</m:t>
        </m:r>
      </m:oMath>
      <w:r>
        <w:t xml:space="preserve">–</w:t>
      </w:r>
      <m:oMath>
        <m:r>
          <m:t>0.8</m:t>
        </m:r>
      </m:oMath>
      <w:r>
        <w:t xml:space="preserve"> </w:t>
      </w:r>
      <w:r>
        <w:t xml:space="preserve">at lags 1–48 hours). This autocorrelation is the single strongest predictor of future errors: if the model under-forecast by</w:t>
      </w:r>
      <w:r>
        <w:t xml:space="preserve"> </w:t>
      </w:r>
      <m:oMath>
        <m:r>
          <m:t>e</m:t>
        </m:r>
      </m:oMath>
      <w:r>
        <w:t xml:space="preserve"> </w:t>
      </w:r>
      <w:r>
        <w:t xml:space="preserve">MW at hour</w:t>
      </w:r>
      <w:r>
        <w:t xml:space="preserve"> </w:t>
      </w:r>
      <m:oMath>
        <m:r>
          <m:t>t</m:t>
        </m:r>
      </m:oMath>
      <w:r>
        <w:t xml:space="preserve">, it will likely under-forecast by</w:t>
      </w:r>
      <w:r>
        <w:t xml:space="preserve"> </w:t>
      </w:r>
      <m:oMath>
        <m:r>
          <m:t>ρ</m:t>
        </m:r>
        <m:r>
          <m:t>e</m:t>
        </m:r>
      </m:oMath>
      <w:r>
        <w:t xml:space="preserve"> </w:t>
      </w:r>
      <w:r>
        <w:t xml:space="preserve">MW at hour</w:t>
      </w:r>
      <w:r>
        <w:t xml:space="preserve"> </w:t>
      </w:r>
      <m:oMath>
        <m:r>
          <m:t>t</m:t>
        </m:r>
        <m:r>
          <m:rPr>
            <m:sty m:val="p"/>
          </m:rPr>
          <m:t>+</m:t>
        </m:r>
        <m:r>
          <m:t>1</m:t>
        </m:r>
      </m:oMath>
      <w:r>
        <w:t xml:space="preserve">. TIDE exploits this by maintaining a running EMA of recent errors and applying it to the next day’s forecast.</w:t>
      </w:r>
    </w:p>
    <w:p>
      <w:pPr>
        <w:pStyle w:val="BodyText"/>
      </w:pPr>
      <w:r>
        <w:t xml:space="preserve">However, a fundamental constraint arises at batch prediction time. When forecasting 24 hours ahead simultaneously, the error at lag 1 (</w:t>
      </w:r>
      <m:oMath>
        <m:sSub>
          <m:e>
            <m:r>
              <m:t>e</m:t>
            </m:r>
          </m:e>
          <m:sub>
            <m:r>
              <m:t>t</m:t>
            </m:r>
            <m:r>
              <m:rPr>
                <m:sty m:val="p"/>
              </m:rPr>
              <m:t>−</m:t>
            </m:r>
            <m:r>
              <m:t>1</m:t>
            </m:r>
          </m:sub>
        </m:sSub>
      </m:oMath>
      <w:r>
        <w:t xml:space="preserve">) is known only for the first forecast hour. For hours 2–23, the true</w:t>
      </w:r>
      <w:r>
        <w:t xml:space="preserve"> </w:t>
      </w:r>
      <m:oMath>
        <m:sSub>
          <m:e>
            <m:r>
              <m:t>e</m:t>
            </m:r>
          </m:e>
          <m:sub>
            <m:r>
              <m:t>t</m:t>
            </m:r>
            <m:r>
              <m:rPr>
                <m:sty m:val="p"/>
              </m:rPr>
              <m:t>−</m:t>
            </m:r>
            <m:r>
              <m:t>1</m:t>
            </m:r>
          </m:sub>
        </m:sSub>
      </m:oMath>
      <w:r>
        <w:t xml:space="preserve"> </w:t>
      </w:r>
      <w:r>
        <w:t xml:space="preserve">requires the previous hour’s actual load, which has not yet been observed. The most informative correction signal is structurally unavailable for multi-step forecasts.</w:t>
      </w:r>
    </w:p>
    <w:p>
      <w:pPr>
        <w:pStyle w:val="BodyText"/>
      </w:pPr>
      <w:r>
        <w:t xml:space="preserve">To quantify this constraint, we designed a controlled experiment. We trained a Bayesian ARDRegression model [31] on 8 batch-available features (hour-of-day sin/cos, day-of-week sin/cos, month sin/cos, weekend indicator, and temperature) using DLinear errors from 2025. We deliberately excluded all error-history features (lags, rolling means) to simulate the batch-prediction condition. The trained corrector was then applied to 116 days of out-of-sample DLinear forecasts from 2026.</w:t>
      </w:r>
    </w:p>
    <w:p>
      <w:pPr>
        <w:pStyle w:val="BodyText"/>
      </w:pPr>
      <w:r>
        <w:t xml:space="preserve">The result was a mean MAE change of</w:t>
      </w:r>
      <w:r>
        <w:t xml:space="preserve"> </w:t>
      </w:r>
      <m:oMath>
        <m:r>
          <m:rPr>
            <m:sty m:val="p"/>
          </m:rPr>
          <m:t>−</m:t>
        </m:r>
        <m:r>
          <m:t>0.40</m:t>
        </m:r>
        <m:r>
          <m:rPr>
            <m:sty m:val="p"/>
          </m:rPr>
          <m:t>%</m:t>
        </m:r>
      </m:oMath>
      <w:r>
        <w:t xml:space="preserve"> </w:t>
      </w:r>
      <w:r>
        <w:t xml:space="preserve">(from 115.44 MW raw to 114.98 MW corrected). A paired</w:t>
      </w:r>
      <w:r>
        <w:t xml:space="preserve"> </w:t>
      </w:r>
      <m:oMath>
        <m:r>
          <m:t>t</m:t>
        </m:r>
      </m:oMath>
      <w:r>
        <w:t xml:space="preserve">-test on daily MAE differences gave</w:t>
      </w:r>
      <w:r>
        <w:t xml:space="preserve"> </w:t>
      </w:r>
      <m:oMath>
        <m:r>
          <m:t>t</m:t>
        </m:r>
        <m:r>
          <m:rPr>
            <m:sty m:val="p"/>
          </m:rPr>
          <m:t>(</m:t>
        </m:r>
        <m:r>
          <m:t>115</m:t>
        </m:r>
        <m:r>
          <m:rPr>
            <m:sty m:val="p"/>
          </m:rPr>
          <m:t>)</m:t>
        </m:r>
        <m:r>
          <m:rPr>
            <m:sty m:val="p"/>
          </m:rPr>
          <m:t>=</m:t>
        </m:r>
        <m:r>
          <m:rPr>
            <m:sty m:val="p"/>
          </m:rPr>
          <m:t>−</m:t>
        </m:r>
        <m:r>
          <m:t>0.26</m:t>
        </m:r>
      </m:oMath>
      <w:r>
        <w:t xml:space="preserve">,</w:t>
      </w:r>
      <w:r>
        <w:t xml:space="preserve"> </w:t>
      </w:r>
      <m:oMath>
        <m:r>
          <m:t>p</m:t>
        </m:r>
        <m:r>
          <m:rPr>
            <m:sty m:val="p"/>
          </m:rPr>
          <m:t>=</m:t>
        </m:r>
        <m:r>
          <m:t>0.80</m:t>
        </m:r>
      </m:oMath>
      <w:r>
        <w:t xml:space="preserve">. Cohen’s</w:t>
      </w:r>
      <w:r>
        <w:t xml:space="preserve"> </w:t>
      </w:r>
      <m:oMath>
        <m:r>
          <m:t>d</m:t>
        </m:r>
        <m:r>
          <m:rPr>
            <m:sty m:val="p"/>
          </m:rPr>
          <m:t>=</m:t>
        </m:r>
        <m:r>
          <m:t>0.024</m:t>
        </m:r>
      </m:oMath>
      <w:r>
        <w:t xml:space="preserve"> </w:t>
      </w:r>
      <w:r>
        <w:t xml:space="preserve">(negligible). The bootstrap 95% confidence interval of the difference spanned</w:t>
      </w:r>
      <w:r>
        <w:t xml:space="preserve"> </w:t>
      </w:r>
      <m:oMath>
        <m:r>
          <m:rPr>
            <m:sty m:val="p"/>
          </m:rPr>
          <m:t>[</m:t>
        </m:r>
        <m:r>
          <m:rPr>
            <m:sty m:val="p"/>
          </m:rPr>
          <m:t>−</m:t>
        </m:r>
        <m:r>
          <m:t>3.98</m:t>
        </m:r>
        <m:r>
          <m:rPr>
            <m:sty m:val="p"/>
          </m:rPr>
          <m:t>,</m:t>
        </m:r>
        <m:r>
          <m:rPr>
            <m:sty m:val="p"/>
          </m:rPr>
          <m:t>+</m:t>
        </m:r>
        <m:r>
          <m:t>3.12</m:t>
        </m:r>
        <m:r>
          <m:rPr>
            <m:sty m:val="p"/>
          </m:rPr>
          <m:t>]</m:t>
        </m:r>
      </m:oMath>
      <w:r>
        <w:t xml:space="preserve"> </w:t>
      </w:r>
      <w:r>
        <w:t xml:space="preserve">MW – crossing zero. The corrector improved only 44% of days and degraded 56%. Statistical power was 0.058, requiring an estimated 13,370 days for a detectable effect at this magnitude.</w:t>
      </w:r>
    </w:p>
    <w:p>
      <w:pPr>
        <w:pStyle w:val="BodyText"/>
      </w:pPr>
      <w:r>
        <w:t xml:space="preserve">Per-hour analysis confirms the pattern: midday hours (9–16) show modest corrections of</w:t>
      </w:r>
      <w:r>
        <w:t xml:space="preserve"> </w:t>
      </w:r>
      <m:oMath>
        <m:r>
          <m:rPr>
            <m:sty m:val="p"/>
          </m:rPr>
          <m:t>−</m:t>
        </m:r>
        <m:r>
          <m:t>4</m:t>
        </m:r>
      </m:oMath>
      <w:r>
        <w:t xml:space="preserve"> </w:t>
      </w:r>
      <w:r>
        <w:t xml:space="preserve">to</w:t>
      </w:r>
      <w:r>
        <w:t xml:space="preserve"> </w:t>
      </w:r>
      <m:oMath>
        <m:r>
          <m:rPr>
            <m:sty m:val="p"/>
          </m:rPr>
          <m:t>−</m:t>
        </m:r>
        <m:r>
          <m:t>8</m:t>
        </m:r>
        <m:r>
          <m:rPr>
            <m:sty m:val="p"/>
          </m:rPr>
          <m:t>%</m:t>
        </m:r>
      </m:oMath>
      <w:r>
        <w:t xml:space="preserve">, where temperature and calendar features carry some signal, while night hours (0–7) see consistent degradation of</w:t>
      </w:r>
      <w:r>
        <w:t xml:space="preserve"> </w:t>
      </w:r>
      <m:oMath>
        <m:r>
          <m:rPr>
            <m:sty m:val="p"/>
          </m:rPr>
          <m:t>+</m:t>
        </m:r>
        <m:r>
          <m:t>2</m:t>
        </m:r>
      </m:oMath>
      <w:r>
        <w:t xml:space="preserve"> </w:t>
      </w:r>
      <w:r>
        <w:t xml:space="preserve">to</w:t>
      </w:r>
      <w:r>
        <w:t xml:space="preserve"> </w:t>
      </w:r>
      <m:oMath>
        <m:r>
          <m:rPr>
            <m:sty m:val="p"/>
          </m:rPr>
          <m:t>+</m:t>
        </m:r>
        <m:r>
          <m:t>11</m:t>
        </m:r>
        <m:r>
          <m:rPr>
            <m:sty m:val="p"/>
          </m:rPr>
          <m:t>%</m:t>
        </m:r>
      </m:oMath>
      <w:r>
        <w:t xml:space="preserve">, where the same features add noise.</w:t>
      </w:r>
    </w:p>
    <w:p>
      <w:pPr>
        <w:pStyle w:val="BodyText"/>
      </w:pPr>
      <w:r>
        <w:t xml:space="preserve">This result is not a failure of ARDRegression as an estimator. It is a structural limitation: on a dataset where the dominant error signal is temporal autocorrelation (</w:t>
      </w:r>
      <m:oMath>
        <m:r>
          <m:t>ρ</m:t>
        </m:r>
        <m:r>
          <m:rPr>
            <m:sty m:val="p"/>
          </m:rPr>
          <m:t>=</m:t>
        </m:r>
        <m:r>
          <m:t>0.79</m:t>
        </m:r>
      </m:oMath>
      <w:r>
        <w:t xml:space="preserve"> </w:t>
      </w:r>
      <w:r>
        <w:t xml:space="preserve">at lag 1), no corrector restricted to calendar and temperature features can meaningfully improve forecast accuracy. The autocorrelation signal is the primary driver of correctability, and it is unavailable in batch mode.</w:t>
      </w:r>
    </w:p>
    <w:p>
      <w:pPr>
        <w:pStyle w:val="BodyText"/>
      </w:pPr>
      <w:r>
        <w:t xml:space="preserve">TIDE succeeds precisely because it bypasses this constraint. By operating as an online corrector – updating after each day’s actuals arrive and applying the correction to the next day’s raw forecast – TIDE gains access to the recent error history that batch correctors cannot see. The 19.2% improvement is not a testament to TIDE’s algorithmic sophistication: it is a direct consequence of accessing the one signal that matters.</w:t>
      </w:r>
    </w:p>
    <w:p>
      <w:r>
        <w:pict>
          <v:rect style="width:0;height:1.5pt" o:hralign="center" o:hrstd="t" o:hr="t"/>
        </w:pict>
      </w:r>
    </w:p>
    <w:bookmarkEnd w:id="72"/>
    <w:bookmarkEnd w:id="73"/>
    <w:bookmarkStart w:id="78" w:name="X301638ba9dd84a814a34bebf24821899ac1acb0"/>
    <w:p>
      <w:pPr>
        <w:pStyle w:val="Heading2"/>
      </w:pPr>
      <w:r>
        <w:t xml:space="preserve">VII. Discussion and Operational Implications</w:t>
      </w:r>
    </w:p>
    <w:bookmarkStart w:id="74" w:name="a.-why-tide-succeeds"/>
    <w:p>
      <w:pPr>
        <w:pStyle w:val="Heading3"/>
      </w:pPr>
      <w:r>
        <w:t xml:space="preserve">A. Why TIDE Succeeds</w:t>
      </w:r>
    </w:p>
    <w:p>
      <w:pPr>
        <w:pStyle w:val="FirstParagraph"/>
      </w:pPr>
      <w:r>
        <w:t xml:space="preserve">TIDE succeeds for three reasons, ordered by importance.</w:t>
      </w:r>
    </w:p>
    <w:p>
      <w:pPr>
        <w:pStyle w:val="BodyText"/>
      </w:pPr>
      <w:r>
        <w:t xml:space="preserve">First, and most fundamentally, TIDE accesses the one signal that drives correctability: recent error history. The residual analysis (Section IV) and the batch correction experiment (Section VI-F) jointly demonstrate that forecast errors have strong serial correlation (</w:t>
      </w:r>
      <m:oMath>
        <m:r>
          <m:t>ρ</m:t>
        </m:r>
        <m:r>
          <m:rPr>
            <m:sty m:val="p"/>
          </m:rPr>
          <m:t>=</m:t>
        </m:r>
        <m:r>
          <m:t>0.79</m:t>
        </m:r>
      </m:oMath>
      <w:r>
        <w:t xml:space="preserve"> </w:t>
      </w:r>
      <w:r>
        <w:t xml:space="preserve">at lag 1), but this signal is structurally unavailable to any corrector operating in batch mode. TIDE bridges this gap by operating as an online corrector: it consumes the previous day’s actual load to compute the correction for the next day’s forecast. This single architectural choice – updating after each day’s actuals arrive, rather than predicting corrections for all 24 hours simultaneously – accounts for the entirety of TIDE’s improvement. The ARDRegression experiment showed that when error history is removed, no batch-available feature yields an effect beyond statistical noise (Section VI-F,</w:t>
      </w:r>
      <w:r>
        <w:t xml:space="preserve"> </w:t>
      </w:r>
      <m:oMath>
        <m:r>
          <m:t>p</m:t>
        </m:r>
        <m:r>
          <m:rPr>
            <m:sty m:val="p"/>
          </m:rPr>
          <m:t>=</m:t>
        </m:r>
        <m:r>
          <m:t>0.80</m:t>
        </m:r>
      </m:oMath>
      <w:r>
        <w:t xml:space="preserve">).</w:t>
      </w:r>
    </w:p>
    <w:p>
      <w:pPr>
        <w:pStyle w:val="BodyText"/>
      </w:pPr>
      <w:r>
        <w:t xml:space="preserve">Second, the EMA acts as a low-pass filter isolating the persistent drift signal. The forecast error is composed of a low-frequency drift component (the</w:t>
      </w:r>
      <w:r>
        <w:t xml:space="preserve"> </w:t>
      </w:r>
      <w:r>
        <w:t xml:space="preserve">“bias hum”</w:t>
      </w:r>
      <w:r>
        <w:t xml:space="preserve"> </w:t>
      </w:r>
      <w:r>
        <w:t xml:space="preserve">with periods of days to weeks) and high-frequency noise (load-shedding transients, metering faults). The EMA, equivalent to an infinite impulse response filter with a pole at</w:t>
      </w:r>
      <w:r>
        <w:t xml:space="preserve"> </w:t>
      </w:r>
      <m:oMath>
        <m:r>
          <m:t>z</m:t>
        </m:r>
        <m:r>
          <m:rPr>
            <m:sty m:val="p"/>
          </m:rPr>
          <m:t>=</m:t>
        </m:r>
        <m:r>
          <m:t>1</m:t>
        </m:r>
        <m:r>
          <m:rPr>
            <m:sty m:val="p"/>
          </m:rPr>
          <m:t>−</m:t>
        </m:r>
        <m:r>
          <m:t>α</m:t>
        </m:r>
      </m:oMath>
      <w:r>
        <w:t xml:space="preserve">, smooths out zero-mean high-frequency noise while tracking the evolving drift.</w:t>
      </w:r>
    </w:p>
    <w:p>
      <w:pPr>
        <w:pStyle w:val="BodyText"/>
      </w:pPr>
      <w:r>
        <w:t xml:space="preserve">Third, TIDE’s operation in normalized</w:t>
      </w:r>
      <w:r>
        <w:t xml:space="preserve"> </w:t>
      </w:r>
      <m:oMath>
        <m:r>
          <m:t>z</m:t>
        </m:r>
      </m:oMath>
      <w:r>
        <w:t xml:space="preserve">-score space ensures scale invariance. Because the grid’s demand scale doubled over the study period, a corrector operating in absolute Megawatts would over-correct early years and under-correct later years. Normalization allows TIDE to scale its corrections dynamically.</w:t>
      </w:r>
    </w:p>
    <w:bookmarkEnd w:id="74"/>
    <w:bookmarkStart w:id="75" w:name="b.-post-mortem-of-failed-hypotheses"/>
    <w:p>
      <w:pPr>
        <w:pStyle w:val="Heading3"/>
      </w:pPr>
      <w:r>
        <w:t xml:space="preserve">B. Post-Mortem of Failed Hypotheses</w:t>
      </w:r>
    </w:p>
    <w:p>
      <w:pPr>
        <w:pStyle w:val="FirstParagraph"/>
      </w:pPr>
      <w:r>
        <w:t xml:space="preserve">To assist practitioners and guide future research, we detail several unsuccessful forecasting approaches:</w:t>
      </w:r>
      <w:r>
        <w:t xml:space="preserve"> </w:t>
      </w:r>
      <w:r>
        <w:t xml:space="preserve">*</w:t>
      </w:r>
      <w:r>
        <w:t xml:space="preserve"> </w:t>
      </w:r>
      <w:r>
        <w:rPr>
          <w:b/>
          <w:bCs/>
        </w:rPr>
        <w:t xml:space="preserve">High-Capacity Neural Networks:</w:t>
      </w:r>
      <w:r>
        <w:t xml:space="preserve"> </w:t>
      </w:r>
      <w:r>
        <w:t xml:space="preserve">We evaluated high-capacity architectures, including DeepAR and Transformers [24]. These models increased training times by factors of 13x to 70x without improving forecast accuracy. They overfitted to historical scales and struggled to extrapolate to unseen, higher demand regimes.</w:t>
      </w:r>
      <w:r>
        <w:t xml:space="preserve"> </w:t>
      </w:r>
      <w:r>
        <w:t xml:space="preserve">*</w:t>
      </w:r>
      <w:r>
        <w:t xml:space="preserve"> </w:t>
      </w:r>
      <w:r>
        <w:rPr>
          <w:b/>
          <w:bCs/>
        </w:rPr>
        <w:t xml:space="preserve">Time-Series Foundation Models:</w:t>
      </w:r>
      <w:r>
        <w:t xml:space="preserve"> </w:t>
      </w:r>
      <w:r>
        <w:t xml:space="preserve">We evaluated Amazon Chronos (tiny, small, and base models) in a zero-shot configuration. These models yielded MAEs ranging from 165 MW to 172 MW, performing worse than a simple Seasonal Naive baseline (145.6 MW). Chronos correctly predicted the diurnal shape but suffered from level mismatch, failing to extrapolate long-term demand growth from its limited context window.</w:t>
      </w:r>
      <w:r>
        <w:t xml:space="preserve"> </w:t>
      </w:r>
      <w:r>
        <w:t xml:space="preserve">*</w:t>
      </w:r>
      <w:r>
        <w:t xml:space="preserve"> </w:t>
      </w:r>
      <w:r>
        <w:rPr>
          <w:b/>
          <w:bCs/>
        </w:rPr>
        <w:t xml:space="preserve">Continual Weight Adaptation:</w:t>
      </w:r>
      <w:r>
        <w:t xml:space="preserve"> </w:t>
      </w:r>
      <w:r>
        <w:t xml:space="preserve">Updating model parameters daily via online gradient descent (OGD) led to parameter divergence within three days of deployment. The high volatility of metering noise and load-shedding artifacts caused the weights to oscillate wildly. When regularized via Elastic Weight Consolidation (EWC), the penalty term constrained parameter updates so heavily that the model failed to track the growth trend, yielding an MAE of 118 MW.</w:t>
      </w:r>
      <w:r>
        <w:t xml:space="preserve"> </w:t>
      </w:r>
      <w:r>
        <w:t xml:space="preserve">*</w:t>
      </w:r>
      <w:r>
        <w:t xml:space="preserve"> </w:t>
      </w:r>
      <w:r>
        <w:rPr>
          <w:b/>
          <w:bCs/>
        </w:rPr>
        <w:t xml:space="preserve">Batch-Available Correctors:</w:t>
      </w:r>
      <w:r>
        <w:t xml:space="preserve"> </w:t>
      </w:r>
      <w:r>
        <w:t xml:space="preserve">We trained a Bayesian ARDRegression model on calendar and temperature features to correct DLinear predictions in batch mode. The effect was not statistically significant (paired</w:t>
      </w:r>
      <w:r>
        <w:t xml:space="preserve"> </w:t>
      </w:r>
      <m:oMath>
        <m:r>
          <m:t>t</m:t>
        </m:r>
      </m:oMath>
      <w:r>
        <w:t xml:space="preserve">-test</w:t>
      </w:r>
      <w:r>
        <w:t xml:space="preserve"> </w:t>
      </w:r>
      <m:oMath>
        <m:r>
          <m:t>p</m:t>
        </m:r>
        <m:r>
          <m:rPr>
            <m:sty m:val="p"/>
          </m:rPr>
          <m:t>=</m:t>
        </m:r>
        <m:r>
          <m:t>0.80</m:t>
        </m:r>
      </m:oMath>
      <w:r>
        <w:t xml:space="preserve">, Cohen’s</w:t>
      </w:r>
      <w:r>
        <w:t xml:space="preserve"> </w:t>
      </w:r>
      <m:oMath>
        <m:r>
          <m:t>d</m:t>
        </m:r>
        <m:r>
          <m:rPr>
            <m:sty m:val="p"/>
          </m:rPr>
          <m:t>=</m:t>
        </m:r>
        <m:r>
          <m:t>0.024</m:t>
        </m:r>
      </m:oMath>
      <w:r>
        <w:t xml:space="preserve">), confirming that the dominant error signal (temporal autocorrelation) is structurally unavailable at forecast time. This negative result underscores that TIDE’s improvement is not from algorithmic sophistication but from accessing the one signal that matters.</w:t>
      </w:r>
    </w:p>
    <w:p>
      <w:pPr>
        <w:pStyle w:val="BodyText"/>
      </w:pPr>
      <w:r>
        <w:t xml:space="preserve">These findings suggest that output-level correction is more robust than parameter-level adaptation under conditions of rapid, non-stationary drift, but only when the corrector has access to recent error history.</w:t>
      </w:r>
    </w:p>
    <w:bookmarkEnd w:id="75"/>
    <w:bookmarkStart w:id="76" w:name="X5db76f5e1216957fa35bc7160f7694faff95cb6"/>
    <w:p>
      <w:pPr>
        <w:pStyle w:val="Heading3"/>
      </w:pPr>
      <w:r>
        <w:t xml:space="preserve">C. Deployment Guidelines for Resource-Constrained Utilities</w:t>
      </w:r>
    </w:p>
    <w:p>
      <w:pPr>
        <w:pStyle w:val="FirstParagraph"/>
      </w:pPr>
      <w:r>
        <w:t xml:space="preserve">Our experimental results yield a concrete, lightweight blueprint for deploying forecasting engines in resource-constrained environments:</w:t>
      </w:r>
      <w:r>
        <w:t xml:space="preserve"> </w:t>
      </w:r>
      <w:r>
        <w:t xml:space="preserve">1.</w:t>
      </w:r>
      <w:r>
        <w:t xml:space="preserve"> </w:t>
      </w:r>
      <w:r>
        <w:rPr>
          <w:b/>
          <w:bCs/>
        </w:rPr>
        <w:t xml:space="preserve">Baseline Architecture:</w:t>
      </w:r>
      <w:r>
        <w:t xml:space="preserve"> </w:t>
      </w:r>
      <w:r>
        <w:t xml:space="preserve">Deploy a DLinear model. It requires no GPU infrastructure, trains in under 30 seconds on a single CPU core, and provides a highly competitive baseline.</w:t>
      </w:r>
      <w:r>
        <w:t xml:space="preserve"> </w:t>
      </w:r>
      <w:r>
        <w:t xml:space="preserve">2.</w:t>
      </w:r>
      <w:r>
        <w:t xml:space="preserve"> </w:t>
      </w:r>
      <w:r>
        <w:rPr>
          <w:b/>
          <w:bCs/>
        </w:rPr>
        <w:t xml:space="preserve">Training History:</w:t>
      </w:r>
      <w:r>
        <w:t xml:space="preserve"> </w:t>
      </w:r>
      <w:r>
        <w:t xml:space="preserve">Restrict historical training data to the most recent 2–4 years. Older data (including the COVID-19 period) represents obsolete grid states that degrade current forecast accuracy.</w:t>
      </w:r>
      <w:r>
        <w:t xml:space="preserve"> </w:t>
      </w:r>
      <w:r>
        <w:t xml:space="preserve">3.</w:t>
      </w:r>
      <w:r>
        <w:t xml:space="preserve"> </w:t>
      </w:r>
      <w:r>
        <w:rPr>
          <w:b/>
          <w:bCs/>
        </w:rPr>
        <w:t xml:space="preserve">Retraining Cadence:</w:t>
      </w:r>
      <w:r>
        <w:t xml:space="preserve"> </w:t>
      </w:r>
      <w:r>
        <w:t xml:space="preserve">Retrain the model parameters annually. Due to TIDE’s online adaptation, more frequent retraining (monthly or quarterly) yields negligible accuracy improvements that do not justify the operational complexity.</w:t>
      </w:r>
      <w:r>
        <w:t xml:space="preserve"> </w:t>
      </w:r>
      <w:r>
        <w:t xml:space="preserve">4.</w:t>
      </w:r>
      <w:r>
        <w:t xml:space="preserve"> </w:t>
      </w:r>
      <w:r>
        <w:rPr>
          <w:b/>
          <w:bCs/>
        </w:rPr>
        <w:t xml:space="preserve">Regularization:</w:t>
      </w:r>
      <w:r>
        <w:t xml:space="preserve"> </w:t>
      </w:r>
      <w:r>
        <w:t xml:space="preserve">Augment the training objective with Sobolev trajectory loss (</w:t>
      </w:r>
      <m:oMath>
        <m:r>
          <m:t>λ</m:t>
        </m:r>
        <m:r>
          <m:rPr>
            <m:sty m:val="p"/>
          </m:rPr>
          <m:t>=</m:t>
        </m:r>
        <m:r>
          <m:t>1.0</m:t>
        </m:r>
      </m:oMath>
      <w:r>
        <w:t xml:space="preserve">) to improve ramp-period smoothness.</w:t>
      </w:r>
      <w:r>
        <w:t xml:space="preserve"> </w:t>
      </w:r>
      <w:r>
        <w:t xml:space="preserve">5.</w:t>
      </w:r>
      <w:r>
        <w:t xml:space="preserve"> </w:t>
      </w:r>
      <w:r>
        <w:rPr>
          <w:b/>
          <w:bCs/>
        </w:rPr>
        <w:t xml:space="preserve">Online Correction:</w:t>
      </w:r>
      <w:r>
        <w:t xml:space="preserve"> </w:t>
      </w:r>
      <w:r>
        <w:t xml:space="preserve">Couple the model with the TIDE corrector running daily with a fixed parameter</w:t>
      </w:r>
      <w:r>
        <w:t xml:space="preserve"> </w:t>
      </w:r>
      <m:oMath>
        <m:r>
          <m:t>α</m:t>
        </m:r>
        <m:r>
          <m:rPr>
            <m:sty m:val="p"/>
          </m:rPr>
          <m:t>=</m:t>
        </m:r>
        <m:r>
          <m:t>0.3</m:t>
        </m:r>
      </m:oMath>
      <w:r>
        <w:t xml:space="preserve">. This setup requires no tuning and corrects the systematic drift between retraining cycles.</w:t>
      </w:r>
    </w:p>
    <w:p>
      <w:pPr>
        <w:pStyle w:val="BodyText"/>
      </w:pPr>
      <w:r>
        <w:t xml:space="preserve">This configuration satisfies the operational constraints of developing-economy utilities, requiring zero manual parameter adjustments and negligible compute overhead.</w:t>
      </w:r>
    </w:p>
    <w:bookmarkEnd w:id="76"/>
    <w:bookmarkStart w:id="77" w:name="d.-limitations-and-future-work"/>
    <w:p>
      <w:pPr>
        <w:pStyle w:val="Heading3"/>
      </w:pPr>
      <w:r>
        <w:t xml:space="preserve">D. Limitations and Future Work</w:t>
      </w:r>
    </w:p>
    <w:p>
      <w:pPr>
        <w:pStyle w:val="FirstParagraph"/>
      </w:pPr>
      <w:r>
        <w:t xml:space="preserve">TIDE is designed to correct additive bias drift. It is highly effective when the primary mode of drift is a shift in the mean demand scale. However, it does not address:</w:t>
      </w:r>
      <w:r>
        <w:t xml:space="preserve"> </w:t>
      </w:r>
      <w:r>
        <w:t xml:space="preserve">* Multiplicative drift, where the amplitude of the daily cycle scales disproportionately to the mean.</w:t>
      </w:r>
      <w:r>
        <w:t xml:space="preserve"> </w:t>
      </w:r>
      <w:r>
        <w:t xml:space="preserve">* Variance drift, where the volatility of demand increases.</w:t>
      </w:r>
      <w:r>
        <w:t xml:space="preserve"> </w:t>
      </w:r>
      <w:r>
        <w:t xml:space="preserve">* Structural shape changes, such as shifts in peak hours caused by changing consumer behavior.</w:t>
      </w:r>
    </w:p>
    <w:p>
      <w:pPr>
        <w:pStyle w:val="BodyText"/>
      </w:pPr>
      <w:r>
        <w:t xml:space="preserve">Furthermore, TIDE’s dependency on recent error history means it cannot improve the first forecast day after a model retraining or initialization, when no error history exists. During the first 2–3 days, TIDE operates with a cold start and its correction builds as errors accumulate.</w:t>
      </w:r>
    </w:p>
    <w:p>
      <w:pPr>
        <w:pStyle w:val="BodyText"/>
      </w:pPr>
      <w:r>
        <w:t xml:space="preserve">The availability constraint (Section VI-F) also has broader implications: any corrector that cannot access recent error history is fundamentally limited in its improvement potential. This constraint applies to all batch-forecasting pipelines where corrections are computed before ground truth is observed. Future work will investigate extending the feedback loop to track and correct higher-order moments (variance and covariance) in normalized space, as well as hybrid approaches that combine a fast online EMA with a slow periodic batch-calibrated correction.</w:t>
      </w:r>
    </w:p>
    <w:p>
      <w:r>
        <w:pict>
          <v:rect style="width:0;height:1.5pt" o:hralign="center" o:hrstd="t" o:hr="t"/>
        </w:pict>
      </w:r>
    </w:p>
    <w:bookmarkEnd w:id="77"/>
    <w:bookmarkEnd w:id="78"/>
    <w:bookmarkStart w:id="79" w:name="viii.-conclusion"/>
    <w:p>
      <w:pPr>
        <w:pStyle w:val="Heading2"/>
      </w:pPr>
      <w:r>
        <w:t xml:space="preserve">VIII. Conclusion</w:t>
      </w:r>
    </w:p>
    <w:p>
      <w:pPr>
        <w:pStyle w:val="FirstParagraph"/>
      </w:pPr>
      <w:r>
        <w:t xml:space="preserve">Short-term load forecasting on rapidly growing electricity grids suffers from systematic under-forecasting bias between retraining cycles. We proposed TIDE, a zero-parameter online bias correction mechanism operating in normalized</w:t>
      </w:r>
      <w:r>
        <w:t xml:space="preserve"> </w:t>
      </w:r>
      <m:oMath>
        <m:r>
          <m:t>z</m:t>
        </m:r>
      </m:oMath>
      <w:r>
        <w:t xml:space="preserve">-score space. We evaluated TIDE on a West African national grid undergoing 94% demand growth from 2018 to 2026. TIDE reduced the mean fold MAE of the DLinear baseline by 19.2%, generalized uniformly across eleven forecasting architectures with 23–26% improvements, and outperformed traditional online correctors.</w:t>
      </w:r>
    </w:p>
    <w:p>
      <w:pPr>
        <w:pStyle w:val="BodyText"/>
      </w:pPr>
      <w:r>
        <w:t xml:space="preserve">A key finding is the availability constraint: the forecast error’s dominant signal is serial correlation (</w:t>
      </w:r>
      <m:oMath>
        <m:r>
          <m:t>ρ</m:t>
        </m:r>
        <m:r>
          <m:rPr>
            <m:sty m:val="p"/>
          </m:rPr>
          <m:t>=</m:t>
        </m:r>
        <m:r>
          <m:t>0.79</m:t>
        </m:r>
      </m:oMath>
      <w:r>
        <w:t xml:space="preserve"> </w:t>
      </w:r>
      <w:r>
        <w:t xml:space="preserve">at lag 1), which is structurally inaccessible to any batch-mode corrector. A controlled experiment with ARDRegression on batch-available features yielded no significant improvement (</w:t>
      </w:r>
      <m:oMath>
        <m:r>
          <m:t>p</m:t>
        </m:r>
        <m:r>
          <m:rPr>
            <m:sty m:val="p"/>
          </m:rPr>
          <m:t>=</m:t>
        </m:r>
        <m:r>
          <m:t>0.80</m:t>
        </m:r>
      </m:oMath>
      <w:r>
        <w:t xml:space="preserve">,</w:t>
      </w:r>
      <w:r>
        <w:t xml:space="preserve"> </w:t>
      </w:r>
      <m:oMath>
        <m:r>
          <m:t>d</m:t>
        </m:r>
        <m:r>
          <m:rPr>
            <m:sty m:val="p"/>
          </m:rPr>
          <m:t>=</m:t>
        </m:r>
        <m:r>
          <m:t>0.024</m:t>
        </m:r>
      </m:oMath>
      <w:r>
        <w:t xml:space="preserve">), confirming that TIDE’s gains come from accessing recent error history rather than from feature engineering. For production deployment, a single DLinear model trained on the most recent 2–4 years combined with TIDE provides an optimal, highly accurate, and lightweight forecasting solution that operates within the strict computational constraints of developing-economy utilities.</w:t>
      </w:r>
    </w:p>
    <w:p>
      <w:r>
        <w:pict>
          <v:rect style="width:0;height:1.5pt" o:hralign="center" o:hrstd="t" o:hr="t"/>
        </w:pict>
      </w:r>
    </w:p>
    <w:bookmarkEnd w:id="79"/>
    <w:bookmarkStart w:id="80" w:name="references"/>
    <w:p>
      <w:pPr>
        <w:pStyle w:val="Heading2"/>
      </w:pPr>
      <w:r>
        <w:t xml:space="preserve">References</w:t>
      </w:r>
    </w:p>
    <w:p>
      <w:pPr>
        <w:pStyle w:val="FirstParagraph"/>
      </w:pPr>
      <w:r>
        <w:t xml:space="preserve">[1] A. Zeng et al.,</w:t>
      </w:r>
      <w:r>
        <w:t xml:space="preserve"> </w:t>
      </w:r>
      <w:r>
        <w:t xml:space="preserve">“Are transformers effective for time series forecasting?”</w:t>
      </w:r>
      <w:r>
        <w:t xml:space="preserve"> </w:t>
      </w:r>
      <w:r>
        <w:t xml:space="preserve">in</w:t>
      </w:r>
      <w:r>
        <w:t xml:space="preserve"> </w:t>
      </w:r>
      <w:r>
        <w:rPr>
          <w:i/>
          <w:iCs/>
        </w:rPr>
        <w:t xml:space="preserve">Proc. AAAI</w:t>
      </w:r>
      <w:r>
        <w:t xml:space="preserve">, vol. 37, no. 9, 2023, pp. 11121–11129.</w:t>
      </w:r>
    </w:p>
    <w:p>
      <w:pPr>
        <w:pStyle w:val="BodyText"/>
      </w:pPr>
      <w:r>
        <w:t xml:space="preserve">[2] N. H. Mvungi et al.,</w:t>
      </w:r>
      <w:r>
        <w:t xml:space="preserve"> </w:t>
      </w:r>
      <w:r>
        <w:t xml:space="preserve">“Load forecasting for Tanzania’s power system: Challenges and opportunities,”</w:t>
      </w:r>
      <w:r>
        <w:t xml:space="preserve"> </w:t>
      </w:r>
      <w:r>
        <w:rPr>
          <w:i/>
          <w:iCs/>
        </w:rPr>
        <w:t xml:space="preserve">J. Energy Southern Africa</w:t>
      </w:r>
      <w:r>
        <w:t xml:space="preserve">, vol. 32, no. 2, pp. 48–59, 2021.</w:t>
      </w:r>
    </w:p>
    <w:p>
      <w:pPr>
        <w:pStyle w:val="BodyText"/>
      </w:pPr>
      <w:r>
        <w:t xml:space="preserve">[3] A. C. Harvey,</w:t>
      </w:r>
      <w:r>
        <w:t xml:space="preserve"> </w:t>
      </w:r>
      <w:r>
        <w:rPr>
          <w:i/>
          <w:iCs/>
        </w:rPr>
        <w:t xml:space="preserve">Forecasting, Structural Time Series Models and the Kalman Filter</w:t>
      </w:r>
      <w:r>
        <w:t xml:space="preserve">. Cambridge Univ. Press, 1990.</w:t>
      </w:r>
    </w:p>
    <w:p>
      <w:pPr>
        <w:pStyle w:val="BodyText"/>
      </w:pPr>
      <w:r>
        <w:t xml:space="preserve">[4] J. Gama et al.,</w:t>
      </w:r>
      <w:r>
        <w:t xml:space="preserve"> </w:t>
      </w:r>
      <w:r>
        <w:t xml:space="preserve">“A survey on concept drift adaptation,”</w:t>
      </w:r>
      <w:r>
        <w:t xml:space="preserve"> </w:t>
      </w:r>
      <w:r>
        <w:rPr>
          <w:i/>
          <w:iCs/>
        </w:rPr>
        <w:t xml:space="preserve">ACM Comput. Surv.</w:t>
      </w:r>
      <w:r>
        <w:t xml:space="preserve">, vol. 46, no. 4, pp. 1–37, 2014.</w:t>
      </w:r>
    </w:p>
    <w:p>
      <w:pPr>
        <w:pStyle w:val="BodyText"/>
      </w:pPr>
      <w:r>
        <w:t xml:space="preserve">[5] G. I. Webb et al.,</w:t>
      </w:r>
      <w:r>
        <w:t xml:space="preserve"> </w:t>
      </w:r>
      <w:r>
        <w:t xml:space="preserve">“Characterizing concept drift,”</w:t>
      </w:r>
      <w:r>
        <w:t xml:space="preserve"> </w:t>
      </w:r>
      <w:r>
        <w:rPr>
          <w:i/>
          <w:iCs/>
        </w:rPr>
        <w:t xml:space="preserve">Data Min. Knowl. Discov.</w:t>
      </w:r>
      <w:r>
        <w:t xml:space="preserve">, vol. 30, no. 4, pp. 964–994, 2016.</w:t>
      </w:r>
    </w:p>
    <w:p>
      <w:pPr>
        <w:pStyle w:val="BodyText"/>
      </w:pPr>
      <w:r>
        <w:t xml:space="preserve">[6] A. N. Angelopoulos et al.,</w:t>
      </w:r>
      <w:r>
        <w:t xml:space="preserve"> </w:t>
      </w:r>
      <w:r>
        <w:t xml:space="preserve">“Conformal risk control,”</w:t>
      </w:r>
      <w:r>
        <w:t xml:space="preserve"> </w:t>
      </w:r>
      <w:r>
        <w:t xml:space="preserve">arXiv:2206.07476, 2023.</w:t>
      </w:r>
    </w:p>
    <w:p>
      <w:pPr>
        <w:pStyle w:val="BodyText"/>
      </w:pPr>
      <w:r>
        <w:t xml:space="preserve">[7] S. Mouatadid et al.,</w:t>
      </w:r>
      <w:r>
        <w:t xml:space="preserve"> </w:t>
      </w:r>
      <w:r>
        <w:t xml:space="preserve">“ABC: A machine learning framework for subseasonal-to-seasonal forecasting,”</w:t>
      </w:r>
      <w:r>
        <w:t xml:space="preserve"> </w:t>
      </w:r>
      <w:r>
        <w:rPr>
          <w:i/>
          <w:iCs/>
        </w:rPr>
        <w:t xml:space="preserve">Geophys. Res. Lett.</w:t>
      </w:r>
      <w:r>
        <w:t xml:space="preserve">, vol. 50, no. 12, p. e2023GL103521, 2023.</w:t>
      </w:r>
    </w:p>
    <w:p>
      <w:pPr>
        <w:pStyle w:val="BodyText"/>
      </w:pPr>
      <w:r>
        <w:t xml:space="preserve">[8] A. Farchi et al.,</w:t>
      </w:r>
      <w:r>
        <w:t xml:space="preserve"> </w:t>
      </w:r>
      <w:r>
        <w:t xml:space="preserve">“Neural network data assimilation in the ECMWF 4D-Var system,”</w:t>
      </w:r>
      <w:r>
        <w:t xml:space="preserve"> </w:t>
      </w:r>
      <w:r>
        <w:rPr>
          <w:i/>
          <w:iCs/>
        </w:rPr>
        <w:t xml:space="preserve">J. Adv. Model. Earth Syst.</w:t>
      </w:r>
      <w:r>
        <w:t xml:space="preserve">, vol. 16, no. 3, 2024.</w:t>
      </w:r>
    </w:p>
    <w:p>
      <w:pPr>
        <w:pStyle w:val="BodyText"/>
      </w:pPr>
      <w:r>
        <w:t xml:space="preserve">[9] Y. Xie et al.,</w:t>
      </w:r>
      <w:r>
        <w:t xml:space="preserve"> </w:t>
      </w:r>
      <w:r>
        <w:t xml:space="preserve">“Two-stage bias correction for short-term load forecasting under distribution shift,”</w:t>
      </w:r>
      <w:r>
        <w:t xml:space="preserve"> </w:t>
      </w:r>
      <w:r>
        <w:rPr>
          <w:i/>
          <w:iCs/>
        </w:rPr>
        <w:t xml:space="preserve">IEEE Trans. Power Syst.</w:t>
      </w:r>
      <w:r>
        <w:t xml:space="preserve">, vol. 40, no. 1, pp. 456–467, 2025.</w:t>
      </w:r>
    </w:p>
    <w:p>
      <w:pPr>
        <w:pStyle w:val="BodyText"/>
      </w:pPr>
      <w:r>
        <w:t xml:space="preserve">[10] International Energy Agency,</w:t>
      </w:r>
      <w:r>
        <w:t xml:space="preserve"> </w:t>
      </w:r>
      <w:r>
        <w:rPr>
          <w:i/>
          <w:iCs/>
        </w:rPr>
        <w:t xml:space="preserve">Africa Energy Outlook 2023</w:t>
      </w:r>
      <w:r>
        <w:t xml:space="preserve">. Paris: IEA, 2023.</w:t>
      </w:r>
    </w:p>
    <w:p>
      <w:pPr>
        <w:pStyle w:val="BodyText"/>
      </w:pPr>
      <w:r>
        <w:t xml:space="preserve">[11] K. Stankeviciute et al.,</w:t>
      </w:r>
      <w:r>
        <w:t xml:space="preserve"> </w:t>
      </w:r>
      <w:r>
        <w:t xml:space="preserve">“Conformal time-series forecasting,”</w:t>
      </w:r>
      <w:r>
        <w:t xml:space="preserve"> </w:t>
      </w:r>
      <w:r>
        <w:rPr>
          <w:i/>
          <w:iCs/>
        </w:rPr>
        <w:t xml:space="preserve">NeurIPS</w:t>
      </w:r>
      <w:r>
        <w:t xml:space="preserve">, vol. 34, pp. 6216–6228, 2021.</w:t>
      </w:r>
    </w:p>
    <w:p>
      <w:pPr>
        <w:pStyle w:val="BodyText"/>
      </w:pPr>
      <w:r>
        <w:t xml:space="preserve">[12] WAPDA,</w:t>
      </w:r>
      <w:r>
        <w:t xml:space="preserve"> </w:t>
      </w:r>
      <w:r>
        <w:t xml:space="preserve">“Load forecasting for Pakistan’s power system,”</w:t>
      </w:r>
      <w:r>
        <w:t xml:space="preserve"> </w:t>
      </w:r>
      <w:r>
        <w:t xml:space="preserve">Tech. Rep., 2020.</w:t>
      </w:r>
    </w:p>
    <w:p>
      <w:pPr>
        <w:pStyle w:val="BodyText"/>
      </w:pPr>
      <w:r>
        <w:t xml:space="preserve">[13] J. Lu et al.,</w:t>
      </w:r>
      <w:r>
        <w:t xml:space="preserve"> </w:t>
      </w:r>
      <w:r>
        <w:t xml:space="preserve">“Learning under concept drift: A review,”</w:t>
      </w:r>
      <w:r>
        <w:t xml:space="preserve"> </w:t>
      </w:r>
      <w:r>
        <w:rPr>
          <w:i/>
          <w:iCs/>
        </w:rPr>
        <w:t xml:space="preserve">IEEE Trans. Knowl. Data Eng.</w:t>
      </w:r>
      <w:r>
        <w:t xml:space="preserve">, vol. 31, no. 12, pp. 2346–2363, 2018.</w:t>
      </w:r>
    </w:p>
    <w:p>
      <w:pPr>
        <w:pStyle w:val="BodyText"/>
      </w:pPr>
      <w:r>
        <w:t xml:space="preserve">[14] R. J. Hyndman and G. Athanasopoulos,</w:t>
      </w:r>
      <w:r>
        <w:t xml:space="preserve"> </w:t>
      </w:r>
      <w:r>
        <w:rPr>
          <w:i/>
          <w:iCs/>
        </w:rPr>
        <w:t xml:space="preserve">Forecasting: Principles and Practice</w:t>
      </w:r>
      <w:r>
        <w:t xml:space="preserve">, 3rd ed. OTexts, 2021.</w:t>
      </w:r>
    </w:p>
    <w:p>
      <w:pPr>
        <w:pStyle w:val="BodyText"/>
      </w:pPr>
      <w:r>
        <w:t xml:space="preserve">[15] A. Sobolev,</w:t>
      </w:r>
      <w:r>
        <w:t xml:space="preserve"> </w:t>
      </w:r>
      <w:r>
        <w:rPr>
          <w:i/>
          <w:iCs/>
        </w:rPr>
        <w:t xml:space="preserve">Sobolev Spaces and Regularization in Function Spaces</w:t>
      </w:r>
      <w:r>
        <w:t xml:space="preserve">. Springer, 1995.</w:t>
      </w:r>
    </w:p>
    <w:p>
      <w:pPr>
        <w:pStyle w:val="BodyText"/>
      </w:pPr>
      <w:r>
        <w:t xml:space="preserve">[16] G. E. Box et al.,</w:t>
      </w:r>
      <w:r>
        <w:t xml:space="preserve"> </w:t>
      </w:r>
      <w:r>
        <w:rPr>
          <w:i/>
          <w:iCs/>
        </w:rPr>
        <w:t xml:space="preserve">Time Series Analysis: Forecasting and Control</w:t>
      </w:r>
      <w:r>
        <w:t xml:space="preserve">, 5th ed. Wiley, 2015.</w:t>
      </w:r>
    </w:p>
    <w:p>
      <w:pPr>
        <w:pStyle w:val="BodyText"/>
      </w:pPr>
      <w:r>
        <w:t xml:space="preserve">[17] R. G. Brown,</w:t>
      </w:r>
      <w:r>
        <w:t xml:space="preserve"> </w:t>
      </w:r>
      <w:r>
        <w:rPr>
          <w:i/>
          <w:iCs/>
        </w:rPr>
        <w:t xml:space="preserve">Smoothing, Forecasting and Prediction of Discrete Time Series</w:t>
      </w:r>
      <w:r>
        <w:t xml:space="preserve">. Prentice-Hall, 1963.</w:t>
      </w:r>
    </w:p>
    <w:p>
      <w:pPr>
        <w:pStyle w:val="BodyText"/>
      </w:pPr>
      <w:r>
        <w:t xml:space="preserve">[18] H. S. Hippert et al.,</w:t>
      </w:r>
      <w:r>
        <w:t xml:space="preserve"> </w:t>
      </w:r>
      <w:r>
        <w:t xml:space="preserve">“Neural networks for short-term load forecasting: A review,”</w:t>
      </w:r>
      <w:r>
        <w:t xml:space="preserve"> </w:t>
      </w:r>
      <w:r>
        <w:rPr>
          <w:i/>
          <w:iCs/>
        </w:rPr>
        <w:t xml:space="preserve">IEEE Trans. Power Syst.</w:t>
      </w:r>
      <w:r>
        <w:t xml:space="preserve">, vol. 16, no. 1, pp. 44–55, 2001.</w:t>
      </w:r>
    </w:p>
    <w:p>
      <w:pPr>
        <w:pStyle w:val="BodyText"/>
      </w:pPr>
      <w:r>
        <w:t xml:space="preserve">[19] L. Suganthi and A. A. Samuel,</w:t>
      </w:r>
      <w:r>
        <w:t xml:space="preserve"> </w:t>
      </w:r>
      <w:r>
        <w:t xml:space="preserve">“Energy models for demand forecasting—A review,”</w:t>
      </w:r>
      <w:r>
        <w:t xml:space="preserve"> </w:t>
      </w:r>
      <w:r>
        <w:rPr>
          <w:i/>
          <w:iCs/>
        </w:rPr>
        <w:t xml:space="preserve">Renew. Sustain. Energy Rev.</w:t>
      </w:r>
      <w:r>
        <w:t xml:space="preserve">, vol. 16, no. 2, pp. 1223–1240, 2012.</w:t>
      </w:r>
    </w:p>
    <w:p>
      <w:pPr>
        <w:pStyle w:val="BodyText"/>
      </w:pPr>
      <w:r>
        <w:t xml:space="preserve">[20] M. Sobhani et al.,</w:t>
      </w:r>
      <w:r>
        <w:t xml:space="preserve"> </w:t>
      </w:r>
      <w:r>
        <w:t xml:space="preserve">“Electricity load forecasting for developing countries: A review,”</w:t>
      </w:r>
      <w:r>
        <w:t xml:space="preserve"> </w:t>
      </w:r>
      <w:r>
        <w:rPr>
          <w:i/>
          <w:iCs/>
        </w:rPr>
        <w:t xml:space="preserve">Energy Rep.</w:t>
      </w:r>
      <w:r>
        <w:t xml:space="preserve">, vol. 6, pp. 3120–3133, 2020.</w:t>
      </w:r>
    </w:p>
    <w:p>
      <w:pPr>
        <w:pStyle w:val="BodyText"/>
      </w:pPr>
      <w:r>
        <w:t xml:space="preserve">[21] S. N. Fallah et al.,</w:t>
      </w:r>
      <w:r>
        <w:t xml:space="preserve"> </w:t>
      </w:r>
      <w:r>
        <w:t xml:space="preserve">“Computational intelligence algorithms for electricity load forecasting: State-of-the-art,”</w:t>
      </w:r>
      <w:r>
        <w:t xml:space="preserve"> </w:t>
      </w:r>
      <w:r>
        <w:rPr>
          <w:i/>
          <w:iCs/>
        </w:rPr>
        <w:t xml:space="preserve">Energies</w:t>
      </w:r>
      <w:r>
        <w:t xml:space="preserve">, vol. 11, no. 6, p. 1400, 2018.</w:t>
      </w:r>
    </w:p>
    <w:p>
      <w:pPr>
        <w:pStyle w:val="BodyText"/>
      </w:pPr>
      <w:r>
        <w:t xml:space="preserve">[22] M. Khodayar et al.,</w:t>
      </w:r>
      <w:r>
        <w:t xml:space="preserve"> </w:t>
      </w:r>
      <w:r>
        <w:t xml:space="preserve">“Rough deep neural network for short-term load forecasting in smart grids,”</w:t>
      </w:r>
      <w:r>
        <w:t xml:space="preserve"> </w:t>
      </w:r>
      <w:r>
        <w:rPr>
          <w:i/>
          <w:iCs/>
        </w:rPr>
        <w:t xml:space="preserve">IEEE Trans. Ind. Inform.</w:t>
      </w:r>
      <w:r>
        <w:t xml:space="preserve">, vol. 16, no. 6, pp. 3684–3695, 2019.</w:t>
      </w:r>
    </w:p>
    <w:p>
      <w:pPr>
        <w:pStyle w:val="BodyText"/>
      </w:pPr>
      <w:r>
        <w:t xml:space="preserve">[23] S. Y. Shih et al.,</w:t>
      </w:r>
      <w:r>
        <w:t xml:space="preserve"> </w:t>
      </w:r>
      <w:r>
        <w:t xml:space="preserve">“Temporal pattern attention for multivariate time series forecasting,”</w:t>
      </w:r>
      <w:r>
        <w:t xml:space="preserve"> </w:t>
      </w:r>
      <w:r>
        <w:rPr>
          <w:i/>
          <w:iCs/>
        </w:rPr>
        <w:t xml:space="preserve">Mach. Learn.</w:t>
      </w:r>
      <w:r>
        <w:t xml:space="preserve">, vol. 108, no. 8-9, pp. 1421–1441, 2019.</w:t>
      </w:r>
    </w:p>
    <w:p>
      <w:pPr>
        <w:pStyle w:val="BodyText"/>
      </w:pPr>
      <w:r>
        <w:t xml:space="preserve">[24] H. Zhou et al.,</w:t>
      </w:r>
      <w:r>
        <w:t xml:space="preserve"> </w:t>
      </w:r>
      <w:r>
        <w:t xml:space="preserve">“Informer: Beyond efficient transformer for long sequence time-series forecasting,”</w:t>
      </w:r>
      <w:r>
        <w:t xml:space="preserve"> </w:t>
      </w:r>
      <w:r>
        <w:t xml:space="preserve">in</w:t>
      </w:r>
      <w:r>
        <w:t xml:space="preserve"> </w:t>
      </w:r>
      <w:r>
        <w:rPr>
          <w:i/>
          <w:iCs/>
        </w:rPr>
        <w:t xml:space="preserve">Proc. AAAI</w:t>
      </w:r>
      <w:r>
        <w:t xml:space="preserve">, vol. 35, no. 12, 2021, pp. 11106–11115.</w:t>
      </w:r>
    </w:p>
    <w:p>
      <w:pPr>
        <w:pStyle w:val="BodyText"/>
      </w:pPr>
      <w:r>
        <w:t xml:space="preserve">[25] H. Wu et al.,</w:t>
      </w:r>
      <w:r>
        <w:t xml:space="preserve"> </w:t>
      </w:r>
      <w:r>
        <w:t xml:space="preserve">“Autoformer: Decomposition transformers for long-term series forecasting,”</w:t>
      </w:r>
      <w:r>
        <w:t xml:space="preserve"> </w:t>
      </w:r>
      <w:r>
        <w:rPr>
          <w:i/>
          <w:iCs/>
        </w:rPr>
        <w:t xml:space="preserve">NeurIPS</w:t>
      </w:r>
      <w:r>
        <w:t xml:space="preserve">, vol. 34, pp. 22419–22430, 2021.</w:t>
      </w:r>
    </w:p>
    <w:p>
      <w:pPr>
        <w:pStyle w:val="BodyText"/>
      </w:pPr>
      <w:r>
        <w:t xml:space="preserve">[26] B. Lim and S. Zohren,</w:t>
      </w:r>
      <w:r>
        <w:t xml:space="preserve"> </w:t>
      </w:r>
      <w:r>
        <w:t xml:space="preserve">“Time-series forecasting with deep learning: a survey,”</w:t>
      </w:r>
      <w:r>
        <w:t xml:space="preserve"> </w:t>
      </w:r>
      <w:r>
        <w:rPr>
          <w:i/>
          <w:iCs/>
        </w:rPr>
        <w:t xml:space="preserve">Phil. Trans. R. Soc. A</w:t>
      </w:r>
      <w:r>
        <w:t xml:space="preserve">, vol. 379, no. 2194, p. 20200209, 2021.</w:t>
      </w:r>
    </w:p>
    <w:p>
      <w:pPr>
        <w:pStyle w:val="BodyText"/>
      </w:pPr>
      <w:r>
        <w:t xml:space="preserve">[27] J. W. Taylor,</w:t>
      </w:r>
      <w:r>
        <w:t xml:space="preserve"> </w:t>
      </w:r>
      <w:r>
        <w:t xml:space="preserve">“Short-term electricity demand forecasting using double seasonal exponential smoothing,”</w:t>
      </w:r>
      <w:r>
        <w:t xml:space="preserve"> </w:t>
      </w:r>
      <w:r>
        <w:rPr>
          <w:i/>
          <w:iCs/>
        </w:rPr>
        <w:t xml:space="preserve">J. Oper. Res. Soc.</w:t>
      </w:r>
      <w:r>
        <w:t xml:space="preserve">, vol. 54, no. 8, pp. 799–805, 2003.</w:t>
      </w:r>
    </w:p>
    <w:p>
      <w:pPr>
        <w:pStyle w:val="BodyText"/>
      </w:pPr>
      <w:r>
        <w:t xml:space="preserve">[28] M. A. M. Daut et al.,</w:t>
      </w:r>
      <w:r>
        <w:t xml:space="preserve"> </w:t>
      </w:r>
      <w:r>
        <w:t xml:space="preserve">“Building electrical energy consumption forecasting analysis,”</w:t>
      </w:r>
      <w:r>
        <w:t xml:space="preserve"> </w:t>
      </w:r>
      <w:r>
        <w:rPr>
          <w:i/>
          <w:iCs/>
        </w:rPr>
        <w:t xml:space="preserve">J. Electr. Syst. Inf. Technol.</w:t>
      </w:r>
      <w:r>
        <w:t xml:space="preserve">, vol. 4, no. 1, pp. 177–188, 2017.</w:t>
      </w:r>
    </w:p>
    <w:p>
      <w:pPr>
        <w:pStyle w:val="BodyText"/>
      </w:pPr>
      <w:r>
        <w:t xml:space="preserve">[29] G. A. N. Mbamalu and M. E. El-Hawary,</w:t>
      </w:r>
      <w:r>
        <w:t xml:space="preserve"> </w:t>
      </w:r>
      <w:r>
        <w:t xml:space="preserve">“Load forecasting via local linear regression,”</w:t>
      </w:r>
      <w:r>
        <w:t xml:space="preserve"> </w:t>
      </w:r>
      <w:r>
        <w:rPr>
          <w:i/>
          <w:iCs/>
        </w:rPr>
        <w:t xml:space="preserve">IEEE Trans. Power Syst.</w:t>
      </w:r>
      <w:r>
        <w:t xml:space="preserve">, vol. 8, no. 4, pp. 1662–1670, 1993.</w:t>
      </w:r>
    </w:p>
    <w:p>
      <w:pPr>
        <w:pStyle w:val="BodyText"/>
      </w:pPr>
      <w:r>
        <w:t xml:space="preserve">[30] I. Drezga and S. Rahman,</w:t>
      </w:r>
      <w:r>
        <w:t xml:space="preserve"> </w:t>
      </w:r>
      <w:r>
        <w:t xml:space="preserve">“Input variable selection for ANN-based short-term load forecasting,”</w:t>
      </w:r>
      <w:r>
        <w:t xml:space="preserve"> </w:t>
      </w:r>
      <w:r>
        <w:rPr>
          <w:i/>
          <w:iCs/>
        </w:rPr>
        <w:t xml:space="preserve">IEEE Trans. Power Syst.</w:t>
      </w:r>
      <w:r>
        <w:t xml:space="preserve">, vol. 13, no. 4, pp. 1238–1244, 1998.</w:t>
      </w:r>
    </w:p>
    <w:p>
      <w:pPr>
        <w:pStyle w:val="BodyText"/>
      </w:pPr>
      <w:r>
        <w:t xml:space="preserve">[31] F. Pedregosa et al.,</w:t>
      </w:r>
      <w:r>
        <w:t xml:space="preserve"> </w:t>
      </w:r>
      <w:r>
        <w:t xml:space="preserve">“Scikit-learn: Machine learning in Python,”</w:t>
      </w:r>
      <w:r>
        <w:t xml:space="preserve"> </w:t>
      </w:r>
      <w:r>
        <w:rPr>
          <w:i/>
          <w:iCs/>
        </w:rPr>
        <w:t xml:space="preserve">J. Mach. Learn. Res.</w:t>
      </w:r>
      <w:r>
        <w:t xml:space="preserve">, vol. 12, pp. 2825–2830, 2011.</w:t>
      </w:r>
    </w:p>
    <w:bookmarkEnd w:id="80"/>
    <w:bookmarkEnd w:id="81"/>
    <w:sectPr w:rsidR="00ED0D04" w:rsidRPr="00BA3491">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F227B5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32733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ED0D04"/>
    <w:rsid w:val="002A6C3E"/>
    <w:rsid w:val="00BA3491"/>
    <w:rsid w:val="00C851A3"/>
    <w:rsid w:val="00ED0D0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ableGridLight" w:type="table">
    <w:name w:val="Grid Table Light"/>
    <w:basedOn w:val="TableNormal"/>
    <w:rsid w:val="002A6C3E"/>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GridTable1Light" w:type="table">
    <w:name w:val="Grid Table 1 Light"/>
    <w:basedOn w:val="TableNormal"/>
    <w:rsid w:val="002A6C3E"/>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5" Target="media/image1.png" Type="http://schemas.openxmlformats.org/officeDocument/2006/relationships/image" /><Relationship Type="http://schemas.openxmlformats.org/officeDocument/2006/relationships/image" Id="rId27" Target="media/rId27.png" /><Relationship Type="http://schemas.openxmlformats.org/officeDocument/2006/relationships/image" Id="rId15" Target="media/rId15.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33" Target="media/rId33.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3108</Words>
  <Characters>17722</Characters>
  <Application>Microsoft Office Word</Application>
  <DocSecurity>0</DocSecurity>
  <Lines>147</Lines>
  <Paragraphs>41</Paragraphs>
  <ScaleCrop>false</ScaleCrop>
  <Company/>
  <LinksUpToDate>false</LinksUpToDate>
  <CharactersWithSpaces>20789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2026-06-24T09:49:32Z</dcterms:created>
  <dcterms:modified xsi:type="dcterms:W3CDTF">2026-06-24T09:49:32Z</dcterms:modified>
</cp:coreProperties>
</file>

<file path=docProps/custom.xml><?xml version="1.0" encoding="utf-8"?>
<Properties xmlns="http://schemas.openxmlformats.org/officeDocument/2006/custom-properties" xmlns:vt="http://schemas.openxmlformats.org/officeDocument/2006/docPropsVTypes"/>
</file>