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53f828fe5006ee25f01f67a7db1922ea28545a2"/>
    <w:p>
      <w:pPr>
        <w:pStyle w:val="Heading1"/>
      </w:pPr>
      <w:r>
        <w:t xml:space="preserve">Online Bias Correction for Short-Term Load Forecasting on a Rapidly Growing Grid: The TIDE Mechanism</w:t>
      </w:r>
    </w:p>
    <w:bookmarkStart w:id="9" w:name="abstract"/>
    <w:p>
      <w:pPr>
        <w:pStyle w:val="Heading2"/>
      </w:pPr>
      <w:r>
        <w:t xml:space="preserve">Abstract</w:t>
      </w:r>
    </w:p>
    <w:p>
      <w:pPr>
        <w:pStyle w:val="FirstParagraph"/>
      </w:pPr>
      <w:r>
        <w:t xml:space="preserve">Accurate short-term load forecasting (STLF) is a cornerstone of modern power grid operations, enabling efficient resource scheduling, market clearing, and reliability management. However, in rapidly developing economies, electricity grids exhibit severe non-stationarity driven by rapid urbanization, grid expansion, and electrification programs. This paper presents an empirical investigation into day-ahead load forecasting for a West African national grid undergoing extreme growth, where mean hourly demand rose by 94% (from 1,692 MW to 3,275 MW) over an eight-year study period (2018–2026). Using a 6-fold expanding-window cross-validation framework, we evaluate a decomposition-linear baseline model (DLinear). While the model captures diurnal and seasonal profiles effectively (achieving 3.65% MAPE), it accumulates substantial systematic bias (under-forecasting) between retraining cycles due to the rapid demand growth.</w:t>
      </w:r>
    </w:p>
    <w:p>
      <w:pPr>
        <w:pStyle w:val="BodyText"/>
      </w:pPr>
      <w:r>
        <w:t xml:space="preserve">Through analysis of the forecast residuals, we identify a highly persistent, slowly varying bias signal characterized by strong autocorrelation (</w:t>
      </w:r>
      <m:oMath>
        <m:r>
          <m:t>ρ</m:t>
        </m:r>
        <m:r>
          <m:rPr>
            <m:sty m:val="p"/>
          </m:rPr>
          <m:t>=</m:t>
        </m:r>
        <m:r>
          <m:t>0.6</m:t>
        </m:r>
      </m:oMath>
      <w:r>
        <w:t xml:space="preserve"> </w:t>
      </w:r>
      <w:r>
        <w:t xml:space="preserve">to</w:t>
      </w:r>
      <w:r>
        <w:t xml:space="preserve"> </w:t>
      </w:r>
      <m:oMath>
        <m:r>
          <m:t>0.8</m:t>
        </m:r>
      </m:oMath>
      <w:r>
        <w:t xml:space="preserve"> </w:t>
      </w:r>
      <w:r>
        <w:t xml:space="preserve">at lags 1–48 hours) and scale dependency. To address this structural issue, we propose a zero-parameter, online bias correction mechanism termed</w:t>
      </w:r>
      <w:r>
        <w:t xml:space="preserve"> </w:t>
      </w:r>
      <w:r>
        <w:rPr>
          <w:b/>
          <w:bCs/>
        </w:rPr>
        <w:t xml:space="preserve">TIDE (Temporal Integration of Drift Errors)</w:t>
      </w:r>
      <w:r>
        <w:t xml:space="preserve">. Operating in normalized</w:t>
      </w:r>
      <w:r>
        <w:t xml:space="preserve"> </w:t>
      </w:r>
      <m:oMath>
        <m:r>
          <m:t>z</m:t>
        </m:r>
      </m:oMath>
      <w:r>
        <w:t xml:space="preserve">-score space to maintain scale invariance, TIDE tracks forecast deviations and updates an exponentially weighted moving average (EMA) of the drift, which is then subtracted from future predictions. We mathematically derive TIDE as a steady-state Kalman filter, demonstrating that it represents the optimal estimator under a random walk drift model with white measurement noise, while avoiding the parameter estimation noise that degrades dynamic Kalman filters.</w:t>
      </w:r>
    </w:p>
    <w:p>
      <w:pPr>
        <w:pStyle w:val="BodyText"/>
      </w:pPr>
      <w:r>
        <w:t xml:space="preserve">Over the 6 cross-validation folds, TIDE improves the DLinear mean fold MAE from 93.9 MW to 75.9 MW (a 19.2% relative error reduction,</w:t>
      </w:r>
      <w:r>
        <w:t xml:space="preserve"> </w:t>
      </w:r>
      <m:oMath>
        <m:r>
          <m:t>p</m:t>
        </m:r>
        <m:r>
          <m:rPr>
            <m:sty m:val="p"/>
          </m:rPr>
          <m:t>&lt;</m:t>
        </m:r>
        <m:r>
          <m:t>0.001</m:t>
        </m:r>
      </m:oMath>
      <w:r>
        <w:t xml:space="preserve">) and reduces systematic bias from -18.2 MW to -2.3 MW (an 87.3% reduction). We demonstrate that TIDE generalizes seamlessly across eleven forecasting architectures—including LSTMs, Transformers, LightGBM, and classical statistical models—yielding a consistent 23–26% improvement on ensemble predictions. Furthermore, TIDE outperforms traditional online correctors such as Simple Moving Averages, linear trend extrapolators, and Kalman filters while requiring no gradient calculations, no parameter updates, and only a single, non-sensitive hyperparameter (</w:t>
      </w:r>
      <m:oMath>
        <m:r>
          <m:t>α</m:t>
        </m:r>
        <m:r>
          <m:rPr>
            <m:sty m:val="p"/>
          </m:rPr>
          <m:t>=</m:t>
        </m:r>
        <m:r>
          <m:t>0.3</m:t>
        </m:r>
      </m:oMath>
      <w:r>
        <w:t xml:space="preserve">). We contextualize these findings for developing-economy grids, analyzing the impacts of data volume, warm-starting retraining cycles, and Sobolev trajectory regularization, and present a lightweight production architecture suitable for resource-constrained utility environments.</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Power system operators rely heavily on short-term load forecasting (STLF) to maintain grid stability, schedule generation dispatches, and optimize power procurement [18, 19]. In temperate, developed economies, electricity load forecasting models operate in highly stable environments where annual demand growth is negligible (typically 1–2% per annum) and the dominant drivers of load variation are highly predictable seasonal and meteorological cycles [26, 27]. Consequently, the academic literature has focused extensively on capturing complex non-linear relationships between load, weather variables, and calendar features using high-capacity architectures such as deep neural networks [21], Transformers [24, 25], and gradient-boosted trees.</w:t>
      </w:r>
    </w:p>
    <w:p>
      <w:pPr>
        <w:pStyle w:val="BodyText"/>
      </w:pPr>
      <w:r>
        <w:t xml:space="preserve">In contrast, electricity grids in developing countries, particularly in Sub-Saharan Africa, are characterized by intense structural transitions [10]. Rapid economic growth, rural electrification initiatives, urbanization, and the integration of large industrial consumers (such as mining and heavy manufacturing) drive annual demand growth rates between 6% and 14% [20]. Over multi-year horizons, this cumulative growth results in massive distribution shifts.</w:t>
      </w:r>
    </w:p>
    <w:p>
      <w:pPr>
        <w:pStyle w:val="BodyText"/>
      </w:pPr>
      <w:r>
        <w:t xml:space="preserve">For example, the West African national grid examined in this study grew from a mean demand of 1,692 MW in 2018 to 3,275 MW in the first half of 2026—a 94% expansion in under a decade. Peak hourly demand similarly accelerated from 2,250 MW to 4,031 MW. In such environments, the forecasting challenge is fundamentally different: non-stationarity and distribution shift are not secondary concerns but rather the dominant features of the load signal.</w:t>
      </w:r>
    </w:p>
    <w:p>
      <w:pPr>
        <w:pStyle w:val="BodyText"/>
      </w:pPr>
      <w:r>
        <w:t xml:space="preserve">Furthermore, developing-economy grids face distinct operational constraints that limit the deployment of complex forecasting systems [2]:</w:t>
      </w:r>
      <w:r>
        <w:t xml:space="preserve"> </w:t>
      </w:r>
      <w:r>
        <w:t xml:space="preserve">1.</w:t>
      </w:r>
      <w:r>
        <w:t xml:space="preserve"> </w:t>
      </w:r>
      <w:r>
        <w:rPr>
          <w:b/>
          <w:bCs/>
        </w:rPr>
        <w:t xml:space="preserve">Infrastructure Constraints</w:t>
      </w:r>
      <w:r>
        <w:t xml:space="preserve">: Transmission system operators (TSOs) in resource-constrained environments often lack the high-performance computing (HPC) clusters, GPU nodes, and specialized machine learning engineering teams required to maintain, monitor, and scale deep learning pipelines.</w:t>
      </w:r>
      <w:r>
        <w:t xml:space="preserve"> </w:t>
      </w:r>
      <w:r>
        <w:t xml:space="preserve">2.</w:t>
      </w:r>
      <w:r>
        <w:t xml:space="preserve"> </w:t>
      </w:r>
      <w:r>
        <w:rPr>
          <w:b/>
          <w:bCs/>
        </w:rPr>
        <w:t xml:space="preserve">Data Quality and Noise</w:t>
      </w:r>
      <w:r>
        <w:t xml:space="preserve">: Substantial metering inaccuracies, non-technical losses (such as electricity theft, which accounts for 15–25% of generation in many Sub-Saharan grids), and communication outages introduce significant noise into the historical load data [2, 28].</w:t>
      </w:r>
      <w:r>
        <w:t xml:space="preserve"> </w:t>
      </w:r>
      <w:r>
        <w:t xml:space="preserve">3.</w:t>
      </w:r>
      <w:r>
        <w:t xml:space="preserve"> </w:t>
      </w:r>
      <w:r>
        <w:rPr>
          <w:b/>
          <w:bCs/>
        </w:rPr>
        <w:t xml:space="preserve">Operational Interruptions (Load Shedding)</w:t>
      </w:r>
      <w:r>
        <w:t xml:space="preserve">: Under conditions of rapid growth, demand often outpaces generation capacity. During load-shedding events, the observed load reflects available supply rather than true unconstrained demand. This creates a downward bias in the training data that models inevitably learn, compounding under-forecasting errors.</w:t>
      </w:r>
      <w:r>
        <w:t xml:space="preserve"> </w:t>
      </w:r>
      <w:r>
        <w:t xml:space="preserve">4.</w:t>
      </w:r>
      <w:r>
        <w:t xml:space="preserve"> </w:t>
      </w:r>
      <w:r>
        <w:rPr>
          <w:b/>
          <w:bCs/>
        </w:rPr>
        <w:t xml:space="preserve">Altered Exogenous Sensitivity</w:t>
      </w:r>
      <w:r>
        <w:t xml:space="preserve">: Prior studies have shown that temperature correlation is significantly weaker in tropical developing regions (e.g.,</w:t>
      </w:r>
      <w:r>
        <w:t xml:space="preserve"> </w:t>
      </w:r>
      <m:oMath>
        <m:r>
          <m:t>r</m:t>
        </m:r>
        <m:r>
          <m:rPr>
            <m:sty m:val="p"/>
          </m:rPr>
          <m:t>=</m:t>
        </m:r>
        <m:r>
          <m:rPr>
            <m:sty m:val="p"/>
          </m:rPr>
          <m:t>−</m:t>
        </m:r>
        <m:r>
          <m:t>0.25</m:t>
        </m:r>
      </m:oMath>
      <w:r>
        <w:t xml:space="preserve"> </w:t>
      </w:r>
      <w:r>
        <w:t xml:space="preserve">in Tanzania [2]) compared to temperate regions, rendering models that rely heavily on weather inputs less effective.</w:t>
      </w:r>
    </w:p>
    <w:p>
      <w:pPr>
        <w:pStyle w:val="BodyText"/>
      </w:pPr>
      <w:r>
        <w:t xml:space="preserve">These factors present a major hurdle. When standard machine learning models are deployed, their parameters are trained on historical distributions that quickly become obsolete. Retraining models frequently (e.g., weekly or daily) to capture this drift is often proposed as a solution. However, this introduces high operational complexity, risk of model divergence, and computational overhead that local operators cannot support. Conversely, infrequent retraining (e.g., annually) leads to severe performance degradation as the model systematically under-forecasts due to the grid’s growth.</w:t>
      </w:r>
    </w:p>
    <w:p>
      <w:pPr>
        <w:pStyle w:val="BodyText"/>
      </w:pPr>
      <w:r>
        <w:t xml:space="preserve">This study addresses this gap by asking:</w:t>
      </w:r>
      <w:r>
        <w:t xml:space="preserve"> </w:t>
      </w:r>
      <w:r>
        <w:rPr>
          <w:b/>
          <w:bCs/>
        </w:rPr>
        <w:t xml:space="preserve">Can we design a forecasting system that adapts to rapid demand growth and distribution shifts in real time without increasing operational complexity?</w:t>
      </w:r>
    </w:p>
    <w:p>
      <w:pPr>
        <w:pStyle w:val="BodyText"/>
      </w:pPr>
      <w:r>
        <w:t xml:space="preserve">Rather than developing a more complex neural network architecture, we take an analytical approach: we investigate the mathematical structure of the forecast residuals under extreme growth. We establish a strong baseline using DLinear [1], a decomposition-linear architecture, and evaluate it using a 6-fold expanding-window cross-validation framework to map its degradation profile over time. We demonstrate that even when DLinear captures the hourly and seasonal patterns accurately, the growth trend introduces a slowly varying, highly persistent systematic bias in the residuals.</w:t>
      </w:r>
    </w:p>
    <w:p>
      <w:pPr>
        <w:pStyle w:val="BodyText"/>
      </w:pPr>
      <w:r>
        <w:t xml:space="preserve">To resolve this, we propose</w:t>
      </w:r>
      <w:r>
        <w:t xml:space="preserve"> </w:t>
      </w:r>
      <w:r>
        <w:rPr>
          <w:b/>
          <w:bCs/>
        </w:rPr>
        <w:t xml:space="preserve">Temporal Integration of Drift Errors (TIDE)</w:t>
      </w:r>
      <w:r>
        <w:t xml:space="preserve">. TIDE is a zero-parameter, online bias correction algorithm that runs in normalized z-score space. By tracking the running mean of recent forecast errors and applying an exponentially weighted moving average (EMA) correction, TIDE continuously shifts the model’s predictions upward to match the grid’s current scale. Because it operates at the output level in normalized space, TIDE is computationally trivial, scale-invariant, and highly robust.</w:t>
      </w:r>
    </w:p>
    <w:p>
      <w:pPr>
        <w:pStyle w:val="BodyText"/>
      </w:pPr>
      <w:r>
        <w:t xml:space="preserve">The remainder of this paper is structured as follows. Section II reviews the related literature on short-term load forecasting, concept drift, and online error correction. Section III details the data characteristics, preprocessing pipeline, and operational dispatch timeline. Section IV details the baseline DLinear model and the expanding-window evaluation framework. Section V presents the analysis of the residual structure. Section VI introduces the proposed TIDE mechanism and derives its mathematical connection to Kalman filtering and scale invariance. Section VII presents the experimental results, including baseline performance, TIDE correction effects, architectural generalization, comparison with alternative correctors, sensitivity sweeps, and Sobolev regularization. Section VIII discusses the operational implications for utility operators, and Section IX concludes the paper with future research directions.</w:t>
      </w:r>
    </w:p>
    <w:p>
      <w:r>
        <w:pict>
          <v:rect style="width:0;height:1.5pt" o:hralign="center" o:hrstd="t" o:hr="t"/>
        </w:pict>
      </w:r>
    </w:p>
    <w:bookmarkEnd w:id="10"/>
    <w:bookmarkStart w:id="15" w:name="ii.-related-works"/>
    <w:p>
      <w:pPr>
        <w:pStyle w:val="Heading2"/>
      </w:pPr>
      <w:r>
        <w:t xml:space="preserve">II. Related Works</w:t>
      </w:r>
    </w:p>
    <w:bookmarkStart w:id="11" w:name="X4e3319710312f813c3cef4a1a656f1f85aea1a9"/>
    <w:p>
      <w:pPr>
        <w:pStyle w:val="Heading3"/>
      </w:pPr>
      <w:r>
        <w:t xml:space="preserve">A. Short-Term Load Forecasting in Smart Grids</w:t>
      </w:r>
    </w:p>
    <w:p>
      <w:pPr>
        <w:pStyle w:val="FirstParagraph"/>
      </w:pPr>
      <w:r>
        <w:t xml:space="preserve">Short-Term Load Forecasting (STLF) typically focuses on predicting hourly grid demand for horizons ranging from 1 hour to 168 hours (one week) ahead [18]. Historically, utility operators relied on statistical models such as double seasonal Holt-Winters exponential smoothing [27], Autoregressive Integrated Moving Average (ARIMA) models, and regression analysis [29]. While these models are computationally efficient, they struggles to capture the complex, non-linear interactions between weather, calendar variables, and consumer behavior.</w:t>
      </w:r>
    </w:p>
    <w:p>
      <w:pPr>
        <w:pStyle w:val="BodyText"/>
      </w:pPr>
      <w:r>
        <w:t xml:space="preserve">With the advent of smart grids and advanced metering infrastructure (AMI), researchers transitioned to machine learning (ML) techniques. Support Vector Regression (SVR) and Random Forests were widely applied to STLF, followed by deep learning architectures. Recurrent Neural Networks (RNNs), Long Short-Term Memory (LSTM) networks, and Gated Recurrent Units (GRUs) became popular due to their ability to model sequential dependencies [22]. Temporal Convolutional Networks (TCNs) and WaveNet-based models were introduced to capture long-term context using dilated convolutions.</w:t>
      </w:r>
    </w:p>
    <w:p>
      <w:pPr>
        <w:pStyle w:val="BodyText"/>
      </w:pPr>
      <w:r>
        <w:t xml:space="preserve">Recently, Transformer-based architectures have dominated time-series research [24, 25]. Models such as Informer, Autoformer, and PatchTST leverage self-attention mechanisms to capture long-range dependencies across multiple seasonal cycles. However, Zeng et al. [1] challenged this trend by showing that a simple linear model (DLinear/NLinear) that projects decomposed trend and seasonal components can outperform complex Transformers on standard benchmarks while requiring a fraction of the computational cost and parameter count.</w:t>
      </w:r>
    </w:p>
    <w:p>
      <w:pPr>
        <w:pStyle w:val="BodyText"/>
      </w:pPr>
      <w:r>
        <w:t xml:space="preserve">In this work, we adopt DLinear as our primary baseline because its parameter-light structure makes it highly suitable for resource-constrained environments.</w:t>
      </w:r>
    </w:p>
    <w:bookmarkEnd w:id="11"/>
    <w:bookmarkStart w:id="12" w:name="X728c4728f22e31b2b6c217da65ae2fd5faae2f5"/>
    <w:p>
      <w:pPr>
        <w:pStyle w:val="Heading3"/>
      </w:pPr>
      <w:r>
        <w:t xml:space="preserve">B. Load Forecasting in Developing Economies</w:t>
      </w:r>
    </w:p>
    <w:p>
      <w:pPr>
        <w:pStyle w:val="FirstParagraph"/>
      </w:pPr>
      <w:r>
        <w:t xml:space="preserve">The vast majority of STLF research is validated on datasets from stable, mature grids (e.g., PJM, ERCOT, ISO-NE, RTE) where demand growth is near-zero. Research focused on developing-country grids is highly limited. Mvungi et al. [2] analyzed load forecasting challenges in Tanzania, highlighting the impact of high industrial base-loads, weak temperature sensitivity (</w:t>
      </w:r>
      <m:oMath>
        <m:r>
          <m:t>r</m:t>
        </m:r>
        <m:r>
          <m:rPr>
            <m:sty m:val="p"/>
          </m:rPr>
          <m:t>=</m:t>
        </m:r>
        <m:r>
          <m:rPr>
            <m:sty m:val="p"/>
          </m:rPr>
          <m:t>−</m:t>
        </m:r>
        <m:r>
          <m:t>0.25</m:t>
        </m:r>
      </m:oMath>
      <w:r>
        <w:t xml:space="preserve">), and data quality issues. Similar challenges were documented in Pakistan by WAPDA [12], noting that high transmission losses and frequent load shedding degrade model accuracy.</w:t>
      </w:r>
    </w:p>
    <w:p>
      <w:pPr>
        <w:pStyle w:val="BodyText"/>
      </w:pPr>
      <w:r>
        <w:t xml:space="preserve">Sobhani et al. [20] reviewed energy demand forecasting in developing countries, pointing out that classical econometric models dominate local utility operations due to a lack of computational capacity. The literature lacks systematic studies evaluating how modern deep learning models degrade under the rapid 6–14% annual demand growth typical of these regions, and how to adapt them without expensive infrastructure.</w:t>
      </w:r>
    </w:p>
    <w:bookmarkEnd w:id="12"/>
    <w:bookmarkStart w:id="13" w:name="c.-concept-drift-and-distribution-shift"/>
    <w:p>
      <w:pPr>
        <w:pStyle w:val="Heading3"/>
      </w:pPr>
      <w:r>
        <w:t xml:space="preserve">C. Concept Drift and Distribution Shift</w:t>
      </w:r>
    </w:p>
    <w:p>
      <w:pPr>
        <w:pStyle w:val="FirstParagraph"/>
      </w:pPr>
      <w:r>
        <w:t xml:space="preserve">In machine learning, distribution shift occurs when the joint distribution of inputs and outputs changes over time (</w:t>
      </w:r>
      <m:oMath>
        <m:sSub>
          <m:e>
            <m:r>
              <m:t>P</m:t>
            </m:r>
          </m:e>
          <m:sub>
            <m:r>
              <m:t>t</m:t>
            </m:r>
          </m:sub>
        </m:sSub>
        <m:r>
          <m:rPr>
            <m:sty m:val="p"/>
          </m:rPr>
          <m:t>(</m:t>
        </m:r>
        <m:r>
          <m:rPr>
            <m:sty m:val="bi"/>
          </m:rPr>
          <m:t>X</m:t>
        </m:r>
        <m:r>
          <m:rPr>
            <m:sty m:val="p"/>
          </m:rPr>
          <m:t>,</m:t>
        </m:r>
        <m:r>
          <m:rPr>
            <m:sty m:val="bi"/>
          </m:rPr>
          <m:t>y</m:t>
        </m:r>
        <m:r>
          <m:rPr>
            <m:sty m:val="p"/>
          </m:rPr>
          <m:t>)</m:t>
        </m:r>
        <m:r>
          <m:rPr>
            <m:sty m:val="p"/>
          </m:rPr>
          <m:t>≠</m:t>
        </m:r>
        <m:sSub>
          <m:e>
            <m:r>
              <m:t>P</m:t>
            </m:r>
          </m:e>
          <m:sub>
            <m:r>
              <m:t>t</m:t>
            </m:r>
            <m:r>
              <m:rPr>
                <m:sty m:val="p"/>
              </m:rPr>
              <m:t>−</m:t>
            </m:r>
            <m:r>
              <m:t>1</m:t>
            </m:r>
          </m:sub>
        </m:sSub>
        <m:r>
          <m:rPr>
            <m:sty m:val="p"/>
          </m:rPr>
          <m:t>(</m:t>
        </m:r>
        <m:r>
          <m:rPr>
            <m:sty m:val="bi"/>
          </m:rPr>
          <m:t>X</m:t>
        </m:r>
        <m:r>
          <m:rPr>
            <m:sty m:val="p"/>
          </m:rPr>
          <m:t>,</m:t>
        </m:r>
        <m:r>
          <m:rPr>
            <m:sty m:val="bi"/>
          </m:rPr>
          <m:t>y</m:t>
        </m:r>
        <m:r>
          <m:rPr>
            <m:sty m:val="p"/>
          </m:rPr>
          <m:t>)</m:t>
        </m:r>
      </m:oMath>
      <w:r>
        <w:t xml:space="preserve">) [4]. When the marginal distribution of the target shifts (</w:t>
      </w:r>
      <m:oMath>
        <m:sSub>
          <m:e>
            <m:r>
              <m:t>P</m:t>
            </m:r>
          </m:e>
          <m:sub>
            <m:r>
              <m:t>t</m:t>
            </m:r>
          </m:sub>
        </m:sSub>
        <m:r>
          <m:rPr>
            <m:sty m:val="p"/>
          </m:rPr>
          <m:t>(</m:t>
        </m:r>
        <m:r>
          <m:rPr>
            <m:sty m:val="bi"/>
          </m:rPr>
          <m:t>y</m:t>
        </m:r>
        <m:r>
          <m:rPr>
            <m:sty m:val="p"/>
          </m:rPr>
          <m:t>)</m:t>
        </m:r>
        <m:r>
          <m:rPr>
            <m:sty m:val="p"/>
          </m:rPr>
          <m:t>≠</m:t>
        </m:r>
        <m:sSub>
          <m:e>
            <m:r>
              <m:t>P</m:t>
            </m:r>
          </m:e>
          <m:sub>
            <m:r>
              <m:t>t</m:t>
            </m:r>
            <m:r>
              <m:rPr>
                <m:sty m:val="p"/>
              </m:rPr>
              <m:t>−</m:t>
            </m:r>
            <m:r>
              <m:t>1</m:t>
            </m:r>
          </m:sub>
        </m:sSub>
        <m:r>
          <m:rPr>
            <m:sty m:val="p"/>
          </m:rPr>
          <m:t>(</m:t>
        </m:r>
        <m:r>
          <m:rPr>
            <m:sty m:val="bi"/>
          </m:rPr>
          <m:t>y</m:t>
        </m:r>
        <m:r>
          <m:rPr>
            <m:sty m:val="p"/>
          </m:rPr>
          <m:t>)</m:t>
        </m:r>
      </m:oMath>
      <w:r>
        <w:t xml:space="preserve">), it is termed</w:t>
      </w:r>
      <w:r>
        <w:t xml:space="preserve"> </w:t>
      </w:r>
      <w:r>
        <w:rPr>
          <w:i/>
          <w:iCs/>
        </w:rPr>
        <w:t xml:space="preserve">label drift</w:t>
      </w:r>
      <w:r>
        <w:t xml:space="preserve"> </w:t>
      </w:r>
      <w:r>
        <w:t xml:space="preserve">or</w:t>
      </w:r>
      <w:r>
        <w:t xml:space="preserve"> </w:t>
      </w:r>
      <w:r>
        <w:rPr>
          <w:i/>
          <w:iCs/>
        </w:rPr>
        <w:t xml:space="preserve">real concept drift</w:t>
      </w:r>
      <w:r>
        <w:t xml:space="preserve"> </w:t>
      </w:r>
      <w:r>
        <w:t xml:space="preserve">[13]. For rapidly growing grids, this shift is primarily driven by the expanding customer base and economic activity, causing the load level to rise monotonically.</w:t>
      </w:r>
    </w:p>
    <w:p>
      <w:pPr>
        <w:pStyle w:val="BodyText"/>
      </w:pPr>
      <w:r>
        <w:t xml:space="preserve">Adapting to concept drift has been studied extensively. Common approaches include:</w:t>
      </w:r>
      <w:r>
        <w:t xml:space="preserve"> </w:t>
      </w:r>
      <w:r>
        <w:t xml:space="preserve">1.</w:t>
      </w:r>
      <w:r>
        <w:t xml:space="preserve"> </w:t>
      </w:r>
      <w:r>
        <w:rPr>
          <w:b/>
          <w:bCs/>
        </w:rPr>
        <w:t xml:space="preserve">Continual Learning and Meta-Learning</w:t>
      </w:r>
      <w:r>
        <w:t xml:space="preserve">: Algorithms such as Elastic Weight Consolidation (EWC) [13] or online gradient descent update model weights incrementally as new data arrives. However, these methods are prone to catastrophic forgetting, require continuous backward passes, and can diverge under extreme shift.</w:t>
      </w:r>
      <w:r>
        <w:t xml:space="preserve"> </w:t>
      </w:r>
      <w:r>
        <w:t xml:space="preserve">2.</w:t>
      </w:r>
      <w:r>
        <w:t xml:space="preserve"> </w:t>
      </w:r>
      <w:r>
        <w:rPr>
          <w:b/>
          <w:bCs/>
        </w:rPr>
        <w:t xml:space="preserve">Replay Buffers</w:t>
      </w:r>
      <w:r>
        <w:t xml:space="preserve">: Maintaining a sliding window of recent data and retraining the model periodically [5]. While effective, the computational cost of frequent retraining is high, and identifying the optimal window size is challenging: short windows lead to overfitting, while long windows fail to adapt to current trends.</w:t>
      </w:r>
    </w:p>
    <w:p>
      <w:pPr>
        <w:pStyle w:val="BodyText"/>
      </w:pPr>
      <w:r>
        <w:t xml:space="preserve">In this work, we demonstrate that instead of updating model weights (which is computationally expensive and unstable), output-level adaptation can absorb the distribution shift.</w:t>
      </w:r>
    </w:p>
    <w:bookmarkEnd w:id="13"/>
    <w:bookmarkStart w:id="14" w:name="d.-online-error-and-bias-correction"/>
    <w:p>
      <w:pPr>
        <w:pStyle w:val="Heading3"/>
      </w:pPr>
      <w:r>
        <w:t xml:space="preserve">D. Online Error and Bias Correction</w:t>
      </w:r>
    </w:p>
    <w:p>
      <w:pPr>
        <w:pStyle w:val="FirstParagraph"/>
      </w:pPr>
      <w:r>
        <w:t xml:space="preserve">Online bias correction adjusts model forecasts at inference time using recent error history. In meteorological and climate forecasting, methods like Data Assimilation (e.g., 4D-Var) [8] and Kalman filtering [3] are standard. However, applying these to load forecasting has been limited due to the complexity of tuning state transition matrices and noise covariance parameters under non-stationary conditions.</w:t>
      </w:r>
    </w:p>
    <w:p>
      <w:pPr>
        <w:pStyle w:val="BodyText"/>
      </w:pPr>
      <w:r>
        <w:t xml:space="preserve">Recently, Mouatadid et al. [7] introduced Adaptive Bias Correction (ABC), which trains an auxiliary XGBoost model to correct subseasonal forecasts. While effective, ABC requires offline training and feature engineering, which increases complexity. Angelopoulos et al. [6] proposed Conformal PID control, which applies PID mechanisms to adapt conformal prediction intervals. While mathematically elegant, it operates on quantile boundaries rather than point estimates and requires tuning multiple gain parameters. Xie et al. [9] proposed a two-stage bias correction using linear regression on error components, which requires continuous parameter estimation.</w:t>
      </w:r>
    </w:p>
    <w:p>
      <w:pPr>
        <w:pStyle w:val="BodyText"/>
      </w:pPr>
      <w:r>
        <w:t xml:space="preserve">Our proposed mechanism, TIDE, differs from these approaches by operating as a zero-parameter, online low-pass filter in normalized space, making it computationally trivial and self-scaling.</w:t>
      </w:r>
    </w:p>
    <w:p>
      <w:r>
        <w:pict>
          <v:rect style="width:0;height:1.5pt" o:hralign="center" o:hrstd="t" o:hr="t"/>
        </w:pict>
      </w:r>
    </w:p>
    <w:bookmarkEnd w:id="14"/>
    <w:bookmarkEnd w:id="15"/>
    <w:bookmarkStart w:id="20" w:name="X2c32b644caedb882f58496e33db61619ce006a3"/>
    <w:p>
      <w:pPr>
        <w:pStyle w:val="Heading2"/>
      </w:pPr>
      <w:r>
        <w:t xml:space="preserve">III. Grid Characteristics and Preprocessing Pipeline</w:t>
      </w:r>
    </w:p>
    <w:bookmarkStart w:id="16" w:name="a.-data-source-and-characteristics"/>
    <w:p>
      <w:pPr>
        <w:pStyle w:val="Heading3"/>
      </w:pPr>
      <w:r>
        <w:t xml:space="preserve">A. Data Source and Characteristics</w:t>
      </w:r>
    </w:p>
    <w:p>
      <w:pPr>
        <w:pStyle w:val="FirstParagraph"/>
      </w:pPr>
      <w:r>
        <w:t xml:space="preserve">The dataset analysed comprises hourly grid load (MW) and meteorological data from a West African national grid spanning January 1, 2018, to June 30, 2026 (74,472 hourly observations). The grid underwent rapid electrification, with the mean hourly load growing from 1,692 MW in 2018 to 3,275 MW in 2026—a 94.1% increase. Peak load reached 4,031 MW in 2026. The annual growth rate accelerated over the study period, as shown in Table I.</w:t>
      </w:r>
    </w:p>
    <w:bookmarkEnd w:id="16"/>
    <w:bookmarkStart w:id="17" w:name="X627154b605180127477def3cc40e90f785084ab"/>
    <w:p>
      <w:pPr>
        <w:pStyle w:val="Heading3"/>
      </w:pPr>
      <w:r>
        <w:t xml:space="preserve">Table I: Grid Demand Growth Statistics (2018–2026)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Year</w:t>
            </w:r>
          </w:p>
        </w:tc>
        <w:tc>
          <w:tcPr/>
          <w:p>
            <w:pPr>
              <w:pStyle w:val="Compact"/>
              <w:jc w:val="center"/>
            </w:pPr>
            <w:r>
              <w:t xml:space="preserve">Mean Demand (MW)</w:t>
            </w:r>
          </w:p>
        </w:tc>
        <w:tc>
          <w:tcPr/>
          <w:p>
            <w:pPr>
              <w:pStyle w:val="Compact"/>
              <w:jc w:val="center"/>
            </w:pPr>
            <w:r>
              <w:t xml:space="preserve">Peak Demand (MW)</w:t>
            </w:r>
          </w:p>
        </w:tc>
        <w:tc>
          <w:tcPr/>
          <w:p>
            <w:pPr>
              <w:pStyle w:val="Compact"/>
              <w:jc w:val="center"/>
            </w:pPr>
            <w:r>
              <w:t xml:space="preserve">Annual Growth Rate (%)</w:t>
            </w:r>
          </w:p>
        </w:tc>
      </w:tr>
      <w:tr>
        <w:tc>
          <w:tcPr/>
          <w:p>
            <w:pPr>
              <w:pStyle w:val="Compact"/>
              <w:jc w:val="center"/>
            </w:pPr>
            <w:r>
              <w:t xml:space="preserve">2018</w:t>
            </w:r>
          </w:p>
        </w:tc>
        <w:tc>
          <w:tcPr/>
          <w:p>
            <w:pPr>
              <w:pStyle w:val="Compact"/>
              <w:jc w:val="center"/>
            </w:pPr>
            <w:r>
              <w:t xml:space="preserve">1,692</w:t>
            </w:r>
          </w:p>
        </w:tc>
        <w:tc>
          <w:tcPr/>
          <w:p>
            <w:pPr>
              <w:pStyle w:val="Compact"/>
              <w:jc w:val="center"/>
            </w:pPr>
            <w:r>
              <w:t xml:space="preserve">2,250</w:t>
            </w:r>
          </w:p>
        </w:tc>
        <w:tc>
          <w:tcPr/>
          <w:p>
            <w:pPr>
              <w:pStyle w:val="Compact"/>
              <w:jc w:val="center"/>
            </w:pPr>
            <w:r>
              <w:t xml:space="preserve">—</w:t>
            </w:r>
          </w:p>
        </w:tc>
      </w:tr>
      <w:tr>
        <w:tc>
          <w:tcPr/>
          <w:p>
            <w:pPr>
              <w:pStyle w:val="Compact"/>
              <w:jc w:val="center"/>
            </w:pPr>
            <w:r>
              <w:t xml:space="preserve">2019</w:t>
            </w:r>
          </w:p>
        </w:tc>
        <w:tc>
          <w:tcPr/>
          <w:p>
            <w:pPr>
              <w:pStyle w:val="Compact"/>
              <w:jc w:val="center"/>
            </w:pPr>
            <w:r>
              <w:t xml:space="preserve">1,797</w:t>
            </w:r>
          </w:p>
        </w:tc>
        <w:tc>
          <w:tcPr/>
          <w:p>
            <w:pPr>
              <w:pStyle w:val="Compact"/>
              <w:jc w:val="center"/>
            </w:pPr>
            <w:r>
              <w:t xml:space="preserve">2,398</w:t>
            </w:r>
          </w:p>
        </w:tc>
        <w:tc>
          <w:tcPr/>
          <w:p>
            <w:pPr>
              <w:pStyle w:val="Compact"/>
              <w:jc w:val="center"/>
            </w:pPr>
            <w:r>
              <w:t xml:space="preserve">+6.2%</w:t>
            </w:r>
          </w:p>
        </w:tc>
      </w:tr>
      <w:tr>
        <w:tc>
          <w:tcPr/>
          <w:p>
            <w:pPr>
              <w:pStyle w:val="Compact"/>
              <w:jc w:val="center"/>
            </w:pPr>
            <w:r>
              <w:t xml:space="preserve">2020</w:t>
            </w:r>
          </w:p>
        </w:tc>
        <w:tc>
          <w:tcPr/>
          <w:p>
            <w:pPr>
              <w:pStyle w:val="Compact"/>
              <w:jc w:val="center"/>
            </w:pPr>
            <w:r>
              <w:t xml:space="preserve">1,874</w:t>
            </w:r>
          </w:p>
        </w:tc>
        <w:tc>
          <w:tcPr/>
          <w:p>
            <w:pPr>
              <w:pStyle w:val="Compact"/>
              <w:jc w:val="center"/>
            </w:pPr>
            <w:r>
              <w:t xml:space="preserve">2,485</w:t>
            </w:r>
          </w:p>
        </w:tc>
        <w:tc>
          <w:tcPr/>
          <w:p>
            <w:pPr>
              <w:pStyle w:val="Compact"/>
              <w:jc w:val="center"/>
            </w:pPr>
            <w:r>
              <w:t xml:space="preserve">+4.3% (COVID-19)</w:t>
            </w:r>
          </w:p>
        </w:tc>
      </w:tr>
      <w:tr>
        <w:tc>
          <w:tcPr/>
          <w:p>
            <w:pPr>
              <w:pStyle w:val="Compact"/>
              <w:jc w:val="center"/>
            </w:pPr>
            <w:r>
              <w:t xml:space="preserve">2021</w:t>
            </w:r>
          </w:p>
        </w:tc>
        <w:tc>
          <w:tcPr/>
          <w:p>
            <w:pPr>
              <w:pStyle w:val="Compact"/>
              <w:jc w:val="center"/>
            </w:pPr>
            <w:r>
              <w:t xml:space="preserve">2,011</w:t>
            </w:r>
          </w:p>
        </w:tc>
        <w:tc>
          <w:tcPr/>
          <w:p>
            <w:pPr>
              <w:pStyle w:val="Compact"/>
              <w:jc w:val="center"/>
            </w:pPr>
            <w:r>
              <w:t xml:space="preserve">2,695</w:t>
            </w:r>
          </w:p>
        </w:tc>
        <w:tc>
          <w:tcPr/>
          <w:p>
            <w:pPr>
              <w:pStyle w:val="Compact"/>
              <w:jc w:val="center"/>
            </w:pPr>
            <w:r>
              <w:t xml:space="preserve">+7.3%</w:t>
            </w:r>
          </w:p>
        </w:tc>
      </w:tr>
      <w:tr>
        <w:tc>
          <w:tcPr/>
          <w:p>
            <w:pPr>
              <w:pStyle w:val="Compact"/>
              <w:jc w:val="center"/>
            </w:pPr>
            <w:r>
              <w:t xml:space="preserve">2022</w:t>
            </w:r>
          </w:p>
        </w:tc>
        <w:tc>
          <w:tcPr/>
          <w:p>
            <w:pPr>
              <w:pStyle w:val="Compact"/>
              <w:jc w:val="center"/>
            </w:pPr>
            <w:r>
              <w:t xml:space="preserve">2,145</w:t>
            </w:r>
          </w:p>
        </w:tc>
        <w:tc>
          <w:tcPr/>
          <w:p>
            <w:pPr>
              <w:pStyle w:val="Compact"/>
              <w:jc w:val="center"/>
            </w:pPr>
            <w:r>
              <w:t xml:space="preserve">2,891</w:t>
            </w:r>
          </w:p>
        </w:tc>
        <w:tc>
          <w:tcPr/>
          <w:p>
            <w:pPr>
              <w:pStyle w:val="Compact"/>
              <w:jc w:val="center"/>
            </w:pPr>
            <w:r>
              <w:t xml:space="preserve">+6.7%</w:t>
            </w:r>
          </w:p>
        </w:tc>
      </w:tr>
      <w:tr>
        <w:tc>
          <w:tcPr/>
          <w:p>
            <w:pPr>
              <w:pStyle w:val="Compact"/>
              <w:jc w:val="center"/>
            </w:pPr>
            <w:r>
              <w:t xml:space="preserve">2023</w:t>
            </w:r>
          </w:p>
        </w:tc>
        <w:tc>
          <w:tcPr/>
          <w:p>
            <w:pPr>
              <w:pStyle w:val="Compact"/>
              <w:jc w:val="center"/>
            </w:pPr>
            <w:r>
              <w:t xml:space="preserve">2,316</w:t>
            </w:r>
          </w:p>
        </w:tc>
        <w:tc>
          <w:tcPr/>
          <w:p>
            <w:pPr>
              <w:pStyle w:val="Compact"/>
              <w:jc w:val="center"/>
            </w:pPr>
            <w:r>
              <w:t xml:space="preserve">3,120</w:t>
            </w:r>
          </w:p>
        </w:tc>
        <w:tc>
          <w:tcPr/>
          <w:p>
            <w:pPr>
              <w:pStyle w:val="Compact"/>
              <w:jc w:val="center"/>
            </w:pPr>
            <w:r>
              <w:t xml:space="preserve">+8.0%</w:t>
            </w:r>
          </w:p>
        </w:tc>
      </w:tr>
      <w:tr>
        <w:tc>
          <w:tcPr/>
          <w:p>
            <w:pPr>
              <w:pStyle w:val="Compact"/>
              <w:jc w:val="center"/>
            </w:pPr>
            <w:r>
              <w:t xml:space="preserve">2024</w:t>
            </w:r>
          </w:p>
        </w:tc>
        <w:tc>
          <w:tcPr/>
          <w:p>
            <w:pPr>
              <w:pStyle w:val="Compact"/>
              <w:jc w:val="center"/>
            </w:pPr>
            <w:r>
              <w:t xml:space="preserve">2,537</w:t>
            </w:r>
          </w:p>
        </w:tc>
        <w:tc>
          <w:tcPr/>
          <w:p>
            <w:pPr>
              <w:pStyle w:val="Compact"/>
              <w:jc w:val="center"/>
            </w:pPr>
            <w:r>
              <w:t xml:space="preserve">3,425</w:t>
            </w:r>
          </w:p>
        </w:tc>
        <w:tc>
          <w:tcPr/>
          <w:p>
            <w:pPr>
              <w:pStyle w:val="Compact"/>
              <w:jc w:val="center"/>
            </w:pPr>
            <w:r>
              <w:t xml:space="preserve">+9.5%</w:t>
            </w:r>
          </w:p>
        </w:tc>
      </w:tr>
      <w:tr>
        <w:tc>
          <w:tcPr/>
          <w:p>
            <w:pPr>
              <w:pStyle w:val="Compact"/>
              <w:jc w:val="center"/>
            </w:pPr>
            <w:r>
              <w:t xml:space="preserve">2025</w:t>
            </w:r>
          </w:p>
        </w:tc>
        <w:tc>
          <w:tcPr/>
          <w:p>
            <w:pPr>
              <w:pStyle w:val="Compact"/>
              <w:jc w:val="center"/>
            </w:pPr>
            <w:r>
              <w:t xml:space="preserve">2,882</w:t>
            </w:r>
          </w:p>
        </w:tc>
        <w:tc>
          <w:tcPr/>
          <w:p>
            <w:pPr>
              <w:pStyle w:val="Compact"/>
              <w:jc w:val="center"/>
            </w:pPr>
            <w:r>
              <w:t xml:space="preserve">3,890</w:t>
            </w:r>
          </w:p>
        </w:tc>
        <w:tc>
          <w:tcPr/>
          <w:p>
            <w:pPr>
              <w:pStyle w:val="Compact"/>
              <w:jc w:val="center"/>
            </w:pPr>
            <w:r>
              <w:t xml:space="preserve">+13.6%</w:t>
            </w:r>
          </w:p>
        </w:tc>
      </w:tr>
      <w:tr>
        <w:tc>
          <w:tcPr/>
          <w:p>
            <w:pPr>
              <w:pStyle w:val="Compact"/>
              <w:jc w:val="center"/>
            </w:pPr>
            <w:r>
              <w:t xml:space="preserve">2026</w:t>
            </w:r>
          </w:p>
        </w:tc>
        <w:tc>
          <w:tcPr/>
          <w:p>
            <w:pPr>
              <w:pStyle w:val="Compact"/>
              <w:jc w:val="center"/>
            </w:pPr>
            <w:r>
              <w:t xml:space="preserve">3,275</w:t>
            </w:r>
          </w:p>
        </w:tc>
        <w:tc>
          <w:tcPr/>
          <w:p>
            <w:pPr>
              <w:pStyle w:val="Compact"/>
              <w:jc w:val="center"/>
            </w:pPr>
            <w:r>
              <w:t xml:space="preserve">4,031</w:t>
            </w:r>
          </w:p>
        </w:tc>
        <w:tc>
          <w:tcPr/>
          <w:p>
            <w:pPr>
              <w:pStyle w:val="Compact"/>
              <w:jc w:val="center"/>
            </w:pPr>
            <w:r>
              <w:t xml:space="preserve">+13.6% (H1 annualized)</w:t>
            </w:r>
          </w:p>
        </w:tc>
      </w:tr>
    </w:tbl>
    <w:p>
      <w:pPr>
        <w:pStyle w:val="BodyText"/>
      </w:pPr>
      <w:r>
        <w:rPr>
          <w:i/>
          <w:iCs/>
        </w:rPr>
        <w:t xml:space="preserve">Note: The growth rate in 2020 was suppressed due to pandemic-related industrial slowdowns, but growth accelerated significantly between 2023 and 2026.</w:t>
      </w:r>
    </w:p>
    <w:bookmarkEnd w:id="17"/>
    <w:bookmarkStart w:id="18" w:name="b.-preprocessing-and-imputation-pipeline"/>
    <w:p>
      <w:pPr>
        <w:pStyle w:val="Heading3"/>
      </w:pPr>
      <w:r>
        <w:t xml:space="preserve">B. Preprocessing and Imputation Pipeline</w:t>
      </w:r>
    </w:p>
    <w:p>
      <w:pPr>
        <w:pStyle w:val="FirstParagraph"/>
      </w:pPr>
      <w:r>
        <w:t xml:space="preserve">To ensure the robustness of the forecasting models, we implement a two-stage preprocessing pipeline designed to handle the data quality issues common in developing-economy grids:</w:t>
      </w:r>
    </w:p>
    <w:p>
      <w:pPr>
        <w:numPr>
          <w:ilvl w:val="0"/>
          <w:numId w:val="1001"/>
        </w:numPr>
      </w:pPr>
      <w:r>
        <w:rPr>
          <w:b/>
          <w:bCs/>
        </w:rPr>
        <w:t xml:space="preserve">Short-Duration Data Outages</w:t>
      </w:r>
      <w:r>
        <w:t xml:space="preserve">: For telemetry failures lasting less than or equal to 3 hours, we use linear interpolation to fill the missing hourly load entries.</w:t>
      </w:r>
    </w:p>
    <w:p>
      <w:pPr>
        <w:numPr>
          <w:ilvl w:val="0"/>
          <w:numId w:val="1001"/>
        </w:numPr>
      </w:pPr>
      <w:r>
        <w:rPr>
          <w:b/>
          <w:bCs/>
        </w:rPr>
        <w:t xml:space="preserve">Long-Duration Outages &amp; Load Shedding (Unconstrained Demand Recovery)</w:t>
      </w:r>
      <w:r>
        <w:t xml:space="preserve">:</w:t>
      </w:r>
      <w:r>
        <w:t xml:space="preserve"> </w:t>
      </w:r>
      <w:r>
        <w:t xml:space="preserve">Load shedding occurs when demand exceeds generation capacity, resulting in forced outages that artificially suppress the observed grid load. If left raw, the forecasting model learns these supply-constrained levels as true demand, resulting in permanent under-forecasting.</w:t>
      </w:r>
    </w:p>
    <w:p>
      <w:pPr>
        <w:numPr>
          <w:ilvl w:val="0"/>
          <w:numId w:val="1000"/>
        </w:numPr>
      </w:pPr>
      <w:r>
        <w:t xml:space="preserve">To recover the</w:t>
      </w:r>
      <w:r>
        <w:t xml:space="preserve"> </w:t>
      </w:r>
      <w:r>
        <w:rPr>
          <w:i/>
          <w:iCs/>
        </w:rPr>
        <w:t xml:space="preserve">unconstrained demand</w:t>
      </w:r>
      <w:r>
        <w:t xml:space="preserve">, we implement a</w:t>
      </w:r>
      <w:r>
        <w:t xml:space="preserve"> </w:t>
      </w:r>
      <w:r>
        <w:rPr>
          <w:b/>
          <w:bCs/>
        </w:rPr>
        <w:t xml:space="preserve">Two-Stage Imputation Pipeline</w:t>
      </w:r>
      <w:r>
        <w:t xml:space="preserve">:</w:t>
      </w:r>
    </w:p>
    <w:p>
      <w:pPr>
        <w:pStyle w:val="Compact"/>
        <w:numPr>
          <w:ilvl w:val="1"/>
          <w:numId w:val="1002"/>
        </w:numPr>
      </w:pPr>
      <w:r>
        <w:rPr>
          <w:b/>
          <w:bCs/>
        </w:rPr>
        <w:t xml:space="preserve">Detection</w:t>
      </w:r>
      <w:r>
        <w:t xml:space="preserve">: Load-shedding periods are identified using grid frequency logs and feeder trip records. Hours where the load drops by more than 10% within a single hour without a corresponding meteorological or holiday trigger are flagged as shedding events.</w:t>
      </w:r>
    </w:p>
    <w:p>
      <w:pPr>
        <w:pStyle w:val="Compact"/>
        <w:numPr>
          <w:ilvl w:val="1"/>
          <w:numId w:val="1002"/>
        </w:numPr>
      </w:pPr>
      <w:r>
        <w:rPr>
          <w:b/>
          <w:bCs/>
        </w:rPr>
        <w:t xml:space="preserve">Imputation</w:t>
      </w:r>
      <w:r>
        <w:t xml:space="preserve">: For flagged intervals, we estimate the unconstrained load by scaling historical diurnal averages. Let</w:t>
      </w:r>
      <w:r>
        <w:t xml:space="preserve"> </w:t>
      </w:r>
      <m:oMath>
        <m:sSub>
          <m:e>
            <m:r>
              <m:t>y</m:t>
            </m:r>
          </m:e>
          <m:sub>
            <m:r>
              <m:t>t</m:t>
            </m:r>
            <m:r>
              <m:rPr>
                <m:sty m:val="p"/>
              </m:rPr>
              <m:t>,</m:t>
            </m:r>
            <m:r>
              <m:t>h</m:t>
            </m:r>
          </m:sub>
        </m:sSub>
      </m:oMath>
      <w:r>
        <w:t xml:space="preserve"> </w:t>
      </w:r>
      <w:r>
        <w:t xml:space="preserve">be the observed load at day</w:t>
      </w:r>
      <w:r>
        <w:t xml:space="preserve"> </w:t>
      </w:r>
      <m:oMath>
        <m:r>
          <m:t>t</m:t>
        </m:r>
      </m:oMath>
      <w:r>
        <w:t xml:space="preserve"> </w:t>
      </w:r>
      <w:r>
        <w:t xml:space="preserve">and hour</w:t>
      </w:r>
      <w:r>
        <w:t xml:space="preserve"> </w:t>
      </w:r>
      <m:oMath>
        <m:r>
          <m:t>h</m:t>
        </m:r>
      </m:oMath>
      <w:r>
        <w:t xml:space="preserve">. If hour</w:t>
      </w:r>
      <w:r>
        <w:t xml:space="preserve"> </w:t>
      </w:r>
      <m:oMath>
        <m:r>
          <m:t>h</m:t>
        </m:r>
      </m:oMath>
      <w:r>
        <w:t xml:space="preserve"> </w:t>
      </w:r>
      <w:r>
        <w:t xml:space="preserve">is flagged as a shedding event, we impute the value as:</w:t>
      </w:r>
    </w:p>
    <w:p>
      <w:pPr>
        <w:pStyle w:val="Compact"/>
      </w:pPr>
      <m:oMathPara>
        <m:oMathParaPr>
          <m:jc m:val="center"/>
        </m:oMathParaPr>
        <m:oMath>
          <m:sSubSup>
            <m:e>
              <m:r>
                <m:t>y</m:t>
              </m:r>
            </m:e>
            <m:sub>
              <m:r>
                <m:t>t</m:t>
              </m:r>
              <m:r>
                <m:rPr>
                  <m:sty m:val="p"/>
                </m:rPr>
                <m:t>,</m:t>
              </m:r>
              <m:r>
                <m:t>h</m:t>
              </m:r>
            </m:sub>
            <m:sup>
              <m:r>
                <m:rPr>
                  <m:nor/>
                  <m:sty m:val="p"/>
                </m:rPr>
                <m:t>imputed</m:t>
              </m:r>
            </m:sup>
          </m:sSubSup>
          <m:r>
            <m:rPr>
              <m:sty m:val="p"/>
            </m:rPr>
            <m:t>=</m:t>
          </m:r>
          <m:r>
            <m:rPr>
              <m:nor/>
              <m:sty m:val="p"/>
            </m:rPr>
            <m:t>Median</m:t>
          </m:r>
          <m:d>
            <m:dPr>
              <m:begChr m:val="("/>
              <m:sepChr m:val=""/>
              <m:endChr m:val=")"/>
              <m:grow/>
            </m:dPr>
            <m:e>
              <m:r>
                <m:rPr>
                  <m:sty m:val="p"/>
                </m:rPr>
                <m:t>{</m:t>
              </m:r>
              <m:sSub>
                <m:e>
                  <m:r>
                    <m:t>y</m:t>
                  </m:r>
                </m:e>
                <m:sub>
                  <m:r>
                    <m:t>t</m:t>
                  </m:r>
                  <m:r>
                    <m:rPr>
                      <m:sty m:val="p"/>
                    </m:rPr>
                    <m:t>−</m:t>
                  </m:r>
                  <m:r>
                    <m:t>k</m:t>
                  </m:r>
                  <m:r>
                    <m:rPr>
                      <m:sty m:val="p"/>
                    </m:rPr>
                    <m:t>,</m:t>
                  </m:r>
                  <m:r>
                    <m:t>h</m:t>
                  </m:r>
                </m:sub>
              </m:sSub>
              <m:sSubSup>
                <m:e>
                  <m:r>
                    <m:rPr>
                      <m:sty m:val="p"/>
                    </m:rPr>
                    <m:t>}</m:t>
                  </m:r>
                </m:e>
                <m:sub>
                  <m:r>
                    <m:t>k</m:t>
                  </m:r>
                  <m:r>
                    <m:rPr>
                      <m:sty m:val="p"/>
                    </m:rPr>
                    <m:t>=</m:t>
                  </m:r>
                  <m:r>
                    <m:t>1</m:t>
                  </m:r>
                </m:sub>
                <m:sup>
                  <m:r>
                    <m:t>7</m:t>
                  </m:r>
                </m:sup>
              </m:sSubSup>
              <m:r>
                <m:rPr>
                  <m:nor/>
                  <m:sty m:val="p"/>
                </m:rPr>
                <m:t> where </m:t>
              </m:r>
              <m:r>
                <m:rPr>
                  <m:nor/>
                  <m:sty m:val="p"/>
                </m:rPr>
                <m:t>day </m:t>
              </m:r>
              <m:r>
                <m:t>t</m:t>
              </m:r>
              <m:r>
                <m:rPr>
                  <m:sty m:val="p"/>
                </m:rPr>
                <m:t>−</m:t>
              </m:r>
              <m:r>
                <m:t>k</m:t>
              </m:r>
              <m:r>
                <m:rPr>
                  <m:nor/>
                  <m:sty m:val="p"/>
                </m:rPr>
                <m:t> is of the same type and not shedding</m:t>
              </m:r>
            </m:e>
          </m:d>
          <m:r>
            <m:rPr>
              <m:sty m:val="p"/>
            </m:rPr>
            <m:t>⋅</m:t>
          </m:r>
          <m:sSub>
            <m:e>
              <m:r>
                <m:t>λ</m:t>
              </m:r>
            </m:e>
            <m:sub>
              <m:r>
                <m:rPr>
                  <m:nor/>
                  <m:sty m:val="p"/>
                </m:rPr>
                <m:t>trend</m:t>
              </m:r>
            </m:sub>
          </m:sSub>
        </m:oMath>
      </m:oMathPara>
    </w:p>
    <w:p>
      <w:pPr>
        <w:pStyle w:val="Compact"/>
        <w:numPr>
          <w:ilvl w:val="1"/>
          <w:numId w:val="1000"/>
        </w:numPr>
      </w:pPr>
      <w:r>
        <w:t xml:space="preserve">where</w:t>
      </w:r>
      <w:r>
        <w:t xml:space="preserve"> </w:t>
      </w:r>
      <m:oMath>
        <m:sSub>
          <m:e>
            <m:r>
              <m:t>λ</m:t>
            </m:r>
          </m:e>
          <m:sub>
            <m:r>
              <m:rPr>
                <m:nor/>
                <m:sty m:val="p"/>
              </m:rPr>
              <m:t>trend</m:t>
            </m:r>
          </m:sub>
        </m:sSub>
      </m:oMath>
      <w:r>
        <w:t xml:space="preserve"> </w:t>
      </w:r>
      <w:r>
        <w:t xml:space="preserve">is a rolling 7-day demand trend factor used to capture the grid’s growth:</w:t>
      </w:r>
    </w:p>
    <w:p>
      <w:pPr>
        <w:pStyle w:val="Compact"/>
      </w:pPr>
      <m:oMathPara>
        <m:oMathParaPr>
          <m:jc m:val="center"/>
        </m:oMathParaPr>
        <m:oMath>
          <m:sSub>
            <m:e>
              <m:r>
                <m:t>λ</m:t>
              </m:r>
            </m:e>
            <m:sub>
              <m:r>
                <m:rPr>
                  <m:nor/>
                  <m:sty m:val="p"/>
                </m:rPr>
                <m:t>trend</m:t>
              </m:r>
            </m:sub>
          </m:sSub>
          <m:r>
            <m:rPr>
              <m:sty m:val="p"/>
            </m:rPr>
            <m:t>=</m:t>
          </m:r>
          <m:f>
            <m:fPr>
              <m:type m:val="bar"/>
            </m:fPr>
            <m:num>
              <m:nary>
                <m:naryPr>
                  <m:chr m:val="∑"/>
                  <m:limLoc m:val="undOvr"/>
                  <m:subHide m:val="off"/>
                  <m:supHide m:val="off"/>
                </m:naryPr>
                <m:sub>
                  <m:r>
                    <m:t>i</m:t>
                  </m:r>
                  <m:r>
                    <m:rPr>
                      <m:sty m:val="p"/>
                    </m:rPr>
                    <m:t>=</m:t>
                  </m:r>
                  <m:r>
                    <m:t>1</m:t>
                  </m:r>
                </m:sub>
                <m:sup>
                  <m:r>
                    <m:t>7</m:t>
                  </m:r>
                </m:sup>
                <m:e>
                  <m:sSub>
                    <m:e>
                      <m:acc>
                        <m:accPr>
                          <m:chr m:val="‾"/>
                        </m:accPr>
                        <m:e>
                          <m:r>
                            <m:t>y</m:t>
                          </m:r>
                        </m:e>
                      </m:acc>
                    </m:e>
                    <m:sub>
                      <m:r>
                        <m:t>t</m:t>
                      </m:r>
                      <m:r>
                        <m:rPr>
                          <m:sty m:val="p"/>
                        </m:rPr>
                        <m:t>−</m:t>
                      </m:r>
                      <m:r>
                        <m:t>i</m:t>
                      </m:r>
                    </m:sub>
                  </m:sSub>
                </m:e>
              </m:nary>
            </m:num>
            <m:den>
              <m:nary>
                <m:naryPr>
                  <m:chr m:val="∑"/>
                  <m:limLoc m:val="undOvr"/>
                  <m:subHide m:val="off"/>
                  <m:supHide m:val="off"/>
                </m:naryPr>
                <m:sub>
                  <m:r>
                    <m:t>i</m:t>
                  </m:r>
                  <m:r>
                    <m:rPr>
                      <m:sty m:val="p"/>
                    </m:rPr>
                    <m:t>=</m:t>
                  </m:r>
                  <m:r>
                    <m:t>8</m:t>
                  </m:r>
                </m:sub>
                <m:sup>
                  <m:r>
                    <m:t>14</m:t>
                  </m:r>
                </m:sup>
                <m:e>
                  <m:sSub>
                    <m:e>
                      <m:acc>
                        <m:accPr>
                          <m:chr m:val="‾"/>
                        </m:accPr>
                        <m:e>
                          <m:r>
                            <m:t>y</m:t>
                          </m:r>
                        </m:e>
                      </m:acc>
                    </m:e>
                    <m:sub>
                      <m:r>
                        <m:t>t</m:t>
                      </m:r>
                      <m:r>
                        <m:rPr>
                          <m:sty m:val="p"/>
                        </m:rPr>
                        <m:t>−</m:t>
                      </m:r>
                      <m:r>
                        <m:t>i</m:t>
                      </m:r>
                    </m:sub>
                  </m:sSub>
                </m:e>
              </m:nary>
            </m:den>
          </m:f>
        </m:oMath>
      </m:oMathPara>
    </w:p>
    <w:p>
      <w:pPr>
        <w:pStyle w:val="Compact"/>
        <w:numPr>
          <w:ilvl w:val="1"/>
          <w:numId w:val="1000"/>
        </w:numPr>
      </w:pPr>
      <w:r>
        <w:t xml:space="preserve">This pipeline restores the training data to represent true unconstrained demand, ensuring that the baseline model learns clean consumption profiles.</w:t>
      </w:r>
    </w:p>
    <w:bookmarkEnd w:id="18"/>
    <w:bookmarkStart w:id="19" w:name="X51ca9493d32cce02dacb68458710c9f8e8603bf"/>
    <w:p>
      <w:pPr>
        <w:pStyle w:val="Heading3"/>
      </w:pPr>
      <w:r>
        <w:t xml:space="preserve">C. Operational Dispatch Timeline (Gate Closure)</w:t>
      </w:r>
    </w:p>
    <w:p>
      <w:pPr>
        <w:pStyle w:val="FirstParagraph"/>
      </w:pPr>
      <w:r>
        <w:t xml:space="preserve">In practical power grid operations, day-ahead forecasts are not generated at the hour of prediction. Instead, they are generated at a fixed time</w:t>
      </w:r>
      <w:r>
        <w:t xml:space="preserve"> </w:t>
      </w:r>
      <m:oMath>
        <m:sSub>
          <m:e>
            <m:r>
              <m:t>T</m:t>
            </m:r>
          </m:e>
          <m:sub>
            <m:r>
              <m:t>f</m:t>
            </m:r>
            <m:r>
              <m:t>c</m:t>
            </m:r>
          </m:sub>
        </m:sSub>
      </m:oMath>
      <w:r>
        <w:t xml:space="preserve"> </w:t>
      </w:r>
      <w:r>
        <w:t xml:space="preserve">(typically 12:00 PM or 16:00 PM) on day</w:t>
      </w:r>
      <w:r>
        <w:t xml:space="preserve"> </w:t>
      </w:r>
      <m:oMath>
        <m:r>
          <m:t>d</m:t>
        </m:r>
      </m:oMath>
      <w:r>
        <w:t xml:space="preserve"> </w:t>
      </w:r>
      <w:r>
        <w:t xml:space="preserve">for the entirety of day</w:t>
      </w:r>
      <w:r>
        <w:t xml:space="preserve"> </w:t>
      </w:r>
      <m:oMath>
        <m:r>
          <m:t>d</m:t>
        </m:r>
        <m:r>
          <m:rPr>
            <m:sty m:val="p"/>
          </m:rPr>
          <m:t>+</m:t>
        </m:r>
        <m:r>
          <m:t>1</m:t>
        </m:r>
      </m:oMath>
      <w:r>
        <w:t xml:space="preserve"> </w:t>
      </w:r>
      <w:r>
        <w:t xml:space="preserve">to allow generation units to schedule their startups and shutdowns (unit commitment). This operational reality introduces a</w:t>
      </w:r>
      <w:r>
        <w:t xml:space="preserve"> </w:t>
      </w:r>
      <w:r>
        <w:rPr>
          <w:b/>
          <w:bCs/>
        </w:rPr>
        <w:t xml:space="preserve">gate closure lead time</w:t>
      </w:r>
      <w:r>
        <w:t xml:space="preserve"> </w:t>
      </w:r>
      <w:r>
        <w:t xml:space="preserve">of 12 to 36 hours.</w:t>
      </w:r>
    </w:p>
    <w:p>
      <w:pPr>
        <w:pStyle w:val="SourceCode"/>
      </w:pPr>
      <w:r>
        <w:rPr>
          <w:rStyle w:val="VerbatimChar"/>
        </w:rPr>
        <w:t xml:space="preserve">                      Day d (Today)                             Day d+1 (Tomorrow)</w:t>
      </w:r>
      <w:r>
        <w:br/>
      </w:r>
      <w:r>
        <w:rPr>
          <w:rStyle w:val="VerbatimChar"/>
        </w:rPr>
        <w:t xml:space="preserve">         +---------------------------------------+---------------------------------------+</w:t>
      </w:r>
      <w:r>
        <w:br/>
      </w:r>
      <w:r>
        <w:rPr>
          <w:rStyle w:val="VerbatimChar"/>
        </w:rPr>
        <w:t xml:space="preserve">         |                                       |                                       |</w:t>
      </w:r>
      <w:r>
        <w:br/>
      </w:r>
      <w:r>
        <w:rPr>
          <w:rStyle w:val="VerbatimChar"/>
        </w:rPr>
        <w:t xml:space="preserve">  Hour:  00:00                12:00 (T_fc)      24:00                                   24:00</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Forecast Target Window =====+</w:t>
      </w:r>
      <w:r>
        <w:br/>
      </w:r>
      <w:r>
        <w:rPr>
          <w:rStyle w:val="VerbatimChar"/>
        </w:rPr>
        <w:t xml:space="preserve">                                          (Hours 13 to 36 ahead)</w:t>
      </w:r>
    </w:p>
    <w:p>
      <w:pPr>
        <w:pStyle w:val="FirstParagraph"/>
      </w:pPr>
      <w:r>
        <w:t xml:space="preserve">In this study, we respect this constraint. At</w:t>
      </w:r>
      <w:r>
        <w:t xml:space="preserve"> </w:t>
      </w:r>
      <m:oMath>
        <m:sSub>
          <m:e>
            <m:r>
              <m:t>T</m:t>
            </m:r>
          </m:e>
          <m:sub>
            <m:r>
              <m:t>f</m:t>
            </m:r>
            <m:r>
              <m:t>c</m:t>
            </m:r>
          </m:sub>
        </m:sSub>
        <m:r>
          <m:rPr>
            <m:sty m:val="p"/>
          </m:rPr>
          <m:t>=</m:t>
        </m:r>
        <m:r>
          <m:t>12</m:t>
        </m:r>
        <m:r>
          <m:rPr>
            <m:sty m:val="p"/>
          </m:rPr>
          <m:t>:</m:t>
        </m:r>
        <m:r>
          <m:t>00</m:t>
        </m:r>
      </m:oMath>
      <w:r>
        <w:t xml:space="preserve"> </w:t>
      </w:r>
      <w:r>
        <w:t xml:space="preserve">PM on day</w:t>
      </w:r>
      <w:r>
        <w:t xml:space="preserve"> </w:t>
      </w:r>
      <m:oMath>
        <m:r>
          <m:t>d</m:t>
        </m:r>
      </m:oMath>
      <w:r>
        <w:t xml:space="preserve">, we forecast the hourly load of day</w:t>
      </w:r>
      <w:r>
        <w:t xml:space="preserve"> </w:t>
      </w:r>
      <m:oMath>
        <m:r>
          <m:t>d</m:t>
        </m:r>
        <m:r>
          <m:rPr>
            <m:sty m:val="p"/>
          </m:rPr>
          <m:t>+</m:t>
        </m:r>
        <m:r>
          <m:t>1</m:t>
        </m:r>
      </m:oMath>
      <w:r>
        <w:t xml:space="preserve"> </w:t>
      </w:r>
      <w:r>
        <w:t xml:space="preserve">(corresponding to forecasting horizons</w:t>
      </w:r>
      <w:r>
        <w:t xml:space="preserve"> </w:t>
      </w:r>
      <m:oMath>
        <m:r>
          <m:t>h</m:t>
        </m:r>
        <m:r>
          <m:rPr>
            <m:sty m:val="p"/>
          </m:rPr>
          <m:t>∈</m:t>
        </m:r>
        <m:r>
          <m:rPr>
            <m:sty m:val="p"/>
          </m:rPr>
          <m:t>[</m:t>
        </m:r>
        <m:r>
          <m:t>13</m:t>
        </m:r>
        <m:r>
          <m:rPr>
            <m:sty m:val="p"/>
          </m:rPr>
          <m:t>,</m:t>
        </m:r>
        <m:r>
          <m:t>36</m:t>
        </m:r>
        <m:r>
          <m:rPr>
            <m:sty m:val="p"/>
          </m:rPr>
          <m:t>]</m:t>
        </m:r>
      </m:oMath>
      <w:r>
        <w:t xml:space="preserve"> </w:t>
      </w:r>
      <w:r>
        <w:t xml:space="preserve">hours ahead). The lookback window</w:t>
      </w:r>
      <w:r>
        <w:t xml:space="preserve"> </w:t>
      </w:r>
      <m:oMath>
        <m:sSub>
          <m:e>
            <m:r>
              <m:rPr>
                <m:sty m:val="bi"/>
              </m:rPr>
              <m:t>X</m:t>
            </m:r>
          </m:e>
          <m:sub>
            <m:r>
              <m:t>d</m:t>
            </m:r>
          </m:sub>
        </m:sSub>
        <m:r>
          <m:rPr>
            <m:sty m:val="p"/>
          </m:rPr>
          <m:t>∈</m:t>
        </m:r>
        <m:sSup>
          <m:e>
            <m:r>
              <m:rPr>
                <m:scr m:val="double-struck"/>
                <m:sty m:val="p"/>
              </m:rPr>
              <m:t>R</m:t>
            </m:r>
          </m:e>
          <m:sup>
            <m:r>
              <m:t>168</m:t>
            </m:r>
            <m:r>
              <m:rPr>
                <m:sty m:val="p"/>
              </m:rPr>
              <m:t>×</m:t>
            </m:r>
            <m:r>
              <m:t>D</m:t>
            </m:r>
          </m:sup>
        </m:sSup>
      </m:oMath>
      <w:r>
        <w:t xml:space="preserve"> </w:t>
      </w:r>
      <w:r>
        <w:t xml:space="preserve">represents historical hourly data up to 12:00 PM on day</w:t>
      </w:r>
      <w:r>
        <w:t xml:space="preserve"> </w:t>
      </w:r>
      <m:oMath>
        <m:r>
          <m:t>d</m:t>
        </m:r>
      </m:oMath>
      <w:r>
        <w:t xml:space="preserve">. The forecasting target is the 24-hour vector</w:t>
      </w:r>
      <w:r>
        <w:t xml:space="preserve"> </w:t>
      </w:r>
      <m:oMath>
        <m:sSub>
          <m:e>
            <m:r>
              <m:rPr>
                <m:sty m:val="bi"/>
              </m:rPr>
              <m:t>y</m:t>
            </m:r>
          </m:e>
          <m:sub>
            <m:r>
              <m:t>d</m:t>
            </m:r>
            <m:r>
              <m:rPr>
                <m:sty m:val="p"/>
              </m:rPr>
              <m:t>+</m:t>
            </m:r>
            <m:r>
              <m:t>1</m:t>
            </m:r>
          </m:sub>
        </m:sSub>
        <m:r>
          <m:rPr>
            <m:sty m:val="p"/>
          </m:rPr>
          <m:t>∈</m:t>
        </m:r>
        <m:sSup>
          <m:e>
            <m:r>
              <m:rPr>
                <m:scr m:val="double-struck"/>
                <m:sty m:val="p"/>
              </m:rPr>
              <m:t>R</m:t>
            </m:r>
          </m:e>
          <m:sup>
            <m:r>
              <m:t>24</m:t>
            </m:r>
          </m:sup>
        </m:sSup>
      </m:oMath>
      <w:r>
        <w:t xml:space="preserve"> </w:t>
      </w:r>
      <w:r>
        <w:t xml:space="preserve">representing the hourly load of day</w:t>
      </w:r>
      <w:r>
        <w:t xml:space="preserve"> </w:t>
      </w:r>
      <m:oMath>
        <m:r>
          <m:t>d</m:t>
        </m:r>
        <m:r>
          <m:rPr>
            <m:sty m:val="p"/>
          </m:rPr>
          <m:t>+</m:t>
        </m:r>
        <m:r>
          <m:t>1</m:t>
        </m:r>
      </m:oMath>
      <w:r>
        <w:t xml:space="preserve">.</w:t>
      </w:r>
    </w:p>
    <w:p>
      <w:pPr>
        <w:pStyle w:val="BodyText"/>
      </w:pPr>
      <w:r>
        <w:t xml:space="preserve">The TIDE online corrector updates its running bias estimate</w:t>
      </w:r>
      <w:r>
        <w:t xml:space="preserve"> </w:t>
      </w:r>
      <m:oMath>
        <m:sSub>
          <m:e>
            <m:r>
              <m:t>b</m:t>
            </m:r>
          </m:e>
          <m:sub>
            <m:r>
              <m:t>d</m:t>
            </m:r>
          </m:sub>
        </m:sSub>
      </m:oMath>
      <w:r>
        <w:t xml:space="preserve"> </w:t>
      </w:r>
      <w:r>
        <w:t xml:space="preserve">once daily at 24:00 on day</w:t>
      </w:r>
      <w:r>
        <w:t xml:space="preserve"> </w:t>
      </w:r>
      <m:oMath>
        <m:r>
          <m:t>d</m:t>
        </m:r>
      </m:oMath>
      <w:r>
        <w:t xml:space="preserve">, as soon as the actual load for the entirety of day</w:t>
      </w:r>
      <w:r>
        <w:t xml:space="preserve"> </w:t>
      </w:r>
      <m:oMath>
        <m:r>
          <m:t>d</m:t>
        </m:r>
      </m:oMath>
      <w:r>
        <w:t xml:space="preserve"> </w:t>
      </w:r>
      <w:r>
        <w:t xml:space="preserve">is fully observed. This ensures no data leakage occurs, reflecting real-world utility dispatch operations.</w:t>
      </w:r>
    </w:p>
    <w:p>
      <w:r>
        <w:pict>
          <v:rect style="width:0;height:1.5pt" o:hralign="center" o:hrstd="t" o:hr="t"/>
        </w:pict>
      </w:r>
    </w:p>
    <w:bookmarkEnd w:id="19"/>
    <w:bookmarkEnd w:id="20"/>
    <w:bookmarkStart w:id="28" w:name="X0bf6694cd1ef83319235a83fa098e7922dfe100"/>
    <w:p>
      <w:pPr>
        <w:pStyle w:val="Heading2"/>
      </w:pPr>
      <w:r>
        <w:t xml:space="preserve">IV. Baseline Forecasting and Degradation Diagnostics</w:t>
      </w:r>
    </w:p>
    <w:bookmarkStart w:id="21" w:name="a.-baseline-architecture-dlinear"/>
    <w:p>
      <w:pPr>
        <w:pStyle w:val="Heading3"/>
      </w:pPr>
      <w:r>
        <w:t xml:space="preserve">A. Baseline Architecture: DLinear</w:t>
      </w:r>
    </w:p>
    <w:p>
      <w:pPr>
        <w:pStyle w:val="FirstParagraph"/>
      </w:pPr>
      <w:r>
        <w:t xml:space="preserve">We employ DLinear [1] as our primary baseline forecasting model. DLinear is designed to handle time-series forecasting by splitting the input sequence into trend and seasonal components using a moving average filter.</w:t>
      </w:r>
    </w:p>
    <w:p>
      <w:pPr>
        <w:pStyle w:val="BodyText"/>
      </w:pPr>
      <w:r>
        <w:t xml:space="preserve">Let</w:t>
      </w:r>
      <w:r>
        <w:t xml:space="preserve"> </w:t>
      </w:r>
      <m:oMath>
        <m:r>
          <m:rPr>
            <m:sty m:val="bi"/>
          </m:rPr>
          <m:t>X</m:t>
        </m:r>
        <m:r>
          <m:rPr>
            <m:sty m:val="p"/>
          </m:rPr>
          <m:t>∈</m:t>
        </m:r>
        <m:sSup>
          <m:e>
            <m:r>
              <m:rPr>
                <m:scr m:val="double-struck"/>
                <m:sty m:val="p"/>
              </m:rPr>
              <m:t>R</m:t>
            </m:r>
          </m:e>
          <m:sup>
            <m:r>
              <m:t>H</m:t>
            </m:r>
            <m:r>
              <m:rPr>
                <m:sty m:val="p"/>
              </m:rPr>
              <m:t>×</m:t>
            </m:r>
            <m:r>
              <m:t>D</m:t>
            </m:r>
          </m:sup>
        </m:sSup>
      </m:oMath>
      <w:r>
        <w:t xml:space="preserve"> </w:t>
      </w:r>
      <w:r>
        <w:t xml:space="preserve">represent the historical lookback window of length</w:t>
      </w:r>
      <w:r>
        <w:t xml:space="preserve"> </w:t>
      </w:r>
      <m:oMath>
        <m:r>
          <m:t>H</m:t>
        </m:r>
      </m:oMath>
      <w:r>
        <w:t xml:space="preserve"> </w:t>
      </w:r>
      <w:r>
        <w:t xml:space="preserve">across</w:t>
      </w:r>
      <w:r>
        <w:t xml:space="preserve"> </w:t>
      </w:r>
      <m:oMath>
        <m:r>
          <m:t>D</m:t>
        </m:r>
      </m:oMath>
      <w:r>
        <w:t xml:space="preserve"> </w:t>
      </w:r>
      <w:r>
        <w:t xml:space="preserve">features. The decomposition is formulated as:</w:t>
      </w:r>
    </w:p>
    <w:p>
      <w:pPr>
        <w:pStyle w:val="BodyText"/>
      </w:pPr>
      <m:oMathPara>
        <m:oMathParaPr>
          <m:jc m:val="center"/>
        </m:oMathParaPr>
        <m:oMath>
          <m:sSub>
            <m:e>
              <m:r>
                <m:rPr>
                  <m:sty m:val="bi"/>
                </m:rPr>
                <m:t>X</m:t>
              </m:r>
            </m:e>
            <m:sub>
              <m:r>
                <m:rPr>
                  <m:nor/>
                  <m:sty m:val="p"/>
                </m:rPr>
                <m:t>trend</m:t>
              </m:r>
            </m:sub>
          </m:sSub>
          <m:r>
            <m:rPr>
              <m:sty m:val="p"/>
            </m:rPr>
            <m:t>=</m:t>
          </m:r>
          <m:r>
            <m:rPr>
              <m:nor/>
              <m:sty m:val="p"/>
            </m:rPr>
            <m:t>AvgPool</m:t>
          </m:r>
          <m:r>
            <m:rPr>
              <m:sty m:val="p"/>
            </m:rPr>
            <m:t>(</m:t>
          </m:r>
          <m:r>
            <m:rPr>
              <m:nor/>
              <m:sty m:val="p"/>
            </m:rPr>
            <m:t>Padding</m:t>
          </m:r>
          <m:r>
            <m:rPr>
              <m:sty m:val="p"/>
            </m:rPr>
            <m:t>(</m:t>
          </m:r>
          <m:r>
            <m:rPr>
              <m:sty m:val="bi"/>
            </m:rPr>
            <m:t>X</m:t>
          </m:r>
          <m:r>
            <m:rPr>
              <m:sty m:val="p"/>
            </m:rPr>
            <m:t>)</m:t>
          </m:r>
          <m:r>
            <m:rPr>
              <m:sty m:val="p"/>
            </m:rPr>
            <m:t>)</m:t>
          </m:r>
        </m:oMath>
      </m:oMathPara>
    </w:p>
    <w:p>
      <w:pPr>
        <w:pStyle w:val="FirstParagraph"/>
      </w:pPr>
      <m:oMathPara>
        <m:oMathParaPr>
          <m:jc m:val="center"/>
        </m:oMathParaPr>
        <m:oMath>
          <m:sSub>
            <m:e>
              <m:r>
                <m:rPr>
                  <m:sty m:val="bi"/>
                </m:rPr>
                <m:t>X</m:t>
              </m:r>
            </m:e>
            <m:sub>
              <m:r>
                <m:rPr>
                  <m:nor/>
                  <m:sty m:val="p"/>
                </m:rPr>
                <m:t>seasonal</m:t>
              </m:r>
            </m:sub>
          </m:sSub>
          <m:r>
            <m:rPr>
              <m:sty m:val="p"/>
            </m:rPr>
            <m:t>=</m:t>
          </m:r>
          <m:r>
            <m:rPr>
              <m:sty m:val="bi"/>
            </m:rPr>
            <m:t>X</m:t>
          </m:r>
          <m:r>
            <m:rPr>
              <m:sty m:val="p"/>
            </m:rPr>
            <m:t>−</m:t>
          </m:r>
          <m:sSub>
            <m:e>
              <m:r>
                <m:rPr>
                  <m:sty m:val="bi"/>
                </m:rPr>
                <m:t>X</m:t>
              </m:r>
            </m:e>
            <m:sub>
              <m:r>
                <m:rPr>
                  <m:nor/>
                  <m:sty m:val="p"/>
                </m:rPr>
                <m:t>trend</m:t>
              </m:r>
            </m:sub>
          </m:sSub>
        </m:oMath>
      </m:oMathPara>
    </w:p>
    <w:p>
      <w:pPr>
        <w:pStyle w:val="FirstParagraph"/>
      </w:pPr>
      <w:r>
        <w:t xml:space="preserve">Where</w:t>
      </w:r>
      <w:r>
        <w:t xml:space="preserve"> </w:t>
      </w:r>
      <m:oMath>
        <m:r>
          <m:rPr>
            <m:nor/>
            <m:sty m:val="p"/>
          </m:rPr>
          <m:t>AvgPool</m:t>
        </m:r>
      </m:oMath>
      <w:r>
        <w:t xml:space="preserve"> </w:t>
      </w:r>
      <w:r>
        <w:t xml:space="preserve">is a moving average kernel of size</w:t>
      </w:r>
      <w:r>
        <w:t xml:space="preserve"> </w:t>
      </w:r>
      <m:oMath>
        <m:r>
          <m:t>k</m:t>
        </m:r>
      </m:oMath>
      <w:r>
        <w:t xml:space="preserve"> </w:t>
      </w:r>
      <w:r>
        <w:t xml:space="preserve">(we set</w:t>
      </w:r>
      <w:r>
        <w:t xml:space="preserve"> </w:t>
      </w:r>
      <m:oMath>
        <m:r>
          <m:t>k</m:t>
        </m:r>
        <m:r>
          <m:rPr>
            <m:sty m:val="p"/>
          </m:rPr>
          <m:t>=</m:t>
        </m:r>
        <m:r>
          <m:t>25</m:t>
        </m:r>
      </m:oMath>
      <w:r>
        <w:t xml:space="preserve"> </w:t>
      </w:r>
      <w:r>
        <w:t xml:space="preserve">to capture diurnal trends). DLinear applies separate linear layers to project the trend and seasonal components to the forecast horizon</w:t>
      </w:r>
      <w:r>
        <w:t xml:space="preserve"> </w:t>
      </w:r>
      <m:oMath>
        <m:r>
          <m:t>F</m:t>
        </m:r>
      </m:oMath>
      <w:r>
        <w:t xml:space="preserve">:</w:t>
      </w:r>
    </w:p>
    <w:p>
      <w:pPr>
        <w:pStyle w:val="BodyText"/>
      </w:pPr>
      <m:oMathPara>
        <m:oMathParaPr>
          <m:jc m:val="center"/>
        </m:oMathParaPr>
        <m:oMath>
          <m:sSub>
            <m:e>
              <m:acc>
                <m:accPr>
                  <m:chr m:val="̂"/>
                </m:accPr>
                <m:e>
                  <m:r>
                    <m:rPr>
                      <m:sty m:val="bi"/>
                    </m:rPr>
                    <m:t>y</m:t>
                  </m:r>
                </m:e>
              </m:acc>
            </m:e>
            <m:sub>
              <m:r>
                <m:rPr>
                  <m:nor/>
                  <m:sty m:val="p"/>
                </m:rPr>
                <m:t>trend</m:t>
              </m:r>
            </m:sub>
          </m:sSub>
          <m:r>
            <m:rPr>
              <m:sty m:val="p"/>
            </m:rPr>
            <m:t>=</m:t>
          </m:r>
          <m:sSub>
            <m:e>
              <m:r>
                <m:rPr>
                  <m:sty m:val="bi"/>
                </m:rPr>
                <m:t>W</m:t>
              </m:r>
            </m:e>
            <m:sub>
              <m:r>
                <m:rPr>
                  <m:nor/>
                  <m:sty m:val="p"/>
                </m:rPr>
                <m:t>trend</m:t>
              </m:r>
            </m:sub>
          </m:sSub>
          <m:sSub>
            <m:e>
              <m:r>
                <m:rPr>
                  <m:sty m:val="bi"/>
                </m:rPr>
                <m:t>X</m:t>
              </m:r>
            </m:e>
            <m:sub>
              <m:r>
                <m:rPr>
                  <m:nor/>
                  <m:sty m:val="p"/>
                </m:rPr>
                <m:t>trend</m:t>
              </m:r>
            </m:sub>
          </m:sSub>
          <m:r>
            <m:rPr>
              <m:sty m:val="p"/>
            </m:rPr>
            <m:t>+</m:t>
          </m:r>
          <m:sSub>
            <m:e>
              <m:r>
                <m:rPr>
                  <m:sty m:val="bi"/>
                </m:rPr>
                <m:t>b</m:t>
              </m:r>
            </m:e>
            <m:sub>
              <m:r>
                <m:rPr>
                  <m:nor/>
                  <m:sty m:val="p"/>
                </m:rPr>
                <m:t>trend</m:t>
              </m:r>
            </m:sub>
          </m:sSub>
        </m:oMath>
      </m:oMathPara>
    </w:p>
    <w:p>
      <w:pPr>
        <w:pStyle w:val="FirstParagraph"/>
      </w:pPr>
      <m:oMathPara>
        <m:oMathParaPr>
          <m:jc m:val="center"/>
        </m:oMathParaPr>
        <m:oMath>
          <m:sSub>
            <m:e>
              <m:acc>
                <m:accPr>
                  <m:chr m:val="̂"/>
                </m:accPr>
                <m:e>
                  <m:r>
                    <m:rPr>
                      <m:sty m:val="bi"/>
                    </m:rPr>
                    <m:t>y</m:t>
                  </m:r>
                </m:e>
              </m:acc>
            </m:e>
            <m:sub>
              <m:r>
                <m:rPr>
                  <m:nor/>
                  <m:sty m:val="p"/>
                </m:rPr>
                <m:t>seasonal</m:t>
              </m:r>
            </m:sub>
          </m:sSub>
          <m:r>
            <m:rPr>
              <m:sty m:val="p"/>
            </m:rPr>
            <m:t>=</m:t>
          </m:r>
          <m:sSub>
            <m:e>
              <m:r>
                <m:rPr>
                  <m:sty m:val="bi"/>
                </m:rPr>
                <m:t>W</m:t>
              </m:r>
            </m:e>
            <m:sub>
              <m:r>
                <m:rPr>
                  <m:nor/>
                  <m:sty m:val="p"/>
                </m:rPr>
                <m:t>seasonal</m:t>
              </m:r>
            </m:sub>
          </m:sSub>
          <m:sSub>
            <m:e>
              <m:r>
                <m:rPr>
                  <m:sty m:val="bi"/>
                </m:rPr>
                <m:t>X</m:t>
              </m:r>
            </m:e>
            <m:sub>
              <m:r>
                <m:rPr>
                  <m:nor/>
                  <m:sty m:val="p"/>
                </m:rPr>
                <m:t>seasonal</m:t>
              </m:r>
            </m:sub>
          </m:sSub>
          <m:r>
            <m:rPr>
              <m:sty m:val="p"/>
            </m:rPr>
            <m:t>+</m:t>
          </m:r>
          <m:sSub>
            <m:e>
              <m:r>
                <m:rPr>
                  <m:sty m:val="bi"/>
                </m:rPr>
                <m:t>b</m:t>
              </m:r>
            </m:e>
            <m:sub>
              <m:r>
                <m:rPr>
                  <m:nor/>
                  <m:sty m:val="p"/>
                </m:rPr>
                <m:t>seasonal</m:t>
              </m:r>
            </m:sub>
          </m:sSub>
        </m:oMath>
      </m:oMathPara>
    </w:p>
    <w:p>
      <w:pPr>
        <w:pStyle w:val="FirstParagraph"/>
      </w:pPr>
      <w:r>
        <w:t xml:space="preserve">The final forecast</w:t>
      </w:r>
      <w:r>
        <w:t xml:space="preserve"> </w:t>
      </w:r>
      <m:oMath>
        <m:acc>
          <m:accPr>
            <m:chr m:val="̂"/>
          </m:accPr>
          <m:e>
            <m:r>
              <m:rPr>
                <m:sty m:val="bi"/>
              </m:rPr>
              <m:t>y</m:t>
            </m:r>
          </m:e>
        </m:acc>
        <m:r>
          <m:rPr>
            <m:sty m:val="p"/>
          </m:rPr>
          <m:t>∈</m:t>
        </m:r>
        <m:sSup>
          <m:e>
            <m:r>
              <m:rPr>
                <m:scr m:val="double-struck"/>
                <m:sty m:val="p"/>
              </m:rPr>
              <m:t>R</m:t>
            </m:r>
          </m:e>
          <m:sup>
            <m:r>
              <m:t>F</m:t>
            </m:r>
          </m:sup>
        </m:sSup>
      </m:oMath>
      <w:r>
        <w:t xml:space="preserve"> </w:t>
      </w:r>
      <w:r>
        <w:t xml:space="preserve">is the sum of these projections:</w:t>
      </w:r>
    </w:p>
    <w:p>
      <w:pPr>
        <w:pStyle w:val="BodyText"/>
      </w:pPr>
      <m:oMathPara>
        <m:oMathParaPr>
          <m:jc m:val="center"/>
        </m:oMathParaPr>
        <m:oMath>
          <m:acc>
            <m:accPr>
              <m:chr m:val="̂"/>
            </m:accPr>
            <m:e>
              <m:r>
                <m:rPr>
                  <m:sty m:val="bi"/>
                </m:rPr>
                <m:t>y</m:t>
              </m:r>
            </m:e>
          </m:acc>
          <m:r>
            <m:rPr>
              <m:sty m:val="p"/>
            </m:rPr>
            <m:t>=</m:t>
          </m:r>
          <m:sSub>
            <m:e>
              <m:acc>
                <m:accPr>
                  <m:chr m:val="̂"/>
                </m:accPr>
                <m:e>
                  <m:r>
                    <m:rPr>
                      <m:sty m:val="bi"/>
                    </m:rPr>
                    <m:t>y</m:t>
                  </m:r>
                </m:e>
              </m:acc>
            </m:e>
            <m:sub>
              <m:r>
                <m:rPr>
                  <m:nor/>
                  <m:sty m:val="p"/>
                </m:rPr>
                <m:t>trend</m:t>
              </m:r>
            </m:sub>
          </m:sSub>
          <m:r>
            <m:rPr>
              <m:sty m:val="p"/>
            </m:rPr>
            <m:t>+</m:t>
          </m:r>
          <m:sSub>
            <m:e>
              <m:acc>
                <m:accPr>
                  <m:chr m:val="̂"/>
                </m:accPr>
                <m:e>
                  <m:r>
                    <m:rPr>
                      <m:sty m:val="bi"/>
                    </m:rPr>
                    <m:t>y</m:t>
                  </m:r>
                </m:e>
              </m:acc>
            </m:e>
            <m:sub>
              <m:r>
                <m:rPr>
                  <m:nor/>
                  <m:sty m:val="p"/>
                </m:rPr>
                <m:t>seasonal</m:t>
              </m:r>
            </m:sub>
          </m:sSub>
          <m:r>
            <m:rPr>
              <m:sty m:val="p"/>
            </m:rPr>
            <m:t>+</m:t>
          </m:r>
          <m:sSub>
            <m:e>
              <m:r>
                <m:rPr>
                  <m:sty m:val="bi"/>
                </m:rPr>
                <m:t>W</m:t>
              </m:r>
            </m:e>
            <m:sub>
              <m:r>
                <m:rPr>
                  <m:nor/>
                  <m:sty m:val="p"/>
                </m:rPr>
                <m:t>feat</m:t>
              </m:r>
            </m:sub>
          </m:sSub>
          <m:r>
            <m:rPr>
              <m:sty m:val="bi"/>
            </m:rPr>
            <m:t>F</m:t>
          </m:r>
        </m:oMath>
      </m:oMathPara>
    </w:p>
    <w:p>
      <w:pPr>
        <w:pStyle w:val="FirstParagraph"/>
      </w:pPr>
      <w:r>
        <w:t xml:space="preserve">where</w:t>
      </w:r>
      <w:r>
        <w:t xml:space="preserve"> </w:t>
      </w:r>
      <m:oMath>
        <m:r>
          <m:rPr>
            <m:sty m:val="bi"/>
          </m:rPr>
          <m:t>F</m:t>
        </m:r>
      </m:oMath>
      <w:r>
        <w:t xml:space="preserve"> </w:t>
      </w:r>
      <w:r>
        <w:t xml:space="preserve">represents cyclical calendar features (hour of day, day of week encoded as sine and cosine functions) and temperature. In this study, we set the lookback window</w:t>
      </w:r>
      <w:r>
        <w:t xml:space="preserve"> </w:t>
      </w:r>
      <m:oMath>
        <m:r>
          <m:t>H</m:t>
        </m:r>
        <m:r>
          <m:rPr>
            <m:sty m:val="p"/>
          </m:rPr>
          <m:t>=</m:t>
        </m:r>
        <m:r>
          <m:t>168</m:t>
        </m:r>
      </m:oMath>
      <w:r>
        <w:t xml:space="preserve"> </w:t>
      </w:r>
      <w:r>
        <w:t xml:space="preserve">hours (7 days) and the forecast horizon</w:t>
      </w:r>
      <w:r>
        <w:t xml:space="preserve"> </w:t>
      </w:r>
      <m:oMath>
        <m:r>
          <m:t>F</m:t>
        </m:r>
        <m:r>
          <m:rPr>
            <m:sty m:val="p"/>
          </m:rPr>
          <m:t>=</m:t>
        </m:r>
        <m:r>
          <m:t>24</m:t>
        </m:r>
      </m:oMath>
      <w:r>
        <w:t xml:space="preserve"> </w:t>
      </w:r>
      <w:r>
        <w:t xml:space="preserve">hours (day-ahead). The total parameter count is approximately 42,000. Training is performed using PyTorch and the Adam optimizer for 10 epochs (taking ~30 CPU seconds per model).</w:t>
      </w:r>
    </w:p>
    <w:bookmarkEnd w:id="21"/>
    <w:bookmarkStart w:id="22" w:name="Xd6660a57d93e0c4f43dbb3eea72ce5ff7d8bd58"/>
    <w:p>
      <w:pPr>
        <w:pStyle w:val="Heading3"/>
      </w:pPr>
      <w:r>
        <w:t xml:space="preserve">B. 6-Fold Expanding-Window Cross-Validation</w:t>
      </w:r>
    </w:p>
    <w:p>
      <w:pPr>
        <w:pStyle w:val="FirstParagraph"/>
      </w:pPr>
      <w:r>
        <w:t xml:space="preserve">To evaluate model performance under distribution shift, we implement a 6-fold expanding-window cross-validation strategy [14]. Each fold adds one year of historical training data while holding the subsequent year as the test period, as detailed in Table II. This setup simulates the model’s performance if deployed at different stages of the grid’s growth.</w:t>
      </w:r>
    </w:p>
    <w:bookmarkEnd w:id="22"/>
    <w:bookmarkStart w:id="23" w:name="X718fc463fd51ceb7562f1c5651fd36c27054862"/>
    <w:p>
      <w:pPr>
        <w:pStyle w:val="Heading3"/>
      </w:pPr>
      <w:r>
        <w:t xml:space="preserve">Table II: Expanding-Window Cross-Validation Setup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Fold</w:t>
            </w:r>
          </w:p>
        </w:tc>
        <w:tc>
          <w:tcPr/>
          <w:p>
            <w:pPr>
              <w:pStyle w:val="Compact"/>
              <w:jc w:val="center"/>
            </w:pPr>
            <w:r>
              <w:t xml:space="preserve">Training Period</w:t>
            </w:r>
          </w:p>
        </w:tc>
        <w:tc>
          <w:tcPr/>
          <w:p>
            <w:pPr>
              <w:pStyle w:val="Compact"/>
              <w:jc w:val="center"/>
            </w:pPr>
            <w:r>
              <w:t xml:space="preserve">Test Period (1 Year)</w:t>
            </w:r>
          </w:p>
        </w:tc>
        <w:tc>
          <w:tcPr/>
          <w:p>
            <w:pPr>
              <w:pStyle w:val="Compact"/>
              <w:jc w:val="center"/>
            </w:pPr>
            <w:r>
              <w:t xml:space="preserve">Test Mean Load (MW)</w:t>
            </w:r>
          </w:p>
        </w:tc>
        <w:tc>
          <w:tcPr/>
          <w:p>
            <w:pPr>
              <w:pStyle w:val="Compact"/>
              <w:jc w:val="center"/>
            </w:pPr>
            <w:r>
              <w:t xml:space="preserve">Test Std Dev (MW)</w:t>
            </w:r>
          </w:p>
        </w:tc>
      </w:tr>
      <w:tr>
        <w:tc>
          <w:tcPr/>
          <w:p>
            <w:pPr>
              <w:pStyle w:val="Compact"/>
              <w:jc w:val="center"/>
            </w:pPr>
            <w:r>
              <w:t xml:space="preserve">Fold 1</w:t>
            </w:r>
          </w:p>
        </w:tc>
        <w:tc>
          <w:tcPr/>
          <w:p>
            <w:pPr>
              <w:pStyle w:val="Compact"/>
              <w:jc w:val="center"/>
            </w:pPr>
            <w:r>
              <w:t xml:space="preserve">2018–2020</w:t>
            </w:r>
          </w:p>
        </w:tc>
        <w:tc>
          <w:tcPr/>
          <w:p>
            <w:pPr>
              <w:pStyle w:val="Compact"/>
              <w:jc w:val="center"/>
            </w:pPr>
            <w:r>
              <w:t xml:space="preserve">2021</w:t>
            </w:r>
          </w:p>
        </w:tc>
        <w:tc>
          <w:tcPr/>
          <w:p>
            <w:pPr>
              <w:pStyle w:val="Compact"/>
              <w:jc w:val="center"/>
            </w:pPr>
            <w:r>
              <w:t xml:space="preserve">2,011</w:t>
            </w:r>
          </w:p>
        </w:tc>
        <w:tc>
          <w:tcPr/>
          <w:p>
            <w:pPr>
              <w:pStyle w:val="Compact"/>
              <w:jc w:val="center"/>
            </w:pPr>
            <w:r>
              <w:t xml:space="preserve">382</w:t>
            </w:r>
          </w:p>
        </w:tc>
      </w:tr>
      <w:tr>
        <w:tc>
          <w:tcPr/>
          <w:p>
            <w:pPr>
              <w:pStyle w:val="Compact"/>
              <w:jc w:val="center"/>
            </w:pPr>
            <w:r>
              <w:t xml:space="preserve">Fold 2</w:t>
            </w:r>
          </w:p>
        </w:tc>
        <w:tc>
          <w:tcPr/>
          <w:p>
            <w:pPr>
              <w:pStyle w:val="Compact"/>
              <w:jc w:val="center"/>
            </w:pPr>
            <w:r>
              <w:t xml:space="preserve">2018–2021</w:t>
            </w:r>
          </w:p>
        </w:tc>
        <w:tc>
          <w:tcPr/>
          <w:p>
            <w:pPr>
              <w:pStyle w:val="Compact"/>
              <w:jc w:val="center"/>
            </w:pPr>
            <w:r>
              <w:t xml:space="preserve">2022</w:t>
            </w:r>
          </w:p>
        </w:tc>
        <w:tc>
          <w:tcPr/>
          <w:p>
            <w:pPr>
              <w:pStyle w:val="Compact"/>
              <w:jc w:val="center"/>
            </w:pPr>
            <w:r>
              <w:t xml:space="preserve">2,145</w:t>
            </w:r>
          </w:p>
        </w:tc>
        <w:tc>
          <w:tcPr/>
          <w:p>
            <w:pPr>
              <w:pStyle w:val="Compact"/>
              <w:jc w:val="center"/>
            </w:pPr>
            <w:r>
              <w:t xml:space="preserve">402</w:t>
            </w:r>
          </w:p>
        </w:tc>
      </w:tr>
      <w:tr>
        <w:tc>
          <w:tcPr/>
          <w:p>
            <w:pPr>
              <w:pStyle w:val="Compact"/>
              <w:jc w:val="center"/>
            </w:pPr>
            <w:r>
              <w:t xml:space="preserve">Fold 3</w:t>
            </w:r>
          </w:p>
        </w:tc>
        <w:tc>
          <w:tcPr/>
          <w:p>
            <w:pPr>
              <w:pStyle w:val="Compact"/>
              <w:jc w:val="center"/>
            </w:pPr>
            <w:r>
              <w:t xml:space="preserve">2018–2022</w:t>
            </w:r>
          </w:p>
        </w:tc>
        <w:tc>
          <w:tcPr/>
          <w:p>
            <w:pPr>
              <w:pStyle w:val="Compact"/>
              <w:jc w:val="center"/>
            </w:pPr>
            <w:r>
              <w:t xml:space="preserve">2023</w:t>
            </w:r>
          </w:p>
        </w:tc>
        <w:tc>
          <w:tcPr/>
          <w:p>
            <w:pPr>
              <w:pStyle w:val="Compact"/>
              <w:jc w:val="center"/>
            </w:pPr>
            <w:r>
              <w:t xml:space="preserve">2,316</w:t>
            </w:r>
          </w:p>
        </w:tc>
        <w:tc>
          <w:tcPr/>
          <w:p>
            <w:pPr>
              <w:pStyle w:val="Compact"/>
              <w:jc w:val="center"/>
            </w:pPr>
            <w:r>
              <w:t xml:space="preserve">415</w:t>
            </w:r>
          </w:p>
        </w:tc>
      </w:tr>
      <w:tr>
        <w:tc>
          <w:tcPr/>
          <w:p>
            <w:pPr>
              <w:pStyle w:val="Compact"/>
              <w:jc w:val="center"/>
            </w:pPr>
            <w:r>
              <w:t xml:space="preserve">Fold 4</w:t>
            </w:r>
          </w:p>
        </w:tc>
        <w:tc>
          <w:tcPr/>
          <w:p>
            <w:pPr>
              <w:pStyle w:val="Compact"/>
              <w:jc w:val="center"/>
            </w:pPr>
            <w:r>
              <w:t xml:space="preserve">2018–2023</w:t>
            </w:r>
          </w:p>
        </w:tc>
        <w:tc>
          <w:tcPr/>
          <w:p>
            <w:pPr>
              <w:pStyle w:val="Compact"/>
              <w:jc w:val="center"/>
            </w:pPr>
            <w:r>
              <w:t xml:space="preserve">2024</w:t>
            </w:r>
          </w:p>
        </w:tc>
        <w:tc>
          <w:tcPr/>
          <w:p>
            <w:pPr>
              <w:pStyle w:val="Compact"/>
              <w:jc w:val="center"/>
            </w:pPr>
            <w:r>
              <w:t xml:space="preserve">2,537</w:t>
            </w:r>
          </w:p>
        </w:tc>
        <w:tc>
          <w:tcPr/>
          <w:p>
            <w:pPr>
              <w:pStyle w:val="Compact"/>
              <w:jc w:val="center"/>
            </w:pPr>
            <w:r>
              <w:t xml:space="preserve">428</w:t>
            </w:r>
          </w:p>
        </w:tc>
      </w:tr>
      <w:tr>
        <w:tc>
          <w:tcPr/>
          <w:p>
            <w:pPr>
              <w:pStyle w:val="Compact"/>
              <w:jc w:val="center"/>
            </w:pPr>
            <w:r>
              <w:t xml:space="preserve">Fold 5</w:t>
            </w:r>
          </w:p>
        </w:tc>
        <w:tc>
          <w:tcPr/>
          <w:p>
            <w:pPr>
              <w:pStyle w:val="Compact"/>
              <w:jc w:val="center"/>
            </w:pPr>
            <w:r>
              <w:t xml:space="preserve">2018–2024</w:t>
            </w:r>
          </w:p>
        </w:tc>
        <w:tc>
          <w:tcPr/>
          <w:p>
            <w:pPr>
              <w:pStyle w:val="Compact"/>
              <w:jc w:val="center"/>
            </w:pPr>
            <w:r>
              <w:t xml:space="preserve">2025</w:t>
            </w:r>
          </w:p>
        </w:tc>
        <w:tc>
          <w:tcPr/>
          <w:p>
            <w:pPr>
              <w:pStyle w:val="Compact"/>
              <w:jc w:val="center"/>
            </w:pPr>
            <w:r>
              <w:t xml:space="preserve">2,882</w:t>
            </w:r>
          </w:p>
        </w:tc>
        <w:tc>
          <w:tcPr/>
          <w:p>
            <w:pPr>
              <w:pStyle w:val="Compact"/>
              <w:jc w:val="center"/>
            </w:pPr>
            <w:r>
              <w:t xml:space="preserve">439</w:t>
            </w:r>
          </w:p>
        </w:tc>
      </w:tr>
      <w:tr>
        <w:tc>
          <w:tcPr/>
          <w:p>
            <w:pPr>
              <w:pStyle w:val="Compact"/>
              <w:jc w:val="center"/>
            </w:pPr>
            <w:r>
              <w:t xml:space="preserve">Fold 6</w:t>
            </w:r>
          </w:p>
        </w:tc>
        <w:tc>
          <w:tcPr/>
          <w:p>
            <w:pPr>
              <w:pStyle w:val="Compact"/>
              <w:jc w:val="center"/>
            </w:pPr>
            <w:r>
              <w:t xml:space="preserve">2018–2025</w:t>
            </w:r>
          </w:p>
        </w:tc>
        <w:tc>
          <w:tcPr/>
          <w:p>
            <w:pPr>
              <w:pStyle w:val="Compact"/>
              <w:jc w:val="center"/>
            </w:pPr>
            <w:r>
              <w:t xml:space="preserve">2026 (H1)</w:t>
            </w:r>
          </w:p>
        </w:tc>
        <w:tc>
          <w:tcPr/>
          <w:p>
            <w:pPr>
              <w:pStyle w:val="Compact"/>
              <w:jc w:val="center"/>
            </w:pPr>
            <w:r>
              <w:t xml:space="preserve">3,275</w:t>
            </w:r>
          </w:p>
        </w:tc>
        <w:tc>
          <w:tcPr/>
          <w:p>
            <w:pPr>
              <w:pStyle w:val="Compact"/>
              <w:jc w:val="center"/>
            </w:pPr>
            <w:r>
              <w:t xml:space="preserve">452</w:t>
            </w:r>
          </w:p>
        </w:tc>
      </w:tr>
    </w:tbl>
    <w:bookmarkEnd w:id="23"/>
    <w:bookmarkStart w:id="24" w:name="X5941b5482416a4922f7ede4fdfc0f39f564d983"/>
    <w:p>
      <w:pPr>
        <w:pStyle w:val="Heading3"/>
      </w:pPr>
      <w:r>
        <w:t xml:space="preserve">C. The Critical Role of Rolling Normalization</w:t>
      </w:r>
    </w:p>
    <w:p>
      <w:pPr>
        <w:pStyle w:val="FirstParagraph"/>
      </w:pPr>
      <w:r>
        <w:t xml:space="preserve">Under extreme growth, standard normalization (fixed normalization) using statistics from the beginning of the dataset (e.g., 2018 stats) causes severe model failure. We compare two normalization strategies:</w:t>
      </w:r>
      <w:r>
        <w:t xml:space="preserve"> </w:t>
      </w:r>
      <w:r>
        <w:t xml:space="preserve">1.</w:t>
      </w:r>
      <w:r>
        <w:t xml:space="preserve"> </w:t>
      </w:r>
      <w:r>
        <w:rPr>
          <w:b/>
          <w:bCs/>
        </w:rPr>
        <w:t xml:space="preserve">Fixed Normalization</w:t>
      </w:r>
      <w:r>
        <w:t xml:space="preserve">: Standardizing all inputs and outputs using the mean (</w:t>
      </w:r>
      <m:oMath>
        <m:sSub>
          <m:e>
            <m:r>
              <m:t>μ</m:t>
            </m:r>
          </m:e>
          <m:sub>
            <m:r>
              <m:t>2018</m:t>
            </m:r>
          </m:sub>
        </m:sSub>
      </m:oMath>
      <w:r>
        <w:t xml:space="preserve">) and standard deviation (</w:t>
      </w:r>
      <m:oMath>
        <m:sSub>
          <m:e>
            <m:r>
              <m:t>σ</m:t>
            </m:r>
          </m:e>
          <m:sub>
            <m:r>
              <m:t>2018</m:t>
            </m:r>
          </m:sub>
        </m:sSub>
      </m:oMath>
      <w:r>
        <w:t xml:space="preserve">) of the initial training set.</w:t>
      </w:r>
      <w:r>
        <w:t xml:space="preserve"> </w:t>
      </w:r>
      <w:r>
        <w:t xml:space="preserve">2.</w:t>
      </w:r>
      <w:r>
        <w:t xml:space="preserve"> </w:t>
      </w:r>
      <w:r>
        <w:rPr>
          <w:b/>
          <w:bCs/>
        </w:rPr>
        <w:t xml:space="preserve">Adaptive Normalization</w:t>
      </w:r>
      <w:r>
        <w:t xml:space="preserve">: Standardizing inputs and outputs using the mean (</w:t>
      </w:r>
      <m:oMath>
        <m:sSub>
          <m:e>
            <m:r>
              <m:t>μ</m:t>
            </m:r>
          </m:e>
          <m:sub>
            <m:r>
              <m:t>k</m:t>
            </m:r>
          </m:sub>
        </m:sSub>
      </m:oMath>
      <w:r>
        <w:t xml:space="preserve">) and standard deviation (</w:t>
      </w:r>
      <m:oMath>
        <m:sSub>
          <m:e>
            <m:r>
              <m:t>σ</m:t>
            </m:r>
          </m:e>
          <m:sub>
            <m:r>
              <m:t>k</m:t>
            </m:r>
          </m:sub>
        </m:sSub>
      </m:oMath>
      <w:r>
        <w:t xml:space="preserve">) of the</w:t>
      </w:r>
      <w:r>
        <w:t xml:space="preserve"> </w:t>
      </w:r>
      <w:r>
        <w:rPr>
          <w:i/>
          <w:iCs/>
        </w:rPr>
        <w:t xml:space="preserve">most recent training fold</w:t>
      </w:r>
      <w:r>
        <w:t xml:space="preserve"> </w:t>
      </w:r>
      <m:oMath>
        <m:r>
          <m:t>k</m:t>
        </m:r>
      </m:oMath>
      <w:r>
        <w:t xml:space="preserve">.</w:t>
      </w:r>
    </w:p>
    <w:p>
      <w:pPr>
        <w:pStyle w:val="BodyText"/>
      </w:pPr>
      <w:r>
        <w:t xml:space="preserve">Let</w:t>
      </w:r>
      <w:r>
        <w:t xml:space="preserve"> </w:t>
      </w:r>
      <m:oMath>
        <m:sSub>
          <m:e>
            <m:r>
              <m:t>x</m:t>
            </m:r>
          </m:e>
          <m:sub>
            <m:r>
              <m:t>t</m:t>
            </m:r>
          </m:sub>
        </m:sSub>
      </m:oMath>
      <w:r>
        <w:t xml:space="preserve"> </w:t>
      </w:r>
      <w:r>
        <w:t xml:space="preserve">be the raw load at time</w:t>
      </w:r>
      <w:r>
        <w:t xml:space="preserve"> </w:t>
      </w:r>
      <m:oMath>
        <m:r>
          <m:t>t</m:t>
        </m:r>
      </m:oMath>
      <w:r>
        <w:t xml:space="preserve">. The normalized value</w:t>
      </w:r>
      <w:r>
        <w:t xml:space="preserve"> </w:t>
      </w:r>
      <m:oMath>
        <m:sSub>
          <m:e>
            <m:r>
              <m:t>z</m:t>
            </m:r>
          </m:e>
          <m:sub>
            <m:r>
              <m:t>t</m:t>
            </m:r>
          </m:sub>
        </m:sSub>
      </m:oMath>
      <w:r>
        <w:t xml:space="preserve"> </w:t>
      </w:r>
      <w:r>
        <w:t xml:space="preserve">is computed as:</w:t>
      </w:r>
    </w:p>
    <w:p>
      <w:pPr>
        <w:pStyle w:val="BodyText"/>
      </w:pPr>
      <m:oMathPara>
        <m:oMathParaPr>
          <m:jc m:val="center"/>
        </m:oMathParaPr>
        <m:oMath>
          <m:sSub>
            <m:e>
              <m:r>
                <m:t>z</m:t>
              </m:r>
            </m:e>
            <m:sub>
              <m:r>
                <m:t>t</m:t>
              </m:r>
            </m:sub>
          </m:sSub>
          <m:r>
            <m:rPr>
              <m:sty m:val="p"/>
            </m:rPr>
            <m:t>=</m:t>
          </m:r>
          <m:f>
            <m:fPr>
              <m:type m:val="bar"/>
            </m:fPr>
            <m:num>
              <m:sSub>
                <m:e>
                  <m:r>
                    <m:t>x</m:t>
                  </m:r>
                </m:e>
                <m:sub>
                  <m:r>
                    <m:t>t</m:t>
                  </m:r>
                </m:sub>
              </m:sSub>
              <m:r>
                <m:rPr>
                  <m:sty m:val="p"/>
                </m:rPr>
                <m:t>−</m:t>
              </m:r>
              <m:sSub>
                <m:e>
                  <m:r>
                    <m:t>μ</m:t>
                  </m:r>
                </m:e>
                <m:sub>
                  <m:r>
                    <m:t>k</m:t>
                  </m:r>
                </m:sub>
              </m:sSub>
            </m:num>
            <m:den>
              <m:sSub>
                <m:e>
                  <m:r>
                    <m:t>σ</m:t>
                  </m:r>
                </m:e>
                <m:sub>
                  <m:r>
                    <m:t>k</m:t>
                  </m:r>
                </m:sub>
              </m:sSub>
            </m:den>
          </m:f>
        </m:oMath>
      </m:oMathPara>
    </w:p>
    <w:bookmarkEnd w:id="24"/>
    <w:bookmarkStart w:id="25" w:name="X27a8c3e774a4c781a4364a77c0c4b0864b36ce9"/>
    <w:p>
      <w:pPr>
        <w:pStyle w:val="Heading3"/>
      </w:pPr>
      <w:r>
        <w:t xml:space="preserve">Table III: Impact of Normalization Strategy on Baseline DLinear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w:t>
            </w:r>
          </w:p>
        </w:tc>
        <w:tc>
          <w:tcPr/>
          <w:p>
            <w:pPr>
              <w:pStyle w:val="Compact"/>
              <w:jc w:val="center"/>
            </w:pPr>
            <w:r>
              <w:t xml:space="preserve">Mean MAE (MW)</w:t>
            </w:r>
          </w:p>
        </w:tc>
        <w:tc>
          <w:tcPr/>
          <w:p>
            <w:pPr>
              <w:pStyle w:val="Compact"/>
              <w:jc w:val="center"/>
            </w:pPr>
            <w:r>
              <w:t xml:space="preserve">Mean MAPE (%)</w:t>
            </w:r>
          </w:p>
        </w:tc>
        <w:tc>
          <w:tcPr/>
          <w:p>
            <w:pPr>
              <w:pStyle w:val="Compact"/>
              <w:jc w:val="center"/>
            </w:pPr>
            <w:r>
              <w:t xml:space="preserve">Systematic Bias (MW)</w:t>
            </w:r>
          </w:p>
        </w:tc>
      </w:tr>
      <w:tr>
        <w:tc>
          <w:tcPr/>
          <w:p>
            <w:pPr>
              <w:pStyle w:val="Compact"/>
              <w:jc w:val="left"/>
            </w:pPr>
            <w:r>
              <w:t xml:space="preserve">Fixed (2018 stats)</w:t>
            </w:r>
          </w:p>
        </w:tc>
        <w:tc>
          <w:tcPr/>
          <w:p>
            <w:pPr>
              <w:pStyle w:val="Compact"/>
              <w:jc w:val="center"/>
            </w:pPr>
            <w:r>
              <w:t xml:space="preserve">141.2</w:t>
            </w:r>
          </w:p>
        </w:tc>
        <w:tc>
          <w:tcPr/>
          <w:p>
            <w:pPr>
              <w:pStyle w:val="Compact"/>
              <w:jc w:val="center"/>
            </w:pPr>
            <w:r>
              <w:t xml:space="preserve">5.66%</w:t>
            </w:r>
          </w:p>
        </w:tc>
        <w:tc>
          <w:tcPr/>
          <w:p>
            <w:pPr>
              <w:pStyle w:val="Compact"/>
              <w:jc w:val="center"/>
            </w:pPr>
            <w:r>
              <w:t xml:space="preserve">-52.4</w:t>
            </w:r>
          </w:p>
        </w:tc>
      </w:tr>
      <w:tr>
        <w:tc>
          <w:tcPr/>
          <w:p>
            <w:pPr>
              <w:pStyle w:val="Compact"/>
              <w:jc w:val="left"/>
            </w:pPr>
            <w:r>
              <w:t xml:space="preserve">Adaptive (Fold 6 stats)</w:t>
            </w:r>
          </w:p>
        </w:tc>
        <w:tc>
          <w:tcPr/>
          <w:p>
            <w:pPr>
              <w:pStyle w:val="Compact"/>
              <w:jc w:val="center"/>
            </w:pPr>
            <w:r>
              <w:t xml:space="preserve">91.0</w:t>
            </w:r>
          </w:p>
        </w:tc>
        <w:tc>
          <w:tcPr/>
          <w:p>
            <w:pPr>
              <w:pStyle w:val="Compact"/>
              <w:jc w:val="center"/>
            </w:pPr>
            <w:r>
              <w:t xml:space="preserve">3.65%</w:t>
            </w:r>
          </w:p>
        </w:tc>
        <w:tc>
          <w:tcPr/>
          <w:p>
            <w:pPr>
              <w:pStyle w:val="Compact"/>
              <w:jc w:val="center"/>
            </w:pPr>
            <w:r>
              <w:t xml:space="preserve">-18.2</w:t>
            </w:r>
          </w:p>
        </w:tc>
      </w:tr>
    </w:tbl>
    <w:p>
      <w:pPr>
        <w:pStyle w:val="BodyText"/>
      </w:pPr>
      <w:r>
        <w:t xml:space="preserve">Using adaptive normalization reduces the MAE from 141.2 MW to 91.0 MW (a 35.5% error reduction) and shrinks the systematic bias from -52.4 MW to -18.2 MW.</w:t>
      </w:r>
    </w:p>
    <w:p>
      <w:pPr>
        <w:pStyle w:val="BodyText"/>
      </w:pPr>
      <w:r>
        <w:rPr>
          <w:b/>
          <w:bCs/>
        </w:rPr>
        <w:t xml:space="preserve">Insight</w:t>
      </w:r>
      <w:r>
        <w:t xml:space="preserve">: When the underlying process is non-stationary, the normalization parameters must adapt. Even with adaptive normalization, however, the model still exhibits an average under-forecasting bias of -18.2 MW in Fold 6, which increases over time as the test year progresses.</w:t>
      </w:r>
    </w:p>
    <w:bookmarkEnd w:id="25"/>
    <w:bookmarkStart w:id="26" w:name="d.-model-degradation-dynamics"/>
    <w:p>
      <w:pPr>
        <w:pStyle w:val="Heading3"/>
      </w:pPr>
      <w:r>
        <w:t xml:space="preserve">D. Model Degradation Dynamics</w:t>
      </w:r>
    </w:p>
    <w:p>
      <w:pPr>
        <w:pStyle w:val="FirstParagraph"/>
      </w:pPr>
      <w:r>
        <w:t xml:space="preserve">We examine the degradation rate of a static model that is not retrained. We train the DLinear model on Fold 1 (2018–2020) and evaluate its performance on each subsequent year without retraining, comparing it to an annually retrained baseline.</w:t>
      </w:r>
    </w:p>
    <w:bookmarkEnd w:id="26"/>
    <w:bookmarkStart w:id="27" w:name="Xd60f260bb3fe6fb5dd925306a676cd2787524c8"/>
    <w:p>
      <w:pPr>
        <w:pStyle w:val="Heading3"/>
      </w:pPr>
      <w:r>
        <w:t xml:space="preserve">Table IV: Model Degradation over Time (MAE in MW)</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Evaluation Year</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(H1)</w:t>
            </w:r>
          </w:p>
        </w:tc>
        <w:tc>
          <w:tcPr/>
          <w:p>
            <w:pPr>
              <w:pStyle w:val="Compact"/>
              <w:jc w:val="center"/>
            </w:pPr>
            <w:r>
              <w:t xml:space="preserve">Cumulative Degradation</w:t>
            </w:r>
          </w:p>
        </w:tc>
      </w:tr>
      <w:tr>
        <w:tc>
          <w:tcPr/>
          <w:p>
            <w:pPr>
              <w:pStyle w:val="Compact"/>
              <w:jc w:val="left"/>
            </w:pPr>
            <w:r>
              <w:t xml:space="preserve">Fold 1 Only (No Retraining)</w:t>
            </w:r>
          </w:p>
        </w:tc>
        <w:tc>
          <w:tcPr/>
          <w:p>
            <w:pPr>
              <w:pStyle w:val="Compact"/>
              <w:jc w:val="center"/>
            </w:pPr>
            <w:r>
              <w:t xml:space="preserve">84.3</w:t>
            </w:r>
          </w:p>
        </w:tc>
        <w:tc>
          <w:tcPr/>
          <w:p>
            <w:pPr>
              <w:pStyle w:val="Compact"/>
              <w:jc w:val="center"/>
            </w:pPr>
            <w:r>
              <w:t xml:space="preserve">98.2</w:t>
            </w:r>
          </w:p>
        </w:tc>
        <w:tc>
          <w:tcPr/>
          <w:p>
            <w:pPr>
              <w:pStyle w:val="Compact"/>
              <w:jc w:val="center"/>
            </w:pPr>
            <w:r>
              <w:t xml:space="preserve">103.1</w:t>
            </w:r>
          </w:p>
        </w:tc>
        <w:tc>
          <w:tcPr/>
          <w:p>
            <w:pPr>
              <w:pStyle w:val="Compact"/>
              <w:jc w:val="center"/>
            </w:pPr>
            <w:r>
              <w:t xml:space="preserve">107.6</w:t>
            </w:r>
          </w:p>
        </w:tc>
        <w:tc>
          <w:tcPr/>
          <w:p>
            <w:pPr>
              <w:pStyle w:val="Compact"/>
              <w:jc w:val="center"/>
            </w:pPr>
            <w:r>
              <w:t xml:space="preserve">112.4</w:t>
            </w:r>
          </w:p>
        </w:tc>
        <w:tc>
          <w:tcPr/>
          <w:p>
            <w:pPr>
              <w:pStyle w:val="Compact"/>
              <w:jc w:val="center"/>
            </w:pPr>
            <w:r>
              <w:t xml:space="preserve">112.8</w:t>
            </w:r>
          </w:p>
        </w:tc>
        <w:tc>
          <w:tcPr/>
          <w:p>
            <w:pPr>
              <w:pStyle w:val="Compact"/>
              <w:jc w:val="center"/>
            </w:pPr>
            <w:r>
              <w:t xml:space="preserve">+33.8%</w:t>
            </w:r>
          </w:p>
        </w:tc>
      </w:tr>
      <w:tr>
        <w:tc>
          <w:tcPr/>
          <w:p>
            <w:pPr>
              <w:pStyle w:val="Compact"/>
              <w:jc w:val="left"/>
            </w:pPr>
            <w:r>
              <w:t xml:space="preserve">Annually Retrained Models</w:t>
            </w:r>
          </w:p>
        </w:tc>
        <w:tc>
          <w:tcPr/>
          <w:p>
            <w:pPr>
              <w:pStyle w:val="Compact"/>
              <w:jc w:val="center"/>
            </w:pPr>
            <w:r>
              <w:t xml:space="preserve">84.3</w:t>
            </w:r>
          </w:p>
        </w:tc>
        <w:tc>
          <w:tcPr/>
          <w:p>
            <w:pPr>
              <w:pStyle w:val="Compact"/>
              <w:jc w:val="center"/>
            </w:pPr>
            <w:r>
              <w:t xml:space="preserve">83.2</w:t>
            </w:r>
          </w:p>
        </w:tc>
        <w:tc>
          <w:tcPr/>
          <w:p>
            <w:pPr>
              <w:pStyle w:val="Compact"/>
              <w:jc w:val="center"/>
            </w:pPr>
            <w:r>
              <w:t xml:space="preserve">88.1</w:t>
            </w:r>
          </w:p>
        </w:tc>
        <w:tc>
          <w:tcPr/>
          <w:p>
            <w:pPr>
              <w:pStyle w:val="Compact"/>
              <w:jc w:val="center"/>
            </w:pPr>
            <w:r>
              <w:t xml:space="preserve">93.8</w:t>
            </w:r>
          </w:p>
        </w:tc>
        <w:tc>
          <w:tcPr/>
          <w:p>
            <w:pPr>
              <w:pStyle w:val="Compact"/>
              <w:jc w:val="center"/>
            </w:pPr>
            <w:r>
              <w:t xml:space="preserve">96.0</w:t>
            </w:r>
          </w:p>
        </w:tc>
        <w:tc>
          <w:tcPr/>
          <w:p>
            <w:pPr>
              <w:pStyle w:val="Compact"/>
              <w:jc w:val="center"/>
            </w:pPr>
            <w:r>
              <w:t xml:space="preserve">100.8</w:t>
            </w:r>
          </w:p>
        </w:tc>
        <w:tc>
          <w:tcPr/>
          <w:p>
            <w:pPr>
              <w:pStyle w:val="Compact"/>
              <w:jc w:val="center"/>
            </w:pPr>
            <w:r>
              <w:t xml:space="preserve">Baseline</w:t>
            </w:r>
          </w:p>
        </w:tc>
      </w:tr>
    </w:tbl>
    <w:p>
      <w:pPr>
        <w:pStyle w:val="BodyText"/>
      </w:pPr>
      <w:r>
        <w:t xml:space="preserve">Without retraining, the model’s error degrades by approximately 5–6% annually, leading to a 33.8% cumulative degradation by 2026. This degradation is directly linked to the accumulation of systematic bias: because the model’s linear projection layers are fixed, they cannot adjust to the higher load scale of later years, resulting in consistent under-forecasting.</w:t>
      </w:r>
    </w:p>
    <w:p>
      <w:r>
        <w:pict>
          <v:rect style="width:0;height:1.5pt" o:hralign="center" o:hrstd="t" o:hr="t"/>
        </w:pict>
      </w:r>
    </w:p>
    <w:bookmarkEnd w:id="27"/>
    <w:bookmarkEnd w:id="28"/>
    <w:bookmarkStart w:id="31" w:name="v.-analysis-of-the-residual-structure"/>
    <w:p>
      <w:pPr>
        <w:pStyle w:val="Heading2"/>
      </w:pPr>
      <w:r>
        <w:t xml:space="preserve">V. Analysis of the Residual Structure</w:t>
      </w:r>
    </w:p>
    <w:p>
      <w:pPr>
        <w:pStyle w:val="FirstParagraph"/>
      </w:pPr>
      <w:r>
        <w:t xml:space="preserve">To understand why the model under-forecasts, we analyze the properties of the forecast residuals. Let</w:t>
      </w:r>
      <w:r>
        <w:t xml:space="preserve"> </w:t>
      </w:r>
      <m:oMath>
        <m:sSub>
          <m:e>
            <m:r>
              <m:t>e</m:t>
            </m:r>
          </m:e>
          <m:sub>
            <m:r>
              <m:t>t</m:t>
            </m:r>
          </m:sub>
        </m:sSub>
      </m:oMath>
      <w:r>
        <w:t xml:space="preserve"> </w:t>
      </w:r>
      <w:r>
        <w:t xml:space="preserve">be the forecast residual at hour</w:t>
      </w:r>
      <w:r>
        <w:t xml:space="preserve"> </w:t>
      </w:r>
      <m:oMath>
        <m:r>
          <m:t>t</m:t>
        </m:r>
      </m:oMath>
      <w:r>
        <w:t xml:space="preserve">:</w:t>
      </w:r>
    </w:p>
    <w:p>
      <w:pPr>
        <w:pStyle w:val="BodyText"/>
      </w:pPr>
      <m:oMathPara>
        <m:oMathParaPr>
          <m:jc m:val="center"/>
        </m:oMathParaPr>
        <m:oMath>
          <m:sSub>
            <m:e>
              <m:r>
                <m:t>e</m:t>
              </m:r>
            </m:e>
            <m:sub>
              <m:r>
                <m:t>t</m:t>
              </m:r>
            </m:sub>
          </m:sSub>
          <m:r>
            <m:rPr>
              <m:sty m:val="p"/>
            </m:rPr>
            <m:t>=</m:t>
          </m:r>
          <m:sSub>
            <m:e>
              <m:r>
                <m:t>y</m:t>
              </m:r>
            </m:e>
            <m:sub>
              <m:r>
                <m:t>t</m:t>
              </m:r>
            </m:sub>
          </m:sSub>
          <m:r>
            <m:rPr>
              <m:sty m:val="p"/>
            </m:rPr>
            <m:t>−</m:t>
          </m:r>
          <m:sSub>
            <m:e>
              <m:acc>
                <m:accPr>
                  <m:chr m:val="̂"/>
                </m:accPr>
                <m:e>
                  <m:r>
                    <m:t>y</m:t>
                  </m:r>
                </m:e>
              </m:acc>
            </m:e>
            <m:sub>
              <m:r>
                <m:t>t</m:t>
              </m:r>
            </m:sub>
          </m:sSub>
        </m:oMath>
      </m:oMathPara>
    </w:p>
    <w:p>
      <w:pPr>
        <w:pStyle w:val="FirstParagraph"/>
      </w:pPr>
      <w:r>
        <w:t xml:space="preserve">where</w:t>
      </w:r>
      <w:r>
        <w:t xml:space="preserve"> </w:t>
      </w:r>
      <m:oMath>
        <m:sSub>
          <m:e>
            <m:r>
              <m:t>y</m:t>
            </m:r>
          </m:e>
          <m:sub>
            <m:r>
              <m:t>t</m:t>
            </m:r>
          </m:sub>
        </m:sSub>
      </m:oMath>
      <w:r>
        <w:t xml:space="preserve"> </w:t>
      </w:r>
      <w:r>
        <w:t xml:space="preserve">is the actual grid load and</w:t>
      </w:r>
      <w:r>
        <w:t xml:space="preserve"> </w:t>
      </w:r>
      <m:oMath>
        <m:sSub>
          <m:e>
            <m:acc>
              <m:accPr>
                <m:chr m:val="̂"/>
              </m:accPr>
              <m:e>
                <m:r>
                  <m:t>y</m:t>
                </m:r>
              </m:e>
            </m:acc>
          </m:e>
          <m:sub>
            <m:r>
              <m:t>t</m:t>
            </m:r>
          </m:sub>
        </m:sSub>
      </m:oMath>
      <w:r>
        <w:t xml:space="preserve"> </w:t>
      </w:r>
      <w:r>
        <w:t xml:space="preserve">is the baseline DLinear prediction.</w:t>
      </w:r>
    </w:p>
    <w:bookmarkStart w:id="29" w:name="a.-autocorrelation-analysis"/>
    <w:p>
      <w:pPr>
        <w:pStyle w:val="Heading3"/>
      </w:pPr>
      <w:r>
        <w:t xml:space="preserve">A. Autocorrelation Analysis</w:t>
      </w:r>
    </w:p>
    <w:p>
      <w:pPr>
        <w:pStyle w:val="FirstParagraph"/>
      </w:pPr>
      <w:r>
        <w:t xml:space="preserve">We compute the autocorrelation function (ACF) of the residual sequence</w:t>
      </w:r>
      <w:r>
        <w:t xml:space="preserve"> </w:t>
      </w:r>
      <m:oMath>
        <m:r>
          <m:rPr>
            <m:sty m:val="p"/>
          </m:rPr>
          <m:t>{</m:t>
        </m:r>
        <m:sSub>
          <m:e>
            <m:r>
              <m:t>e</m:t>
            </m:r>
          </m:e>
          <m:sub>
            <m:r>
              <m:t>t</m:t>
            </m:r>
          </m:sub>
        </m:sSub>
        <m:r>
          <m:rPr>
            <m:sty m:val="p"/>
          </m:rPr>
          <m:t>}</m:t>
        </m:r>
      </m:oMath>
      <w:r>
        <w:t xml:space="preserve"> </w:t>
      </w:r>
      <w:r>
        <w:t xml:space="preserve">at lag</w:t>
      </w:r>
      <w:r>
        <w:t xml:space="preserve"> </w:t>
      </w:r>
      <m:oMath>
        <m:r>
          <m:t>τ</m:t>
        </m:r>
      </m:oMath>
      <w:r>
        <w:t xml:space="preserve">:</w:t>
      </w:r>
    </w:p>
    <w:p>
      <w:pPr>
        <w:pStyle w:val="BodyText"/>
      </w:pPr>
      <m:oMathPara>
        <m:oMathParaPr>
          <m:jc m:val="center"/>
        </m:oMathParaPr>
        <m:oMath>
          <m:r>
            <m:t>ρ</m:t>
          </m:r>
          <m:r>
            <m:rPr>
              <m:sty m:val="p"/>
            </m:rPr>
            <m:t>(</m:t>
          </m:r>
          <m:r>
            <m:t>τ</m:t>
          </m:r>
          <m:r>
            <m:rPr>
              <m:sty m:val="p"/>
            </m:rPr>
            <m:t>)</m:t>
          </m:r>
          <m:r>
            <m:rPr>
              <m:sty m:val="p"/>
            </m:rPr>
            <m:t>=</m:t>
          </m:r>
          <m:f>
            <m:fPr>
              <m:type m:val="bar"/>
            </m:fPr>
            <m:num>
              <m:nary>
                <m:naryPr>
                  <m:chr m:val="∑"/>
                  <m:limLoc m:val="undOvr"/>
                  <m:subHide m:val="off"/>
                  <m:supHide m:val="off"/>
                </m:naryPr>
                <m:sub>
                  <m:r>
                    <m:t>t</m:t>
                  </m:r>
                  <m:r>
                    <m:rPr>
                      <m:sty m:val="p"/>
                    </m:rPr>
                    <m:t>=</m:t>
                  </m:r>
                  <m:r>
                    <m:t>τ</m:t>
                  </m:r>
                  <m:r>
                    <m:rPr>
                      <m:sty m:val="p"/>
                    </m:rPr>
                    <m:t>+</m:t>
                  </m:r>
                  <m:r>
                    <m:t>1</m:t>
                  </m:r>
                </m:sub>
                <m:sup>
                  <m:r>
                    <m:t>N</m:t>
                  </m:r>
                </m:sup>
                <m:e>
                  <m:r>
                    <m:rPr>
                      <m:sty m:val="p"/>
                    </m:rPr>
                    <m:t>(</m:t>
                  </m:r>
                </m:e>
              </m:nary>
              <m:sSub>
                <m:e>
                  <m:r>
                    <m:t>e</m:t>
                  </m:r>
                </m:e>
                <m:sub>
                  <m:r>
                    <m:t>t</m:t>
                  </m:r>
                </m:sub>
              </m:sSub>
              <m:r>
                <m:rPr>
                  <m:sty m:val="p"/>
                </m:rPr>
                <m:t>−</m:t>
              </m:r>
              <m:acc>
                <m:accPr>
                  <m:chr m:val="‾"/>
                </m:accPr>
                <m:e>
                  <m:r>
                    <m:t>e</m:t>
                  </m:r>
                </m:e>
              </m:acc>
              <m:r>
                <m:rPr>
                  <m:sty m:val="p"/>
                </m:rPr>
                <m:t>)</m:t>
              </m:r>
              <m:r>
                <m:rPr>
                  <m:sty m:val="p"/>
                </m:rPr>
                <m:t>(</m:t>
              </m:r>
              <m:sSub>
                <m:e>
                  <m:r>
                    <m:t>e</m:t>
                  </m:r>
                </m:e>
                <m:sub>
                  <m:r>
                    <m:t>t</m:t>
                  </m:r>
                  <m:r>
                    <m:rPr>
                      <m:sty m:val="p"/>
                    </m:rPr>
                    <m:t>−</m:t>
                  </m:r>
                  <m:r>
                    <m:t>τ</m:t>
                  </m:r>
                </m:sub>
              </m:sSub>
              <m:r>
                <m:rPr>
                  <m:sty m:val="p"/>
                </m:rPr>
                <m:t>−</m:t>
              </m:r>
              <m:acc>
                <m:accPr>
                  <m:chr m:val="‾"/>
                </m:accPr>
                <m:e>
                  <m:r>
                    <m:t>e</m:t>
                  </m:r>
                </m:e>
              </m:acc>
              <m:r>
                <m:rPr>
                  <m:sty m:val="p"/>
                </m:rPr>
                <m:t>)</m:t>
              </m:r>
            </m:num>
            <m:den>
              <m:nary>
                <m:naryPr>
                  <m:chr m:val="∑"/>
                  <m:limLoc m:val="undOvr"/>
                  <m:subHide m:val="off"/>
                  <m:supHide m:val="off"/>
                </m:naryPr>
                <m:sub>
                  <m:r>
                    <m:t>t</m:t>
                  </m:r>
                  <m:r>
                    <m:rPr>
                      <m:sty m:val="p"/>
                    </m:rPr>
                    <m:t>=</m:t>
                  </m:r>
                  <m:r>
                    <m:t>1</m:t>
                  </m:r>
                </m:sub>
                <m:sup>
                  <m:r>
                    <m:t>N</m:t>
                  </m:r>
                </m:sup>
                <m:e>
                  <m:r>
                    <m:rPr>
                      <m:sty m:val="p"/>
                    </m:rPr>
                    <m:t>(</m:t>
                  </m:r>
                </m:e>
              </m:nary>
              <m:sSub>
                <m:e>
                  <m:r>
                    <m:t>e</m:t>
                  </m:r>
                </m:e>
                <m:sub>
                  <m:r>
                    <m:t>t</m:t>
                  </m:r>
                </m:sub>
              </m:sSub>
              <m:r>
                <m:rPr>
                  <m:sty m:val="p"/>
                </m:rPr>
                <m:t>−</m:t>
              </m:r>
              <m:acc>
                <m:accPr>
                  <m:chr m:val="‾"/>
                </m:accPr>
                <m:e>
                  <m:r>
                    <m:t>e</m:t>
                  </m:r>
                </m:e>
              </m:acc>
              <m:sSup>
                <m:e>
                  <m:r>
                    <m:rPr>
                      <m:sty m:val="p"/>
                    </m:rPr>
                    <m:t>)</m:t>
                  </m:r>
                </m:e>
                <m:sup>
                  <m:r>
                    <m:t>2</m:t>
                  </m:r>
                </m:sup>
              </m:sSup>
            </m:den>
          </m:f>
        </m:oMath>
      </m:oMathPara>
    </w:p>
    <w:p>
      <w:pPr>
        <w:pStyle w:val="FirstParagraph"/>
      </w:pPr>
      <w:r>
        <w:t xml:space="preserve">where</w:t>
      </w:r>
      <w:r>
        <w:t xml:space="preserve"> </w:t>
      </w:r>
      <m:oMath>
        <m:acc>
          <m:accPr>
            <m:chr m:val="‾"/>
          </m:accPr>
          <m:e>
            <m:r>
              <m:t>e</m:t>
            </m:r>
          </m:e>
        </m:acc>
      </m:oMath>
      <w:r>
        <w:t xml:space="preserve"> </w:t>
      </w:r>
      <w:r>
        <w:t xml:space="preserve">is the mean residual.</w:t>
      </w:r>
    </w:p>
    <w:p>
      <w:pPr>
        <w:pStyle w:val="SourceCode"/>
      </w:pPr>
      <w:r>
        <w:rPr>
          <w:rStyle w:val="VerbatimChar"/>
        </w:rPr>
        <w:t xml:space="preserve">Autocorrelation of Residuals</w:t>
      </w:r>
      <w:r>
        <w:br/>
      </w:r>
      <w:r>
        <w:rPr>
          <w:rStyle w:val="VerbatimChar"/>
        </w:rPr>
        <w:t xml:space="preserve">  Lag (hours) |  ACF Value</w:t>
      </w:r>
      <w:r>
        <w:br/>
      </w:r>
      <w:r>
        <w:rPr>
          <w:rStyle w:val="VerbatimChar"/>
        </w:rPr>
        <w:t xml:space="preserve">  ------------|-----------------------------</w:t>
      </w:r>
      <w:r>
        <w:br/>
      </w:r>
      <w:r>
        <w:rPr>
          <w:rStyle w:val="VerbatimChar"/>
        </w:rPr>
        <w:t xml:space="preserve">           1  |  0.82  ====================</w:t>
      </w:r>
      <w:r>
        <w:br/>
      </w:r>
      <w:r>
        <w:rPr>
          <w:rStyle w:val="VerbatimChar"/>
        </w:rPr>
        <w:t xml:space="preserve">           2  |  0.78  ===================</w:t>
      </w:r>
      <w:r>
        <w:br/>
      </w:r>
      <w:r>
        <w:rPr>
          <w:rStyle w:val="VerbatimChar"/>
        </w:rPr>
        <w:t xml:space="preserve">          12  |  0.68  ================</w:t>
      </w:r>
      <w:r>
        <w:br/>
      </w:r>
      <w:r>
        <w:rPr>
          <w:rStyle w:val="VerbatimChar"/>
        </w:rPr>
        <w:t xml:space="preserve">          24  |  0.64  ===============</w:t>
      </w:r>
      <w:r>
        <w:br/>
      </w:r>
      <w:r>
        <w:rPr>
          <w:rStyle w:val="VerbatimChar"/>
        </w:rPr>
        <w:t xml:space="preserve">          48  |  0.61  ==============</w:t>
      </w:r>
      <w:r>
        <w:br/>
      </w:r>
      <w:r>
        <w:rPr>
          <w:rStyle w:val="VerbatimChar"/>
        </w:rPr>
        <w:t xml:space="preserve">          72  |  0.55  =============</w:t>
      </w:r>
      <w:r>
        <w:br/>
      </w:r>
      <w:r>
        <w:rPr>
          <w:rStyle w:val="VerbatimChar"/>
        </w:rPr>
        <w:t xml:space="preserve">         168  |  0.42  ==========</w:t>
      </w:r>
    </w:p>
    <w:p>
      <w:pPr>
        <w:pStyle w:val="FirstParagraph"/>
      </w:pPr>
      <w:r>
        <w:t xml:space="preserve">The residual sequence exhibits strong autocorrelation. Even at a lag of 48 hours, the correlation remains above 0.60, indicating that the forecast errors are highly persistent. The error at the current hour is a strong predictor of errors in the next 24 to 48 hours.</w:t>
      </w:r>
    </w:p>
    <w:bookmarkEnd w:id="29"/>
    <w:bookmarkStart w:id="30" w:name="b.-spectral-analysis"/>
    <w:p>
      <w:pPr>
        <w:pStyle w:val="Heading3"/>
      </w:pPr>
      <w:r>
        <w:t xml:space="preserve">B. Spectral Analysis</w:t>
      </w:r>
    </w:p>
    <w:p>
      <w:pPr>
        <w:pStyle w:val="FirstParagraph"/>
      </w:pPr>
      <w:r>
        <w:t xml:space="preserve">We perform a discrete Fourier transform (DFT) on the residuals to analyze their frequency components. The power spectral density (PSD) reveals:</w:t>
      </w:r>
      <w:r>
        <w:t xml:space="preserve"> </w:t>
      </w:r>
      <w:r>
        <w:t xml:space="preserve">1.</w:t>
      </w:r>
      <w:r>
        <w:t xml:space="preserve"> </w:t>
      </w:r>
      <w:r>
        <w:rPr>
          <w:b/>
          <w:bCs/>
        </w:rPr>
        <w:t xml:space="preserve">Low-Frequency Dominance</w:t>
      </w:r>
      <w:r>
        <w:t xml:space="preserve">: Over 75% of the spectral power is concentrated at frequencies corresponding to periods greater than 24 hours (low-frequency drift).</w:t>
      </w:r>
      <w:r>
        <w:t xml:space="preserve"> </w:t>
      </w:r>
      <w:r>
        <w:t xml:space="preserve">2.</w:t>
      </w:r>
      <w:r>
        <w:t xml:space="preserve"> </w:t>
      </w:r>
      <w:r>
        <w:rPr>
          <w:b/>
          <w:bCs/>
        </w:rPr>
        <w:t xml:space="preserve">High-Frequency Noise</w:t>
      </w:r>
      <w:r>
        <w:t xml:space="preserve">: High-frequency components (periods less than 4 hours) account for less than 10% of the total variance.</w:t>
      </w:r>
    </w:p>
    <w:p>
      <w:pPr>
        <w:pStyle w:val="BodyText"/>
      </w:pPr>
      <w:r>
        <w:t xml:space="preserve">This spectral structure shows that the residual is composed of a slowly varying</w:t>
      </w:r>
      <w:r>
        <w:t xml:space="preserve"> </w:t>
      </w:r>
      <w:r>
        <w:rPr>
          <w:b/>
          <w:bCs/>
        </w:rPr>
        <w:t xml:space="preserve">bias signal</w:t>
      </w:r>
      <w:r>
        <w:t xml:space="preserve"> </w:t>
      </w:r>
      <w:r>
        <w:t xml:space="preserve">(drift) and a high-frequency</w:t>
      </w:r>
      <w:r>
        <w:t xml:space="preserve"> </w:t>
      </w:r>
      <w:r>
        <w:rPr>
          <w:b/>
          <w:bCs/>
        </w:rPr>
        <w:t xml:space="preserve">white noise signal</w:t>
      </w:r>
      <w:r>
        <w:t xml:space="preserve"> </w:t>
      </w:r>
      <w:r>
        <w:t xml:space="preserve">(random fluctuations). Because the bias signal evolves slowly, we can model it as a low-pass filtering process.</w:t>
      </w:r>
    </w:p>
    <w:p>
      <w:r>
        <w:pict>
          <v:rect style="width:0;height:1.5pt" o:hralign="center" o:hrstd="t" o:hr="t"/>
        </w:pict>
      </w:r>
    </w:p>
    <w:bookmarkEnd w:id="30"/>
    <w:bookmarkEnd w:id="31"/>
    <w:bookmarkStart w:id="36" w:name="vi.-proposed-methodology-tide"/>
    <w:p>
      <w:pPr>
        <w:pStyle w:val="Heading2"/>
      </w:pPr>
      <w:r>
        <w:t xml:space="preserve">VI. Proposed Methodology: TIDE</w:t>
      </w:r>
    </w:p>
    <w:bookmarkStart w:id="32" w:name="a.-core-concept"/>
    <w:p>
      <w:pPr>
        <w:pStyle w:val="Heading3"/>
      </w:pPr>
      <w:r>
        <w:t xml:space="preserve">A. Core Concept</w:t>
      </w:r>
    </w:p>
    <w:p>
      <w:pPr>
        <w:pStyle w:val="FirstParagraph"/>
      </w:pPr>
      <w:r>
        <w:t xml:space="preserve">Since the systematic bias is slowly varying and persistent, we can capture it using an online low-pass filter on the forecast error. We propose</w:t>
      </w:r>
      <w:r>
        <w:t xml:space="preserve"> </w:t>
      </w:r>
      <w:r>
        <w:rPr>
          <w:b/>
          <w:bCs/>
        </w:rPr>
        <w:t xml:space="preserve">Temporal Integration of Drift Errors (TIDE)</w:t>
      </w:r>
      <w:r>
        <w:t xml:space="preserve">.</w:t>
      </w:r>
    </w:p>
    <w:p>
      <w:pPr>
        <w:pStyle w:val="BodyText"/>
      </w:pPr>
      <w:r>
        <w:t xml:space="preserve">To maintain scale invariance as the grid grows, TIDE operates entirely in normalized</w:t>
      </w:r>
      <w:r>
        <w:t xml:space="preserve"> </w:t>
      </w:r>
      <m:oMath>
        <m:r>
          <m:t>z</m:t>
        </m:r>
      </m:oMath>
      <w:r>
        <w:t xml:space="preserve">-score space. This ensures that the bias correction scale adjusts automatically as the mean and standard deviation of the load change.</w:t>
      </w:r>
    </w:p>
    <w:p>
      <w:pPr>
        <w:pStyle w:val="SourceCode"/>
      </w:pP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[Raw Input Data]                                           |</w:t>
      </w:r>
      <w:r>
        <w:br/>
      </w:r>
      <w:r>
        <w:rPr>
          <w:rStyle w:val="VerbatimChar"/>
        </w:rPr>
        <w:t xml:space="preserve">               |                                                 |</w:t>
      </w:r>
      <w:r>
        <w:br/>
      </w:r>
      <w:r>
        <w:rPr>
          <w:rStyle w:val="VerbatimChar"/>
        </w:rPr>
        <w:t xml:space="preserve">      (Rolling Normalization using statistics μ_k, σ_k)          |</w:t>
      </w:r>
      <w:r>
        <w:br/>
      </w:r>
      <w:r>
        <w:rPr>
          <w:rStyle w:val="VerbatimChar"/>
        </w:rPr>
        <w:t xml:space="preserve">               |                                                 |</w:t>
      </w:r>
      <w:r>
        <w:br/>
      </w:r>
      <w:r>
        <w:rPr>
          <w:rStyle w:val="VerbatimChar"/>
        </w:rPr>
        <w:t xml:space="preserve">               v                                                 |</w:t>
      </w:r>
      <w:r>
        <w:br/>
      </w:r>
      <w:r>
        <w:rPr>
          <w:rStyle w:val="VerbatimChar"/>
        </w:rPr>
        <w:t xml:space="preserve">     [Normalized Input]                                          |</w:t>
      </w:r>
      <w:r>
        <w:br/>
      </w:r>
      <w:r>
        <w:rPr>
          <w:rStyle w:val="VerbatimChar"/>
        </w:rPr>
        <w:t xml:space="preserve">               |                                                 |</w:t>
      </w:r>
      <w:r>
        <w:br/>
      </w:r>
      <w:r>
        <w:rPr>
          <w:rStyle w:val="VerbatimChar"/>
        </w:rPr>
        <w:t xml:space="preserve">     [DLinear Baseline Model]                                    |</w:t>
      </w:r>
      <w:r>
        <w:br/>
      </w:r>
      <w:r>
        <w:rPr>
          <w:rStyle w:val="VerbatimChar"/>
        </w:rPr>
        <w:t xml:space="preserve">               |                                                 |</w:t>
      </w:r>
      <w:r>
        <w:br/>
      </w:r>
      <w:r>
        <w:rPr>
          <w:rStyle w:val="VerbatimChar"/>
        </w:rPr>
        <w:t xml:space="preserve">               v                                                 |</w:t>
      </w:r>
      <w:r>
        <w:br/>
      </w:r>
      <w:r>
        <w:rPr>
          <w:rStyle w:val="VerbatimChar"/>
        </w:rPr>
        <w:t xml:space="preserve">     [Raw Forecast ŷ_t] --&gt; (Normalize) --&gt; [ŷ_norm_t]           |</w:t>
      </w:r>
      <w:r>
        <w:br/>
      </w:r>
      <w:r>
        <w:rPr>
          <w:rStyle w:val="VerbatimChar"/>
        </w:rPr>
        <w:t xml:space="preserve">                                                 |               |</w:t>
      </w:r>
      <w:r>
        <w:br/>
      </w:r>
      <w:r>
        <w:rPr>
          <w:rStyle w:val="VerbatimChar"/>
        </w:rPr>
        <w:t xml:space="preserve">                                                 v               |</w:t>
      </w:r>
      <w:r>
        <w:br/>
      </w:r>
      <w:r>
        <w:rPr>
          <w:rStyle w:val="VerbatimChar"/>
        </w:rPr>
        <w:t xml:space="preserve">                                     (TIDE Online Correction)    |</w:t>
      </w:r>
      <w:r>
        <w:br/>
      </w:r>
      <w:r>
        <w:rPr>
          <w:rStyle w:val="VerbatimChar"/>
        </w:rPr>
        <w:t xml:space="preserve">                                     Subtract Bias Estimate b_t  |</w:t>
      </w:r>
      <w:r>
        <w:br/>
      </w:r>
      <w:r>
        <w:rPr>
          <w:rStyle w:val="VerbatimChar"/>
        </w:rPr>
        <w:t xml:space="preserve">                                                 |               |</w:t>
      </w:r>
      <w:r>
        <w:br/>
      </w:r>
      <w:r>
        <w:rPr>
          <w:rStyle w:val="VerbatimChar"/>
        </w:rPr>
        <w:t xml:space="preserve">                                                 v               |</w:t>
      </w:r>
      <w:r>
        <w:br/>
      </w:r>
      <w:r>
        <w:rPr>
          <w:rStyle w:val="VerbatimChar"/>
        </w:rPr>
        <w:t xml:space="preserve">                                           [ŷ'_norm_t]           |</w:t>
      </w:r>
      <w:r>
        <w:br/>
      </w:r>
      <w:r>
        <w:rPr>
          <w:rStyle w:val="VerbatimChar"/>
        </w:rPr>
        <w:t xml:space="preserve">                                                 |               |</w:t>
      </w:r>
      <w:r>
        <w:br/>
      </w:r>
      <w:r>
        <w:rPr>
          <w:rStyle w:val="VerbatimChar"/>
        </w:rPr>
        <w:t xml:space="preserve">                                           (Denormalize)         |</w:t>
      </w:r>
      <w:r>
        <w:br/>
      </w:r>
      <w:r>
        <w:rPr>
          <w:rStyle w:val="VerbatimChar"/>
        </w:rPr>
        <w:t xml:space="preserve">                                                 |               |</w:t>
      </w:r>
      <w:r>
        <w:br/>
      </w:r>
      <w:r>
        <w:rPr>
          <w:rStyle w:val="VerbatimChar"/>
        </w:rPr>
        <w:t xml:space="preserve">                                                 v               |</w:t>
      </w:r>
      <w:r>
        <w:br/>
      </w:r>
      <w:r>
        <w:rPr>
          <w:rStyle w:val="VerbatimChar"/>
        </w:rPr>
        <w:t xml:space="preserve">                                           [Final Forecast]      |</w:t>
      </w:r>
      <w:r>
        <w:br/>
      </w:r>
      <w:r>
        <w:rPr>
          <w:rStyle w:val="VerbatimChar"/>
        </w:rPr>
        <w:t xml:space="preserve">                                                 |               |</w:t>
      </w:r>
      <w:r>
        <w:br/>
      </w:r>
      <w:r>
        <w:rPr>
          <w:rStyle w:val="VerbatimChar"/>
        </w:rPr>
        <w:t xml:space="preserve">                                                 v               |</w:t>
      </w:r>
      <w:r>
        <w:br/>
      </w:r>
      <w:r>
        <w:rPr>
          <w:rStyle w:val="VerbatimChar"/>
        </w:rPr>
        <w:t xml:space="preserve">                                         [Observe Actual y_t]    |</w:t>
      </w:r>
      <w:r>
        <w:br/>
      </w:r>
      <w:r>
        <w:rPr>
          <w:rStyle w:val="VerbatimChar"/>
        </w:rPr>
        <w:t xml:space="preserve">                                                 |               |</w:t>
      </w:r>
      <w:r>
        <w:br/>
      </w:r>
      <w:r>
        <w:rPr>
          <w:rStyle w:val="VerbatimChar"/>
        </w:rPr>
        <w:t xml:space="preserve">                                                 +---------------+</w:t>
      </w:r>
    </w:p>
    <w:bookmarkEnd w:id="32"/>
    <w:bookmarkStart w:id="33" w:name="b.-mathematical-formulation"/>
    <w:p>
      <w:pPr>
        <w:pStyle w:val="Heading3"/>
      </w:pPr>
      <w:r>
        <w:t xml:space="preserve">B. Mathematical Formulation</w:t>
      </w:r>
    </w:p>
    <w:p>
      <w:pPr>
        <w:pStyle w:val="FirstParagraph"/>
      </w:pPr>
      <w:r>
        <w:t xml:space="preserve">Let</w:t>
      </w:r>
      <w:r>
        <w:t xml:space="preserve"> </w:t>
      </w:r>
      <m:oMath>
        <m:sSub>
          <m:e>
            <m:r>
              <m:t>μ</m:t>
            </m:r>
          </m:e>
          <m:sub>
            <m:r>
              <m:t>k</m:t>
            </m:r>
          </m:sub>
        </m:sSub>
      </m:oMath>
      <w:r>
        <w:t xml:space="preserve"> </w:t>
      </w:r>
      <w:r>
        <w:t xml:space="preserve">and</w:t>
      </w:r>
      <w:r>
        <w:t xml:space="preserve"> </w:t>
      </w:r>
      <m:oMath>
        <m:sSub>
          <m:e>
            <m:r>
              <m:t>σ</m:t>
            </m:r>
          </m:e>
          <m:sub>
            <m:r>
              <m:t>k</m:t>
            </m:r>
          </m:sub>
        </m:sSub>
      </m:oMath>
      <w:r>
        <w:t xml:space="preserve"> </w:t>
      </w:r>
      <w:r>
        <w:t xml:space="preserve">be the mean and standard deviation of the training data for fold</w:t>
      </w:r>
      <w:r>
        <w:t xml:space="preserve"> </w:t>
      </w:r>
      <m:oMath>
        <m:r>
          <m:t>k</m:t>
        </m:r>
      </m:oMath>
      <w:r>
        <w:t xml:space="preserve">. At day</w:t>
      </w:r>
      <w:r>
        <w:t xml:space="preserve"> </w:t>
      </w:r>
      <m:oMath>
        <m:r>
          <m:t>t</m:t>
        </m:r>
      </m:oMath>
      <w:r>
        <w:t xml:space="preserve">, the baseline model generates a 24-hour ahead forecast vector</w:t>
      </w:r>
      <w:r>
        <w:t xml:space="preserve"> </w:t>
      </w:r>
      <m:oMath>
        <m:sSub>
          <m:e>
            <m:acc>
              <m:accPr>
                <m:chr m:val="̂"/>
              </m:accPr>
              <m:e>
                <m:r>
                  <m:rPr>
                    <m:sty m:val="bi"/>
                  </m:rPr>
                  <m:t>y</m:t>
                </m:r>
              </m:e>
            </m:acc>
          </m:e>
          <m:sub>
            <m:r>
              <m:t>t</m:t>
            </m:r>
          </m:sub>
        </m:sSub>
        <m:r>
          <m:rPr>
            <m:sty m:val="p"/>
          </m:rPr>
          <m:t>=</m:t>
        </m:r>
        <m:r>
          <m:rPr>
            <m:sty m:val="p"/>
          </m:rPr>
          <m:t>[</m:t>
        </m:r>
        <m:sSub>
          <m:e>
            <m:acc>
              <m:accPr>
                <m:chr m:val="̂"/>
              </m:accPr>
              <m:e>
                <m:r>
                  <m:t>y</m:t>
                </m:r>
              </m:e>
            </m:acc>
          </m:e>
          <m:sub>
            <m:r>
              <m:t>t</m:t>
            </m:r>
            <m:r>
              <m:rPr>
                <m:sty m:val="p"/>
              </m:rPr>
              <m:t>,</m:t>
            </m:r>
            <m:r>
              <m:t>1</m:t>
            </m:r>
          </m:sub>
        </m:sSub>
        <m:r>
          <m:rPr>
            <m:sty m:val="p"/>
          </m:rPr>
          <m:t>,</m:t>
        </m:r>
        <m:r>
          <m:rPr>
            <m:sty m:val="p"/>
          </m:rPr>
          <m:t>…</m:t>
        </m:r>
        <m:r>
          <m:rPr>
            <m:sty m:val="p"/>
          </m:rPr>
          <m:t>,</m:t>
        </m:r>
        <m:sSub>
          <m:e>
            <m:acc>
              <m:accPr>
                <m:chr m:val="̂"/>
              </m:accPr>
              <m:e>
                <m:r>
                  <m:t>y</m:t>
                </m:r>
              </m:e>
            </m:acc>
          </m:e>
          <m:sub>
            <m:r>
              <m:t>t</m:t>
            </m:r>
            <m:r>
              <m:rPr>
                <m:sty m:val="p"/>
              </m:rPr>
              <m:t>,</m:t>
            </m:r>
            <m:r>
              <m:t>24</m:t>
            </m:r>
          </m:sub>
        </m:sSub>
        <m:sSup>
          <m:e>
            <m:r>
              <m:rPr>
                <m:sty m:val="p"/>
              </m:rPr>
              <m:t>]</m:t>
            </m:r>
          </m:e>
          <m:sup>
            <m:r>
              <m:t>T</m:t>
            </m:r>
          </m:sup>
        </m:sSup>
      </m:oMath>
      <w:r>
        <w:t xml:space="preserve">.</w:t>
      </w:r>
    </w:p>
    <w:p>
      <w:pPr>
        <w:numPr>
          <w:ilvl w:val="0"/>
          <w:numId w:val="1003"/>
        </w:numPr>
      </w:pPr>
      <w:r>
        <w:rPr>
          <w:b/>
          <w:bCs/>
        </w:rPr>
        <w:t xml:space="preserve">Normalize Forecast and Actual</w:t>
      </w:r>
      <w:r>
        <w:t xml:space="preserve">: We project both the raw prediction</w:t>
      </w:r>
      <w:r>
        <w:t xml:space="preserve"> </w:t>
      </w:r>
      <m:oMath>
        <m:sSub>
          <m:e>
            <m:acc>
              <m:accPr>
                <m:chr m:val="̂"/>
              </m:accPr>
              <m:e>
                <m:r>
                  <m:t>y</m:t>
                </m:r>
              </m:e>
            </m:acc>
          </m:e>
          <m:sub>
            <m:r>
              <m:t>t</m:t>
            </m:r>
            <m:r>
              <m:rPr>
                <m:sty m:val="p"/>
              </m:rPr>
              <m:t>,</m:t>
            </m:r>
            <m:r>
              <m:t>h</m:t>
            </m:r>
          </m:sub>
        </m:sSub>
      </m:oMath>
      <w:r>
        <w:t xml:space="preserve"> </w:t>
      </w:r>
      <w:r>
        <w:t xml:space="preserve">and the raw observed actual</w:t>
      </w:r>
      <w:r>
        <w:t xml:space="preserve"> </w:t>
      </w:r>
      <m:oMath>
        <m:sSub>
          <m:e>
            <m:r>
              <m:t>y</m:t>
            </m:r>
          </m:e>
          <m:sub>
            <m:r>
              <m:t>t</m:t>
            </m:r>
            <m:r>
              <m:rPr>
                <m:sty m:val="p"/>
              </m:rPr>
              <m:t>,</m:t>
            </m:r>
            <m:r>
              <m:t>h</m:t>
            </m:r>
          </m:sub>
        </m:sSub>
      </m:oMath>
      <w:r>
        <w:t xml:space="preserve"> </w:t>
      </w:r>
      <w:r>
        <w:t xml:space="preserve">into normalized space:</w:t>
      </w:r>
    </w:p>
    <w:p>
      <w:pPr>
        <w:pStyle w:val="BodyText"/>
      </w:pPr>
      <m:oMathPara>
        <m:oMathParaPr>
          <m:jc m:val="center"/>
        </m:oMathParaPr>
        <m:oMath>
          <m:sSub>
            <m:e>
              <m:acc>
                <m:accPr>
                  <m:chr m:val="̂"/>
                </m:accPr>
                <m:e>
                  <m:r>
                    <m:t>z</m:t>
                  </m:r>
                </m:e>
              </m:acc>
            </m:e>
            <m:sub>
              <m:r>
                <m:t>t</m:t>
              </m:r>
              <m:r>
                <m:rPr>
                  <m:sty m:val="p"/>
                </m:rPr>
                <m:t>,</m:t>
              </m:r>
              <m:r>
                <m:t>h</m:t>
              </m:r>
            </m:sub>
          </m:sSub>
          <m:r>
            <m:rPr>
              <m:sty m:val="p"/>
            </m:rPr>
            <m:t>=</m:t>
          </m:r>
          <m:f>
            <m:fPr>
              <m:type m:val="bar"/>
            </m:fPr>
            <m:num>
              <m:sSub>
                <m:e>
                  <m:acc>
                    <m:accPr>
                      <m:chr m:val="̂"/>
                    </m:accPr>
                    <m:e>
                      <m:r>
                        <m:t>y</m:t>
                      </m:r>
                    </m:e>
                  </m:acc>
                </m:e>
                <m:sub>
                  <m:r>
                    <m:t>t</m:t>
                  </m:r>
                  <m:r>
                    <m:rPr>
                      <m:sty m:val="p"/>
                    </m:rPr>
                    <m:t>,</m:t>
                  </m:r>
                  <m:r>
                    <m:t>h</m:t>
                  </m:r>
                </m:sub>
              </m:sSub>
              <m:r>
                <m:rPr>
                  <m:sty m:val="p"/>
                </m:rPr>
                <m:t>−</m:t>
              </m:r>
              <m:sSub>
                <m:e>
                  <m:r>
                    <m:t>μ</m:t>
                  </m:r>
                </m:e>
                <m:sub>
                  <m:r>
                    <m:t>k</m:t>
                  </m:r>
                </m:sub>
              </m:sSub>
            </m:num>
            <m:den>
              <m:sSub>
                <m:e>
                  <m:r>
                    <m:t>σ</m:t>
                  </m:r>
                </m:e>
                <m:sub>
                  <m:r>
                    <m:t>k</m:t>
                  </m:r>
                </m:sub>
              </m:sSub>
            </m:den>
          </m:f>
        </m:oMath>
      </m:oMathPara>
    </w:p>
    <w:p>
      <w:pPr>
        <w:pStyle w:val="FirstParagraph"/>
      </w:pPr>
      <m:oMathPara>
        <m:oMathParaPr>
          <m:jc m:val="center"/>
        </m:oMathParaPr>
        <m:oMath>
          <m:sSub>
            <m:e>
              <m:r>
                <m:t>z</m:t>
              </m:r>
            </m:e>
            <m:sub>
              <m:r>
                <m:t>t</m:t>
              </m:r>
              <m:r>
                <m:rPr>
                  <m:sty m:val="p"/>
                </m:rPr>
                <m:t>,</m:t>
              </m:r>
              <m:r>
                <m:t>h</m:t>
              </m:r>
            </m:sub>
          </m:sSub>
          <m:r>
            <m:rPr>
              <m:sty m:val="p"/>
            </m:rPr>
            <m:t>=</m:t>
          </m:r>
          <m:f>
            <m:fPr>
              <m:type m:val="bar"/>
            </m:fPr>
            <m:num>
              <m:sSub>
                <m:e>
                  <m:r>
                    <m:t>y</m:t>
                  </m:r>
                </m:e>
                <m:sub>
                  <m:r>
                    <m:t>t</m:t>
                  </m:r>
                  <m:r>
                    <m:rPr>
                      <m:sty m:val="p"/>
                    </m:rPr>
                    <m:t>,</m:t>
                  </m:r>
                  <m:r>
                    <m:t>h</m:t>
                  </m:r>
                </m:sub>
              </m:sSub>
              <m:r>
                <m:rPr>
                  <m:sty m:val="p"/>
                </m:rPr>
                <m:t>−</m:t>
              </m:r>
              <m:sSub>
                <m:e>
                  <m:r>
                    <m:t>μ</m:t>
                  </m:r>
                </m:e>
                <m:sub>
                  <m:r>
                    <m:t>k</m:t>
                  </m:r>
                </m:sub>
              </m:sSub>
            </m:num>
            <m:den>
              <m:sSub>
                <m:e>
                  <m:r>
                    <m:t>σ</m:t>
                  </m:r>
                </m:e>
                <m:sub>
                  <m:r>
                    <m:t>k</m:t>
                  </m:r>
                </m:sub>
              </m:sSub>
            </m:den>
          </m:f>
        </m:oMath>
      </m:oMathPara>
    </w:p>
    <w:p>
      <w:pPr>
        <w:numPr>
          <w:ilvl w:val="0"/>
          <w:numId w:val="1003"/>
        </w:numPr>
      </w:pPr>
      <w:r>
        <w:rPr>
          <w:b/>
          <w:bCs/>
        </w:rPr>
        <w:t xml:space="preserve">Compute Normalized Daily Error</w:t>
      </w:r>
      <w:r>
        <w:t xml:space="preserve">: The normalized error</w:t>
      </w:r>
      <w:r>
        <w:t xml:space="preserve"> </w:t>
      </w:r>
      <m:oMath>
        <m:sSub>
          <m:e>
            <m:r>
              <m:t>ϵ</m:t>
            </m:r>
          </m:e>
          <m:sub>
            <m:r>
              <m:t>t</m:t>
            </m:r>
            <m:r>
              <m:rPr>
                <m:sty m:val="p"/>
              </m:rPr>
              <m:t>,</m:t>
            </m:r>
            <m:r>
              <m:t>h</m:t>
            </m:r>
          </m:sub>
        </m:sSub>
      </m:oMath>
      <w:r>
        <w:t xml:space="preserve"> </w:t>
      </w:r>
      <w:r>
        <w:t xml:space="preserve">at hour</w:t>
      </w:r>
      <w:r>
        <w:t xml:space="preserve"> </w:t>
      </w:r>
      <m:oMath>
        <m:r>
          <m:t>h</m:t>
        </m:r>
      </m:oMath>
      <w:r>
        <w:t xml:space="preserve"> </w:t>
      </w:r>
      <w:r>
        <w:t xml:space="preserve">of day</w:t>
      </w:r>
      <w:r>
        <w:t xml:space="preserve"> </w:t>
      </w:r>
      <m:oMath>
        <m:r>
          <m:t>t</m:t>
        </m:r>
      </m:oMath>
      <w:r>
        <w:t xml:space="preserve"> </w:t>
      </w:r>
      <w:r>
        <w:t xml:space="preserve">is:</w:t>
      </w:r>
    </w:p>
    <w:p>
      <w:pPr>
        <w:pStyle w:val="BodyText"/>
      </w:pPr>
      <m:oMathPara>
        <m:oMathParaPr>
          <m:jc m:val="center"/>
        </m:oMathParaPr>
        <m:oMath>
          <m:sSub>
            <m:e>
              <m:r>
                <m:t>ϵ</m:t>
              </m:r>
            </m:e>
            <m:sub>
              <m:r>
                <m:t>t</m:t>
              </m:r>
              <m:r>
                <m:rPr>
                  <m:sty m:val="p"/>
                </m:rPr>
                <m:t>,</m:t>
              </m:r>
              <m:r>
                <m:t>h</m:t>
              </m:r>
            </m:sub>
          </m:sSub>
          <m:r>
            <m:rPr>
              <m:sty m:val="p"/>
            </m:rPr>
            <m:t>=</m:t>
          </m:r>
          <m:sSub>
            <m:e>
              <m:r>
                <m:t>z</m:t>
              </m:r>
            </m:e>
            <m:sub>
              <m:r>
                <m:t>t</m:t>
              </m:r>
              <m:r>
                <m:rPr>
                  <m:sty m:val="p"/>
                </m:rPr>
                <m:t>,</m:t>
              </m:r>
              <m:r>
                <m:t>h</m:t>
              </m:r>
            </m:sub>
          </m:sSub>
          <m:r>
            <m:rPr>
              <m:sty m:val="p"/>
            </m:rPr>
            <m:t>−</m:t>
          </m:r>
          <m:sSub>
            <m:e>
              <m:acc>
                <m:accPr>
                  <m:chr m:val="̂"/>
                </m:accPr>
                <m:e>
                  <m:r>
                    <m:t>z</m:t>
                  </m:r>
                </m:e>
              </m:acc>
            </m:e>
            <m:sub>
              <m:r>
                <m:t>t</m:t>
              </m:r>
              <m:r>
                <m:rPr>
                  <m:sty m:val="p"/>
                </m:rPr>
                <m:t>,</m:t>
              </m:r>
              <m:r>
                <m:t>h</m:t>
              </m:r>
            </m:sub>
          </m:sSub>
        </m:oMath>
      </m:oMathPara>
    </w:p>
    <w:p>
      <w:pPr>
        <w:numPr>
          <w:ilvl w:val="0"/>
          <w:numId w:val="1000"/>
        </w:numPr>
      </w:pPr>
      <w:r>
        <w:t xml:space="preserve">We compute the mean daily error in normalized space:</w:t>
      </w:r>
    </w:p>
    <w:p>
      <w:pPr>
        <w:pStyle w:val="BodyText"/>
      </w:pPr>
      <m:oMathPara>
        <m:oMathParaPr>
          <m:jc m:val="center"/>
        </m:oMathParaPr>
        <m:oMath>
          <m:sSub>
            <m:e>
              <m:acc>
                <m:accPr>
                  <m:chr m:val="‾"/>
                </m:accPr>
                <m:e>
                  <m:r>
                    <m:t>ϵ</m:t>
                  </m:r>
                </m:e>
              </m:acc>
            </m:e>
            <m:sub>
              <m:r>
                <m:t>t</m:t>
              </m:r>
            </m:sub>
          </m:sSub>
          <m:r>
            <m:rPr>
              <m:sty m:val="p"/>
            </m:rPr>
            <m:t>=</m:t>
          </m:r>
          <m:f>
            <m:fPr>
              <m:type m:val="bar"/>
            </m:fPr>
            <m:num>
              <m:r>
                <m:t>1</m:t>
              </m:r>
            </m:num>
            <m:den>
              <m:r>
                <m:t>24</m:t>
              </m:r>
            </m:den>
          </m:f>
          <m:nary>
            <m:naryPr>
              <m:chr m:val="∑"/>
              <m:limLoc m:val="undOvr"/>
              <m:subHide m:val="off"/>
              <m:supHide m:val="off"/>
            </m:naryPr>
            <m:sub>
              <m:r>
                <m:t>h</m:t>
              </m:r>
              <m:r>
                <m:rPr>
                  <m:sty m:val="p"/>
                </m:rPr>
                <m:t>=</m:t>
              </m:r>
              <m:r>
                <m:t>1</m:t>
              </m:r>
            </m:sub>
            <m:sup>
              <m:r>
                <m:t>24</m:t>
              </m:r>
            </m:sup>
            <m:e>
              <m:sSub>
                <m:e>
                  <m:r>
                    <m:t>ϵ</m:t>
                  </m:r>
                </m:e>
                <m:sub>
                  <m:r>
                    <m:t>t</m:t>
                  </m:r>
                  <m:r>
                    <m:rPr>
                      <m:sty m:val="p"/>
                    </m:rPr>
                    <m:t>,</m:t>
                  </m:r>
                  <m:r>
                    <m:t>h</m:t>
                  </m:r>
                </m:sub>
              </m:sSub>
            </m:e>
          </m:nary>
        </m:oMath>
      </m:oMathPara>
    </w:p>
    <w:p>
      <w:pPr>
        <w:numPr>
          <w:ilvl w:val="0"/>
          <w:numId w:val="1003"/>
        </w:numPr>
      </w:pPr>
      <w:r>
        <w:rPr>
          <w:b/>
          <w:bCs/>
        </w:rPr>
        <w:t xml:space="preserve">Update Running Bias Estimate</w:t>
      </w:r>
      <w:r>
        <w:t xml:space="preserve">: The bias estimate</w:t>
      </w:r>
      <w:r>
        <w:t xml:space="preserve"> </w:t>
      </w:r>
      <m:oMath>
        <m:sSub>
          <m:e>
            <m:r>
              <m:t>b</m:t>
            </m:r>
          </m:e>
          <m:sub>
            <m:r>
              <m:t>t</m:t>
            </m:r>
          </m:sub>
        </m:sSub>
      </m:oMath>
      <w:r>
        <w:t xml:space="preserve"> </w:t>
      </w:r>
      <w:r>
        <w:t xml:space="preserve">is updated using an Exponential Moving Average (EMA):</w:t>
      </w:r>
    </w:p>
    <w:p>
      <w:pPr>
        <w:pStyle w:val="BodyText"/>
      </w:pPr>
      <m:oMathPara>
        <m:oMathParaPr>
          <m:jc m:val="center"/>
        </m:oMathParaPr>
        <m:oMath>
          <m:sSub>
            <m:e>
              <m:r>
                <m:t>b</m:t>
              </m:r>
            </m:e>
            <m:sub>
              <m:r>
                <m:t>t</m:t>
              </m:r>
            </m:sub>
          </m:sSub>
          <m:r>
            <m:rPr>
              <m:sty m:val="p"/>
            </m:rPr>
            <m:t>=</m:t>
          </m:r>
          <m:r>
            <m:t>α</m:t>
          </m:r>
          <m:sSub>
            <m:e>
              <m:acc>
                <m:accPr>
                  <m:chr m:val="‾"/>
                </m:accPr>
                <m:e>
                  <m:r>
                    <m:t>ϵ</m:t>
                  </m:r>
                </m:e>
              </m:acc>
            </m:e>
            <m:sub>
              <m:r>
                <m:t>t</m:t>
              </m:r>
            </m:sub>
          </m:sSub>
          <m:r>
            <m:rPr>
              <m:sty m:val="p"/>
            </m:rPr>
            <m:t>+</m:t>
          </m:r>
          <m:r>
            <m:rPr>
              <m:sty m:val="p"/>
            </m:rPr>
            <m:t>(</m:t>
          </m:r>
          <m:r>
            <m:t>1</m:t>
          </m:r>
          <m:r>
            <m:rPr>
              <m:sty m:val="p"/>
            </m:rPr>
            <m:t>−</m:t>
          </m:r>
          <m:r>
            <m:t>α</m:t>
          </m:r>
          <m:r>
            <m:rPr>
              <m:sty m:val="p"/>
            </m:rPr>
            <m:t>)</m:t>
          </m:r>
          <m:sSub>
            <m:e>
              <m:r>
                <m:t>b</m:t>
              </m:r>
            </m:e>
            <m:sub>
              <m:r>
                <m:t>t</m:t>
              </m:r>
              <m:r>
                <m:rPr>
                  <m:sty m:val="p"/>
                </m:rPr>
                <m:t>−</m:t>
              </m:r>
              <m:r>
                <m:t>1</m:t>
              </m:r>
            </m:sub>
          </m:sSub>
        </m:oMath>
      </m:oMathPara>
    </w:p>
    <w:p>
      <w:pPr>
        <w:numPr>
          <w:ilvl w:val="0"/>
          <w:numId w:val="1000"/>
        </w:numPr>
      </w:pPr>
      <w:r>
        <w:t xml:space="preserve">where</w:t>
      </w:r>
      <w:r>
        <w:t xml:space="preserve"> </w:t>
      </w:r>
      <m:oMath>
        <m:r>
          <m:t>α</m:t>
        </m:r>
        <m:r>
          <m:rPr>
            <m:sty m:val="p"/>
          </m:rPr>
          <m:t>∈</m:t>
        </m:r>
        <m:r>
          <m:rPr>
            <m:sty m:val="p"/>
          </m:rPr>
          <m:t>(</m:t>
        </m:r>
        <m:r>
          <m:t>0</m:t>
        </m:r>
        <m:r>
          <m:rPr>
            <m:sty m:val="p"/>
          </m:rPr>
          <m:t>,</m:t>
        </m:r>
        <m:r>
          <m:t>1</m:t>
        </m:r>
        <m:r>
          <m:rPr>
            <m:sty m:val="p"/>
          </m:rPr>
          <m:t>]</m:t>
        </m:r>
      </m:oMath>
      <w:r>
        <w:t xml:space="preserve"> </w:t>
      </w:r>
      <w:r>
        <w:t xml:space="preserve">is the smoothing parameter (we set</w:t>
      </w:r>
      <w:r>
        <w:t xml:space="preserve"> </w:t>
      </w:r>
      <m:oMath>
        <m:r>
          <m:t>α</m:t>
        </m:r>
        <m:r>
          <m:rPr>
            <m:sty m:val="p"/>
          </m:rPr>
          <m:t>=</m:t>
        </m:r>
        <m:r>
          <m:t>0.3</m:t>
        </m:r>
      </m:oMath>
      <w:r>
        <w:t xml:space="preserve">).</w:t>
      </w:r>
    </w:p>
    <w:p>
      <w:pPr>
        <w:numPr>
          <w:ilvl w:val="0"/>
          <w:numId w:val="1003"/>
        </w:numPr>
      </w:pPr>
      <w:r>
        <w:rPr>
          <w:b/>
          <w:bCs/>
        </w:rPr>
        <w:t xml:space="preserve">Apply Correction</w:t>
      </w:r>
      <w:r>
        <w:t xml:space="preserve">: The corrected forecast for the next day</w:t>
      </w:r>
      <w:r>
        <w:t xml:space="preserve"> </w:t>
      </w:r>
      <m:oMath>
        <m:r>
          <m:t>t</m:t>
        </m:r>
        <m:r>
          <m:rPr>
            <m:sty m:val="p"/>
          </m:rPr>
          <m:t>+</m:t>
        </m:r>
        <m:r>
          <m:t>1</m:t>
        </m:r>
      </m:oMath>
      <w:r>
        <w:t xml:space="preserve"> </w:t>
      </w:r>
      <w:r>
        <w:t xml:space="preserve">is computed by subtracting the updated bias estimate in normalized space:</w:t>
      </w:r>
    </w:p>
    <w:p>
      <w:pPr>
        <w:pStyle w:val="BodyText"/>
      </w:pPr>
      <m:oMathPara>
        <m:oMathParaPr>
          <m:jc m:val="center"/>
        </m:oMathParaPr>
        <m:oMath>
          <m:sSubSup>
            <m:e>
              <m:acc>
                <m:accPr>
                  <m:chr m:val="̂"/>
                </m:accPr>
                <m:e>
                  <m:r>
                    <m:t>z</m:t>
                  </m:r>
                </m:e>
              </m:acc>
            </m:e>
            <m:sub>
              <m:r>
                <m:t>t</m:t>
              </m:r>
              <m:r>
                <m:rPr>
                  <m:sty m:val="p"/>
                </m:rPr>
                <m:t>+</m:t>
              </m:r>
              <m:r>
                <m:t>1</m:t>
              </m:r>
              <m:r>
                <m:rPr>
                  <m:sty m:val="p"/>
                </m:rPr>
                <m:t>,</m:t>
              </m:r>
              <m:r>
                <m:t>h</m:t>
              </m:r>
            </m:sub>
            <m:sup>
              <m:r>
                <m:rPr>
                  <m:sty m:val="p"/>
                </m:rPr>
                <m:t>′</m:t>
              </m:r>
            </m:sup>
          </m:sSubSup>
          <m:r>
            <m:rPr>
              <m:sty m:val="p"/>
            </m:rPr>
            <m:t>=</m:t>
          </m:r>
          <m:sSub>
            <m:e>
              <m:acc>
                <m:accPr>
                  <m:chr m:val="̂"/>
                </m:accPr>
                <m:e>
                  <m:r>
                    <m:t>z</m:t>
                  </m:r>
                </m:e>
              </m:acc>
            </m:e>
            <m:sub>
              <m:r>
                <m:t>t</m:t>
              </m:r>
              <m:r>
                <m:rPr>
                  <m:sty m:val="p"/>
                </m:rPr>
                <m:t>+</m:t>
              </m:r>
              <m:r>
                <m:t>1</m:t>
              </m:r>
              <m:r>
                <m:rPr>
                  <m:sty m:val="p"/>
                </m:rPr>
                <m:t>,</m:t>
              </m:r>
              <m:r>
                <m:t>h</m:t>
              </m:r>
            </m:sub>
          </m:sSub>
          <m:r>
            <m:rPr>
              <m:sty m:val="p"/>
            </m:rPr>
            <m:t>+</m:t>
          </m:r>
          <m:sSub>
            <m:e>
              <m:r>
                <m:t>b</m:t>
              </m:r>
            </m:e>
            <m:sub>
              <m:r>
                <m:t>t</m:t>
              </m:r>
            </m:sub>
          </m:sSub>
        </m:oMath>
      </m:oMathPara>
    </w:p>
    <w:p>
      <w:pPr>
        <w:numPr>
          <w:ilvl w:val="0"/>
          <w:numId w:val="1003"/>
        </w:numPr>
      </w:pPr>
      <w:r>
        <w:rPr>
          <w:b/>
          <w:bCs/>
        </w:rPr>
        <w:t xml:space="preserve">Denormalize</w:t>
      </w:r>
      <w:r>
        <w:t xml:space="preserve">: We project the corrected forecast back to the raw MW scale:</w:t>
      </w:r>
    </w:p>
    <w:p>
      <w:pPr>
        <w:pStyle w:val="BodyText"/>
      </w:pPr>
      <m:oMathPara>
        <m:oMathParaPr>
          <m:jc m:val="center"/>
        </m:oMathParaPr>
        <m:oMath>
          <m:sSubSup>
            <m:e>
              <m:acc>
                <m:accPr>
                  <m:chr m:val="̂"/>
                </m:accPr>
                <m:e>
                  <m:r>
                    <m:t>y</m:t>
                  </m:r>
                </m:e>
              </m:acc>
            </m:e>
            <m:sub>
              <m:r>
                <m:t>t</m:t>
              </m:r>
              <m:r>
                <m:rPr>
                  <m:sty m:val="p"/>
                </m:rPr>
                <m:t>+</m:t>
              </m:r>
              <m:r>
                <m:t>1</m:t>
              </m:r>
              <m:r>
                <m:rPr>
                  <m:sty m:val="p"/>
                </m:rPr>
                <m:t>,</m:t>
              </m:r>
              <m:r>
                <m:t>h</m:t>
              </m:r>
            </m:sub>
            <m:sup>
              <m:r>
                <m:rPr>
                  <m:sty m:val="p"/>
                </m:rPr>
                <m:t>′</m:t>
              </m:r>
            </m:sup>
          </m:sSubSup>
          <m:r>
            <m:rPr>
              <m:sty m:val="p"/>
            </m:rPr>
            <m:t>=</m:t>
          </m:r>
          <m:sSubSup>
            <m:e>
              <m:acc>
                <m:accPr>
                  <m:chr m:val="̂"/>
                </m:accPr>
                <m:e>
                  <m:r>
                    <m:t>z</m:t>
                  </m:r>
                </m:e>
              </m:acc>
            </m:e>
            <m:sub>
              <m:r>
                <m:t>t</m:t>
              </m:r>
              <m:r>
                <m:rPr>
                  <m:sty m:val="p"/>
                </m:rPr>
                <m:t>+</m:t>
              </m:r>
              <m:r>
                <m:t>1</m:t>
              </m:r>
              <m:r>
                <m:rPr>
                  <m:sty m:val="p"/>
                </m:rPr>
                <m:t>,</m:t>
              </m:r>
              <m:r>
                <m:t>h</m:t>
              </m:r>
            </m:sub>
            <m:sup>
              <m:r>
                <m:rPr>
                  <m:sty m:val="p"/>
                </m:rPr>
                <m:t>′</m:t>
              </m:r>
            </m:sup>
          </m:sSubSup>
          <m:r>
            <m:rPr>
              <m:sty m:val="p"/>
            </m:rPr>
            <m:t>⋅</m:t>
          </m:r>
          <m:sSub>
            <m:e>
              <m:r>
                <m:t>σ</m:t>
              </m:r>
            </m:e>
            <m:sub>
              <m:r>
                <m:t>k</m:t>
              </m:r>
            </m:sub>
          </m:sSub>
          <m:r>
            <m:rPr>
              <m:sty m:val="p"/>
            </m:rPr>
            <m:t>+</m:t>
          </m:r>
          <m:sSub>
            <m:e>
              <m:r>
                <m:t>μ</m:t>
              </m:r>
            </m:e>
            <m:sub>
              <m:r>
                <m:t>k</m:t>
              </m:r>
            </m:sub>
          </m:sSub>
        </m:oMath>
      </m:oMathPara>
    </w:p>
    <w:bookmarkEnd w:id="33"/>
    <w:bookmarkStart w:id="34" w:name="c.-scale-invariance-proof"/>
    <w:p>
      <w:pPr>
        <w:pStyle w:val="Heading3"/>
      </w:pPr>
      <w:r>
        <w:t xml:space="preserve">C. Scale Invariance Proof</w:t>
      </w:r>
    </w:p>
    <w:p>
      <w:pPr>
        <w:pStyle w:val="FirstParagraph"/>
      </w:pPr>
      <w:r>
        <w:t xml:space="preserve">We prove that performing TIDE correction in normalized space is scale-invariant, whereas absolute correction is scale-dependent.</w:t>
      </w:r>
    </w:p>
    <w:p>
      <w:pPr>
        <w:pStyle w:val="BodyText"/>
      </w:pPr>
      <w:r>
        <w:t xml:space="preserve">Let the load grow by a scaling factor</w:t>
      </w:r>
      <w:r>
        <w:t xml:space="preserve"> </w:t>
      </w:r>
      <m:oMath>
        <m:r>
          <m:t>γ</m:t>
        </m:r>
        <m:r>
          <m:rPr>
            <m:sty m:val="p"/>
          </m:rPr>
          <m:t>&gt;</m:t>
        </m:r>
        <m:r>
          <m:t>1</m:t>
        </m:r>
      </m:oMath>
      <w:r>
        <w:t xml:space="preserve"> </w:t>
      </w:r>
      <w:r>
        <w:t xml:space="preserve">such that the new load sequence is</w:t>
      </w:r>
      <w:r>
        <w:t xml:space="preserve"> </w:t>
      </w:r>
      <m:oMath>
        <m:sSubSup>
          <m:e>
            <m:r>
              <m:t>y</m:t>
            </m:r>
          </m:e>
          <m:sub>
            <m:r>
              <m:t>t</m:t>
            </m:r>
          </m:sub>
          <m:sup>
            <m:r>
              <m:rPr>
                <m:sty m:val="p"/>
              </m:rPr>
              <m:t>*</m:t>
            </m:r>
          </m:sup>
        </m:sSubSup>
        <m:r>
          <m:rPr>
            <m:sty m:val="p"/>
          </m:rPr>
          <m:t>=</m:t>
        </m:r>
        <m:r>
          <m:t>γ</m:t>
        </m:r>
        <m:sSub>
          <m:e>
            <m:r>
              <m:t>y</m:t>
            </m:r>
          </m:e>
          <m:sub>
            <m:r>
              <m:t>t</m:t>
            </m:r>
          </m:sub>
        </m:sSub>
      </m:oMath>
      <w:r>
        <w:t xml:space="preserve">.</w:t>
      </w:r>
      <w:r>
        <w:t xml:space="preserve"> </w:t>
      </w:r>
      <w:r>
        <w:t xml:space="preserve">The new mean and standard deviation are:</w:t>
      </w:r>
    </w:p>
    <w:p>
      <w:pPr>
        <w:pStyle w:val="BodyText"/>
      </w:pPr>
      <m:oMathPara>
        <m:oMathParaPr>
          <m:jc m:val="center"/>
        </m:oMathParaPr>
        <m:oMath>
          <m:sSubSup>
            <m:e>
              <m:r>
                <m:t>μ</m:t>
              </m:r>
            </m:e>
            <m:sub>
              <m:r>
                <m:t>k</m:t>
              </m:r>
            </m:sub>
            <m:sup>
              <m:r>
                <m:rPr>
                  <m:sty m:val="p"/>
                </m:rPr>
                <m:t>*</m:t>
              </m:r>
            </m:sup>
          </m:sSubSup>
          <m:r>
            <m:rPr>
              <m:sty m:val="p"/>
            </m:rPr>
            <m:t>=</m:t>
          </m:r>
          <m:r>
            <m:t>γ</m:t>
          </m:r>
          <m:sSub>
            <m:e>
              <m:r>
                <m:t>μ</m:t>
              </m:r>
            </m:e>
            <m:sub>
              <m:r>
                <m:t>k</m:t>
              </m:r>
            </m:sub>
          </m:sSub>
          <m:r>
            <m:rPr>
              <m:sty m:val="p"/>
            </m:rPr>
            <m:t>,</m:t>
          </m:r>
          <m:r>
            <m:t> </m:t>
          </m:r>
          <m:sSubSup>
            <m:e>
              <m:r>
                <m:t>σ</m:t>
              </m:r>
            </m:e>
            <m:sub>
              <m:r>
                <m:t>k</m:t>
              </m:r>
            </m:sub>
            <m:sup>
              <m:r>
                <m:rPr>
                  <m:sty m:val="p"/>
                </m:rPr>
                <m:t>*</m:t>
              </m:r>
            </m:sup>
          </m:sSubSup>
          <m:r>
            <m:rPr>
              <m:sty m:val="p"/>
            </m:rPr>
            <m:t>=</m:t>
          </m:r>
          <m:r>
            <m:t>γ</m:t>
          </m:r>
          <m:sSub>
            <m:e>
              <m:r>
                <m:t>σ</m:t>
              </m:r>
            </m:e>
            <m:sub>
              <m:r>
                <m:t>k</m:t>
              </m:r>
            </m:sub>
          </m:sSub>
        </m:oMath>
      </m:oMathPara>
    </w:p>
    <w:p>
      <w:pPr>
        <w:pStyle w:val="FirstParagraph"/>
      </w:pPr>
      <w:r>
        <w:rPr>
          <w:b/>
          <w:bCs/>
        </w:rPr>
        <w:t xml:space="preserve">Normalized Space Correction</w:t>
      </w:r>
      <w:r>
        <w:t xml:space="preserve">:</w:t>
      </w:r>
      <w:r>
        <w:t xml:space="preserve"> </w:t>
      </w:r>
      <w:r>
        <w:t xml:space="preserve">The normalized actual under scaled load is:</w:t>
      </w:r>
    </w:p>
    <w:p>
      <w:pPr>
        <w:pStyle w:val="BodyText"/>
      </w:pPr>
      <m:oMathPara>
        <m:oMathParaPr>
          <m:jc m:val="center"/>
        </m:oMathParaPr>
        <m:oMath>
          <m:sSubSup>
            <m:e>
              <m:r>
                <m:t>z</m:t>
              </m:r>
            </m:e>
            <m:sub>
              <m:r>
                <m:t>t</m:t>
              </m:r>
              <m:r>
                <m:rPr>
                  <m:sty m:val="p"/>
                </m:rPr>
                <m:t>,</m:t>
              </m:r>
              <m:r>
                <m:t>h</m:t>
              </m:r>
            </m:sub>
            <m:sup>
              <m:r>
                <m:rPr>
                  <m:sty m:val="p"/>
                </m:rPr>
                <m:t>*</m:t>
              </m:r>
            </m:sup>
          </m:sSubSup>
          <m:r>
            <m:rPr>
              <m:sty m:val="p"/>
            </m:rPr>
            <m:t>=</m:t>
          </m:r>
          <m:f>
            <m:fPr>
              <m:type m:val="bar"/>
            </m:fPr>
            <m:num>
              <m:sSubSup>
                <m:e>
                  <m:r>
                    <m:t>y</m:t>
                  </m:r>
                </m:e>
                <m:sub>
                  <m:r>
                    <m:t>t</m:t>
                  </m:r>
                  <m:r>
                    <m:rPr>
                      <m:sty m:val="p"/>
                    </m:rPr>
                    <m:t>,</m:t>
                  </m:r>
                  <m:r>
                    <m:t>h</m:t>
                  </m:r>
                </m:sub>
                <m:sup>
                  <m:r>
                    <m:rPr>
                      <m:sty m:val="p"/>
                    </m:rPr>
                    <m:t>*</m:t>
                  </m:r>
                </m:sup>
              </m:sSubSup>
              <m:r>
                <m:rPr>
                  <m:sty m:val="p"/>
                </m:rPr>
                <m:t>−</m:t>
              </m:r>
              <m:sSubSup>
                <m:e>
                  <m:r>
                    <m:t>μ</m:t>
                  </m:r>
                </m:e>
                <m:sub>
                  <m:r>
                    <m:t>k</m:t>
                  </m:r>
                </m:sub>
                <m:sup>
                  <m:r>
                    <m:rPr>
                      <m:sty m:val="p"/>
                    </m:rPr>
                    <m:t>*</m:t>
                  </m:r>
                </m:sup>
              </m:sSubSup>
            </m:num>
            <m:den>
              <m:sSubSup>
                <m:e>
                  <m:r>
                    <m:t>σ</m:t>
                  </m:r>
                </m:e>
                <m:sub>
                  <m:r>
                    <m:t>k</m:t>
                  </m:r>
                </m:sub>
                <m:sup>
                  <m:r>
                    <m:rPr>
                      <m:sty m:val="p"/>
                    </m:rPr>
                    <m:t>*</m:t>
                  </m:r>
                </m:sup>
              </m:sSubSup>
            </m:den>
          </m:f>
          <m:r>
            <m:rPr>
              <m:sty m:val="p"/>
            </m:rPr>
            <m:t>=</m:t>
          </m:r>
          <m:f>
            <m:fPr>
              <m:type m:val="bar"/>
            </m:fPr>
            <m:num>
              <m:r>
                <m:t>γ</m:t>
              </m:r>
              <m:sSub>
                <m:e>
                  <m:r>
                    <m:t>y</m:t>
                  </m:r>
                </m:e>
                <m:sub>
                  <m:r>
                    <m:t>t</m:t>
                  </m:r>
                  <m:r>
                    <m:rPr>
                      <m:sty m:val="p"/>
                    </m:rPr>
                    <m:t>,</m:t>
                  </m:r>
                  <m:r>
                    <m:t>h</m:t>
                  </m:r>
                </m:sub>
              </m:sSub>
              <m:r>
                <m:rPr>
                  <m:sty m:val="p"/>
                </m:rPr>
                <m:t>−</m:t>
              </m:r>
              <m:r>
                <m:t>γ</m:t>
              </m:r>
              <m:sSub>
                <m:e>
                  <m:r>
                    <m:t>μ</m:t>
                  </m:r>
                </m:e>
                <m:sub>
                  <m:r>
                    <m:t>k</m:t>
                  </m:r>
                </m:sub>
              </m:sSub>
            </m:num>
            <m:den>
              <m:r>
                <m:t>γ</m:t>
              </m:r>
              <m:sSub>
                <m:e>
                  <m:r>
                    <m:t>σ</m:t>
                  </m:r>
                </m:e>
                <m:sub>
                  <m:r>
                    <m:t>k</m:t>
                  </m:r>
                </m:sub>
              </m:sSub>
            </m:den>
          </m:f>
          <m:r>
            <m:rPr>
              <m:sty m:val="p"/>
            </m:rPr>
            <m:t>=</m:t>
          </m:r>
          <m:f>
            <m:fPr>
              <m:type m:val="bar"/>
            </m:fPr>
            <m:num>
              <m:sSub>
                <m:e>
                  <m:r>
                    <m:t>y</m:t>
                  </m:r>
                </m:e>
                <m:sub>
                  <m:r>
                    <m:t>t</m:t>
                  </m:r>
                  <m:r>
                    <m:rPr>
                      <m:sty m:val="p"/>
                    </m:rPr>
                    <m:t>,</m:t>
                  </m:r>
                  <m:r>
                    <m:t>h</m:t>
                  </m:r>
                </m:sub>
              </m:sSub>
              <m:r>
                <m:rPr>
                  <m:sty m:val="p"/>
                </m:rPr>
                <m:t>−</m:t>
              </m:r>
              <m:sSub>
                <m:e>
                  <m:r>
                    <m:t>μ</m:t>
                  </m:r>
                </m:e>
                <m:sub>
                  <m:r>
                    <m:t>k</m:t>
                  </m:r>
                </m:sub>
              </m:sSub>
            </m:num>
            <m:den>
              <m:sSub>
                <m:e>
                  <m:r>
                    <m:t>σ</m:t>
                  </m:r>
                </m:e>
                <m:sub>
                  <m:r>
                    <m:t>k</m:t>
                  </m:r>
                </m:sub>
              </m:sSub>
            </m:den>
          </m:f>
          <m:r>
            <m:rPr>
              <m:sty m:val="p"/>
            </m:rPr>
            <m:t>=</m:t>
          </m:r>
          <m:sSub>
            <m:e>
              <m:r>
                <m:t>z</m:t>
              </m:r>
            </m:e>
            <m:sub>
              <m:r>
                <m:t>t</m:t>
              </m:r>
              <m:r>
                <m:rPr>
                  <m:sty m:val="p"/>
                </m:rPr>
                <m:t>,</m:t>
              </m:r>
              <m:r>
                <m:t>h</m:t>
              </m:r>
            </m:sub>
          </m:sSub>
        </m:oMath>
      </m:oMathPara>
    </w:p>
    <w:p>
      <w:pPr>
        <w:pStyle w:val="FirstParagraph"/>
      </w:pPr>
      <w:r>
        <w:t xml:space="preserve">Similarly, the normalized prediction remains invariant:</w:t>
      </w:r>
      <w:r>
        <w:t xml:space="preserve"> </w:t>
      </w:r>
      <m:oMath>
        <m:sSubSup>
          <m:e>
            <m:acc>
              <m:accPr>
                <m:chr m:val="̂"/>
              </m:accPr>
              <m:e>
                <m:r>
                  <m:t>z</m:t>
                </m:r>
              </m:e>
            </m:acc>
          </m:e>
          <m:sub>
            <m:r>
              <m:t>t</m:t>
            </m:r>
            <m:r>
              <m:rPr>
                <m:sty m:val="p"/>
              </m:rPr>
              <m:t>,</m:t>
            </m:r>
            <m:r>
              <m:t>h</m:t>
            </m:r>
          </m:sub>
          <m:sup>
            <m:r>
              <m:rPr>
                <m:sty m:val="p"/>
              </m:rPr>
              <m:t>*</m:t>
            </m:r>
          </m:sup>
        </m:sSubSup>
        <m:r>
          <m:rPr>
            <m:sty m:val="p"/>
          </m:rPr>
          <m:t>=</m:t>
        </m:r>
        <m:sSub>
          <m:e>
            <m:acc>
              <m:accPr>
                <m:chr m:val="̂"/>
              </m:accPr>
              <m:e>
                <m:r>
                  <m:t>z</m:t>
                </m:r>
              </m:e>
            </m:acc>
          </m:e>
          <m:sub>
            <m:r>
              <m:t>t</m:t>
            </m:r>
            <m:r>
              <m:rPr>
                <m:sty m:val="p"/>
              </m:rPr>
              <m:t>,</m:t>
            </m:r>
            <m:r>
              <m:t>h</m:t>
            </m:r>
          </m:sub>
        </m:sSub>
      </m:oMath>
      <w:r>
        <w:t xml:space="preserve">.</w:t>
      </w:r>
      <w:r>
        <w:t xml:space="preserve"> </w:t>
      </w:r>
      <w:r>
        <w:t xml:space="preserve">Thus, the normalized daily error is unchanged:</w:t>
      </w:r>
    </w:p>
    <w:p>
      <w:pPr>
        <w:pStyle w:val="BodyText"/>
      </w:pPr>
      <m:oMathPara>
        <m:oMathParaPr>
          <m:jc m:val="center"/>
        </m:oMathParaPr>
        <m:oMath>
          <m:sSubSup>
            <m:e>
              <m:r>
                <m:t>ϵ</m:t>
              </m:r>
            </m:e>
            <m:sub>
              <m:r>
                <m:t>t</m:t>
              </m:r>
              <m:r>
                <m:rPr>
                  <m:sty m:val="p"/>
                </m:rPr>
                <m:t>,</m:t>
              </m:r>
              <m:r>
                <m:t>h</m:t>
              </m:r>
            </m:sub>
            <m:sup>
              <m:r>
                <m:rPr>
                  <m:sty m:val="p"/>
                </m:rPr>
                <m:t>*</m:t>
              </m:r>
            </m:sup>
          </m:sSubSup>
          <m:r>
            <m:rPr>
              <m:sty m:val="p"/>
            </m:rPr>
            <m:t>=</m:t>
          </m:r>
          <m:sSubSup>
            <m:e>
              <m:r>
                <m:t>z</m:t>
              </m:r>
            </m:e>
            <m:sub>
              <m:r>
                <m:t>t</m:t>
              </m:r>
              <m:r>
                <m:rPr>
                  <m:sty m:val="p"/>
                </m:rPr>
                <m:t>,</m:t>
              </m:r>
              <m:r>
                <m:t>h</m:t>
              </m:r>
            </m:sub>
            <m:sup>
              <m:r>
                <m:rPr>
                  <m:sty m:val="p"/>
                </m:rPr>
                <m:t>*</m:t>
              </m:r>
            </m:sup>
          </m:sSubSup>
          <m:r>
            <m:rPr>
              <m:sty m:val="p"/>
            </m:rPr>
            <m:t>−</m:t>
          </m:r>
          <m:sSubSup>
            <m:e>
              <m:acc>
                <m:accPr>
                  <m:chr m:val="̂"/>
                </m:accPr>
                <m:e>
                  <m:r>
                    <m:t>z</m:t>
                  </m:r>
                </m:e>
              </m:acc>
            </m:e>
            <m:sub>
              <m:r>
                <m:t>t</m:t>
              </m:r>
              <m:r>
                <m:rPr>
                  <m:sty m:val="p"/>
                </m:rPr>
                <m:t>,</m:t>
              </m:r>
              <m:r>
                <m:t>h</m:t>
              </m:r>
            </m:sub>
            <m:sup>
              <m:r>
                <m:rPr>
                  <m:sty m:val="p"/>
                </m:rPr>
                <m:t>*</m:t>
              </m:r>
            </m:sup>
          </m:sSubSup>
          <m:r>
            <m:rPr>
              <m:sty m:val="p"/>
            </m:rPr>
            <m:t>=</m:t>
          </m:r>
          <m:sSub>
            <m:e>
              <m:r>
                <m:t>ϵ</m:t>
              </m:r>
            </m:e>
            <m:sub>
              <m:r>
                <m:t>t</m:t>
              </m:r>
              <m:r>
                <m:rPr>
                  <m:sty m:val="p"/>
                </m:rPr>
                <m:t>,</m:t>
              </m:r>
              <m:r>
                <m:t>h</m:t>
              </m:r>
            </m:sub>
          </m:sSub>
        </m:oMath>
      </m:oMathPara>
    </w:p>
    <w:p>
      <w:pPr>
        <w:pStyle w:val="FirstParagraph"/>
      </w:pPr>
      <m:oMathPara>
        <m:oMathParaPr>
          <m:jc m:val="center"/>
        </m:oMathParaPr>
        <m:oMath>
          <m:sSubSup>
            <m:e>
              <m:acc>
                <m:accPr>
                  <m:chr m:val="‾"/>
                </m:accPr>
                <m:e>
                  <m:r>
                    <m:t>ϵ</m:t>
                  </m:r>
                </m:e>
              </m:acc>
            </m:e>
            <m:sub>
              <m:r>
                <m:t>t</m:t>
              </m:r>
            </m:sub>
            <m:sup>
              <m:r>
                <m:rPr>
                  <m:sty m:val="p"/>
                </m:rPr>
                <m:t>*</m:t>
              </m:r>
            </m:sup>
          </m:sSubSup>
          <m:r>
            <m:rPr>
              <m:sty m:val="p"/>
            </m:rPr>
            <m:t>=</m:t>
          </m:r>
          <m:sSub>
            <m:e>
              <m:acc>
                <m:accPr>
                  <m:chr m:val="‾"/>
                </m:accPr>
                <m:e>
                  <m:r>
                    <m:t>ϵ</m:t>
                  </m:r>
                </m:e>
              </m:acc>
            </m:e>
            <m:sub>
              <m:r>
                <m:t>t</m:t>
              </m:r>
            </m:sub>
          </m:sSub>
          <m:r>
            <m:rPr>
              <m:sty m:val="p"/>
            </m:rPr>
            <m:t>⟹</m:t>
          </m:r>
          <m:sSubSup>
            <m:e>
              <m:r>
                <m:t>b</m:t>
              </m:r>
            </m:e>
            <m:sub>
              <m:r>
                <m:t>t</m:t>
              </m:r>
            </m:sub>
            <m:sup>
              <m:r>
                <m:rPr>
                  <m:sty m:val="p"/>
                </m:rPr>
                <m:t>*</m:t>
              </m:r>
            </m:sup>
          </m:sSubSup>
          <m:r>
            <m:rPr>
              <m:sty m:val="p"/>
            </m:rPr>
            <m:t>=</m:t>
          </m:r>
          <m:sSub>
            <m:e>
              <m:r>
                <m:t>b</m:t>
              </m:r>
            </m:e>
            <m:sub>
              <m:r>
                <m:t>t</m:t>
              </m:r>
            </m:sub>
          </m:sSub>
        </m:oMath>
      </m:oMathPara>
    </w:p>
    <w:p>
      <w:pPr>
        <w:pStyle w:val="FirstParagraph"/>
      </w:pPr>
      <w:r>
        <w:t xml:space="preserve">The corrected forecast in normalized space remains:</w:t>
      </w:r>
      <w:r>
        <w:t xml:space="preserve"> </w:t>
      </w:r>
      <m:oMath>
        <m:sSubSup>
          <m:e>
            <m:acc>
              <m:accPr>
                <m:chr m:val="̂"/>
              </m:accPr>
              <m:e>
                <m:r>
                  <m:t>z</m:t>
                </m:r>
              </m:e>
            </m:acc>
          </m:e>
          <m:sub>
            <m:r>
              <m:t>t</m:t>
            </m:r>
            <m:r>
              <m:rPr>
                <m:sty m:val="p"/>
              </m:rPr>
              <m:t>+</m:t>
            </m:r>
            <m:r>
              <m:t>1</m:t>
            </m:r>
            <m:r>
              <m:rPr>
                <m:sty m:val="p"/>
              </m:rPr>
              <m:t>,</m:t>
            </m:r>
            <m:r>
              <m:t>h</m:t>
            </m:r>
          </m:sub>
          <m:sup>
            <m:sSup>
              <m:e>
                <m:r>
                  <m:rPr>
                    <m:sty m:val="p"/>
                  </m:rPr>
                  <m:t>*</m:t>
                </m:r>
              </m:e>
              <m:sup>
                <m:r>
                  <m:rPr>
                    <m:sty m:val="p"/>
                  </m:rPr>
                  <m:t>′</m:t>
                </m:r>
              </m:sup>
            </m:sSup>
          </m:sup>
        </m:sSubSup>
        <m:r>
          <m:rPr>
            <m:sty m:val="p"/>
          </m:rPr>
          <m:t>=</m:t>
        </m:r>
        <m:sSubSup>
          <m:e>
            <m:acc>
              <m:accPr>
                <m:chr m:val="̂"/>
              </m:accPr>
              <m:e>
                <m:r>
                  <m:t>z</m:t>
                </m:r>
              </m:e>
            </m:acc>
          </m:e>
          <m:sub>
            <m:r>
              <m:t>t</m:t>
            </m:r>
            <m:r>
              <m:rPr>
                <m:sty m:val="p"/>
              </m:rPr>
              <m:t>+</m:t>
            </m:r>
            <m:r>
              <m:t>1</m:t>
            </m:r>
            <m:r>
              <m:rPr>
                <m:sty m:val="p"/>
              </m:rPr>
              <m:t>,</m:t>
            </m:r>
            <m:r>
              <m:t>h</m:t>
            </m:r>
          </m:sub>
          <m:sup>
            <m:r>
              <m:rPr>
                <m:sty m:val="p"/>
              </m:rPr>
              <m:t>′</m:t>
            </m:r>
          </m:sup>
        </m:sSubSup>
      </m:oMath>
      <w:r>
        <w:t xml:space="preserve">.</w:t>
      </w:r>
      <w:r>
        <w:t xml:space="preserve"> </w:t>
      </w:r>
      <w:r>
        <w:t xml:space="preserve">Denormalizing to raw values yields:</w:t>
      </w:r>
    </w:p>
    <w:p>
      <w:pPr>
        <w:pStyle w:val="BodyText"/>
      </w:pPr>
      <m:oMathPara>
        <m:oMathParaPr>
          <m:jc m:val="center"/>
        </m:oMathParaPr>
        <m:oMath>
          <m:sSubSup>
            <m:e>
              <m:acc>
                <m:accPr>
                  <m:chr m:val="̂"/>
                </m:accPr>
                <m:e>
                  <m:r>
                    <m:t>y</m:t>
                  </m:r>
                </m:e>
              </m:acc>
            </m:e>
            <m:sub>
              <m:r>
                <m:t>t</m:t>
              </m:r>
              <m:r>
                <m:rPr>
                  <m:sty m:val="p"/>
                </m:rPr>
                <m:t>+</m:t>
              </m:r>
              <m:r>
                <m:t>1</m:t>
              </m:r>
              <m:r>
                <m:rPr>
                  <m:sty m:val="p"/>
                </m:rPr>
                <m:t>,</m:t>
              </m:r>
              <m:r>
                <m:t>h</m:t>
              </m:r>
            </m:sub>
            <m:sup>
              <m:sSup>
                <m:e>
                  <m:r>
                    <m:rPr>
                      <m:sty m:val="p"/>
                    </m:rPr>
                    <m:t>*</m:t>
                  </m:r>
                </m:e>
                <m:sup>
                  <m:r>
                    <m:rPr>
                      <m:sty m:val="p"/>
                    </m:rPr>
                    <m:t>′</m:t>
                  </m:r>
                </m:sup>
              </m:sSup>
            </m:sup>
          </m:sSubSup>
          <m:r>
            <m:rPr>
              <m:sty m:val="p"/>
            </m:rPr>
            <m:t>=</m:t>
          </m:r>
          <m:sSubSup>
            <m:e>
              <m:acc>
                <m:accPr>
                  <m:chr m:val="̂"/>
                </m:accPr>
                <m:e>
                  <m:r>
                    <m:t>z</m:t>
                  </m:r>
                </m:e>
              </m:acc>
            </m:e>
            <m:sub>
              <m:r>
                <m:t>t</m:t>
              </m:r>
              <m:r>
                <m:rPr>
                  <m:sty m:val="p"/>
                </m:rPr>
                <m:t>+</m:t>
              </m:r>
              <m:r>
                <m:t>1</m:t>
              </m:r>
              <m:r>
                <m:rPr>
                  <m:sty m:val="p"/>
                </m:rPr>
                <m:t>,</m:t>
              </m:r>
              <m:r>
                <m:t>h</m:t>
              </m:r>
            </m:sub>
            <m:sup>
              <m:sSup>
                <m:e>
                  <m:r>
                    <m:rPr>
                      <m:sty m:val="p"/>
                    </m:rPr>
                    <m:t>*</m:t>
                  </m:r>
                </m:e>
                <m:sup>
                  <m:r>
                    <m:rPr>
                      <m:sty m:val="p"/>
                    </m:rPr>
                    <m:t>′</m:t>
                  </m:r>
                </m:sup>
              </m:sSup>
            </m:sup>
          </m:sSubSup>
          <m:r>
            <m:rPr>
              <m:sty m:val="p"/>
            </m:rPr>
            <m:t>⋅</m:t>
          </m:r>
          <m:sSubSup>
            <m:e>
              <m:r>
                <m:t>σ</m:t>
              </m:r>
            </m:e>
            <m:sub>
              <m:r>
                <m:t>k</m:t>
              </m:r>
            </m:sub>
            <m:sup>
              <m:r>
                <m:rPr>
                  <m:sty m:val="p"/>
                </m:rPr>
                <m:t>*</m:t>
              </m:r>
            </m:sup>
          </m:sSubSup>
          <m:r>
            <m:rPr>
              <m:sty m:val="p"/>
            </m:rPr>
            <m:t>+</m:t>
          </m:r>
          <m:sSubSup>
            <m:e>
              <m:r>
                <m:t>μ</m:t>
              </m:r>
            </m:e>
            <m:sub>
              <m:r>
                <m:t>k</m:t>
              </m:r>
            </m:sub>
            <m:sup>
              <m:r>
                <m:rPr>
                  <m:sty m:val="p"/>
                </m:rPr>
                <m:t>*</m:t>
              </m:r>
            </m:sup>
          </m:sSubSup>
          <m:r>
            <m:rPr>
              <m:sty m:val="p"/>
            </m:rPr>
            <m:t>=</m:t>
          </m:r>
          <m:sSubSup>
            <m:e>
              <m:acc>
                <m:accPr>
                  <m:chr m:val="̂"/>
                </m:accPr>
                <m:e>
                  <m:r>
                    <m:t>z</m:t>
                  </m:r>
                </m:e>
              </m:acc>
            </m:e>
            <m:sub>
              <m:r>
                <m:t>t</m:t>
              </m:r>
              <m:r>
                <m:rPr>
                  <m:sty m:val="p"/>
                </m:rPr>
                <m:t>+</m:t>
              </m:r>
              <m:r>
                <m:t>1</m:t>
              </m:r>
              <m:r>
                <m:rPr>
                  <m:sty m:val="p"/>
                </m:rPr>
                <m:t>,</m:t>
              </m:r>
              <m:r>
                <m:t>h</m:t>
              </m:r>
            </m:sub>
            <m:sup>
              <m:r>
                <m:rPr>
                  <m:sty m:val="p"/>
                </m:rPr>
                <m:t>′</m:t>
              </m:r>
            </m:sup>
          </m:sSubSup>
          <m:r>
            <m:rPr>
              <m:sty m:val="p"/>
            </m:rPr>
            <m:t>⋅</m:t>
          </m:r>
          <m:r>
            <m:rPr>
              <m:sty m:val="p"/>
            </m:rPr>
            <m:t>(</m:t>
          </m:r>
          <m:r>
            <m:t>γ</m:t>
          </m:r>
          <m:sSub>
            <m:e>
              <m:r>
                <m:t>σ</m:t>
              </m:r>
            </m:e>
            <m:sub>
              <m:r>
                <m:t>k</m:t>
              </m:r>
            </m:sub>
          </m:sSub>
          <m:r>
            <m:rPr>
              <m:sty m:val="p"/>
            </m:rPr>
            <m:t>)</m:t>
          </m:r>
          <m:r>
            <m:rPr>
              <m:sty m:val="p"/>
            </m:rPr>
            <m:t>+</m:t>
          </m:r>
          <m:r>
            <m:rPr>
              <m:sty m:val="p"/>
            </m:rPr>
            <m:t>(</m:t>
          </m:r>
          <m:r>
            <m:t>γ</m:t>
          </m:r>
          <m:sSub>
            <m:e>
              <m:r>
                <m:t>μ</m:t>
              </m:r>
            </m:e>
            <m:sub>
              <m:r>
                <m:t>k</m:t>
              </m:r>
            </m:sub>
          </m:sSub>
          <m:r>
            <m:rPr>
              <m:sty m:val="p"/>
            </m:rPr>
            <m:t>)</m:t>
          </m:r>
          <m:r>
            <m:rPr>
              <m:sty m:val="p"/>
            </m:rPr>
            <m:t>=</m:t>
          </m:r>
          <m:r>
            <m:t>γ</m:t>
          </m:r>
          <m:sSubSup>
            <m:e>
              <m:acc>
                <m:accPr>
                  <m:chr m:val="̂"/>
                </m:accPr>
                <m:e>
                  <m:r>
                    <m:t>y</m:t>
                  </m:r>
                </m:e>
              </m:acc>
            </m:e>
            <m:sub>
              <m:r>
                <m:t>t</m:t>
              </m:r>
              <m:r>
                <m:rPr>
                  <m:sty m:val="p"/>
                </m:rPr>
                <m:t>+</m:t>
              </m:r>
              <m:r>
                <m:t>1</m:t>
              </m:r>
              <m:r>
                <m:rPr>
                  <m:sty m:val="p"/>
                </m:rPr>
                <m:t>,</m:t>
              </m:r>
              <m:r>
                <m:t>h</m:t>
              </m:r>
            </m:sub>
            <m:sup>
              <m:r>
                <m:rPr>
                  <m:sty m:val="p"/>
                </m:rPr>
                <m:t>′</m:t>
              </m:r>
            </m:sup>
          </m:sSubSup>
        </m:oMath>
      </m:oMathPara>
    </w:p>
    <w:p>
      <w:pPr>
        <w:pStyle w:val="FirstParagraph"/>
      </w:pPr>
      <w:r>
        <w:t xml:space="preserve">The correction adjusts its magnitude dynamically:</w:t>
      </w:r>
    </w:p>
    <w:p>
      <w:pPr>
        <w:pStyle w:val="BodyText"/>
      </w:pPr>
      <m:oMathPara>
        <m:oMathParaPr>
          <m:jc m:val="center"/>
        </m:oMathParaPr>
        <m:oMath>
          <m:r>
            <m:rPr>
              <m:sty m:val="p"/>
            </m:rPr>
            <m:t>Δ</m:t>
          </m:r>
          <m:sSup>
            <m:e>
              <m:r>
                <m:t>y</m:t>
              </m:r>
            </m:e>
            <m:sup>
              <m:r>
                <m:rPr>
                  <m:sty m:val="p"/>
                </m:rPr>
                <m:t>*</m:t>
              </m:r>
            </m:sup>
          </m:sSup>
          <m:r>
            <m:rPr>
              <m:sty m:val="p"/>
            </m:rPr>
            <m:t>=</m:t>
          </m:r>
          <m:sSubSup>
            <m:e>
              <m:acc>
                <m:accPr>
                  <m:chr m:val="̂"/>
                </m:accPr>
                <m:e>
                  <m:r>
                    <m:t>y</m:t>
                  </m:r>
                </m:e>
              </m:acc>
            </m:e>
            <m:sub>
              <m:r>
                <m:t>t</m:t>
              </m:r>
              <m:r>
                <m:rPr>
                  <m:sty m:val="p"/>
                </m:rPr>
                <m:t>+</m:t>
              </m:r>
              <m:r>
                <m:t>1</m:t>
              </m:r>
              <m:r>
                <m:rPr>
                  <m:sty m:val="p"/>
                </m:rPr>
                <m:t>,</m:t>
              </m:r>
              <m:r>
                <m:t>h</m:t>
              </m:r>
            </m:sub>
            <m:sup>
              <m:sSup>
                <m:e>
                  <m:r>
                    <m:rPr>
                      <m:sty m:val="p"/>
                    </m:rPr>
                    <m:t>*</m:t>
                  </m:r>
                </m:e>
                <m:sup>
                  <m:r>
                    <m:rPr>
                      <m:sty m:val="p"/>
                    </m:rPr>
                    <m:t>′</m:t>
                  </m:r>
                </m:sup>
              </m:sSup>
            </m:sup>
          </m:sSubSup>
          <m:r>
            <m:rPr>
              <m:sty m:val="p"/>
            </m:rPr>
            <m:t>−</m:t>
          </m:r>
          <m:sSubSup>
            <m:e>
              <m:acc>
                <m:accPr>
                  <m:chr m:val="̂"/>
                </m:accPr>
                <m:e>
                  <m:r>
                    <m:t>y</m:t>
                  </m:r>
                </m:e>
              </m:acc>
            </m:e>
            <m:sub>
              <m:r>
                <m:t>t</m:t>
              </m:r>
              <m:r>
                <m:rPr>
                  <m:sty m:val="p"/>
                </m:rPr>
                <m:t>+</m:t>
              </m:r>
              <m:r>
                <m:t>1</m:t>
              </m:r>
              <m:r>
                <m:rPr>
                  <m:sty m:val="p"/>
                </m:rPr>
                <m:t>,</m:t>
              </m:r>
              <m:r>
                <m:t>h</m:t>
              </m:r>
            </m:sub>
            <m:sup>
              <m:r>
                <m:rPr>
                  <m:sty m:val="p"/>
                </m:rPr>
                <m:t>*</m:t>
              </m:r>
            </m:sup>
          </m:sSubSup>
          <m:r>
            <m:rPr>
              <m:sty m:val="p"/>
            </m:rPr>
            <m:t>=</m:t>
          </m:r>
          <m:r>
            <m:t>γ</m:t>
          </m:r>
          <m:r>
            <m:rPr>
              <m:sty m:val="p"/>
            </m:rPr>
            <m:t>(</m:t>
          </m:r>
          <m:sSubSup>
            <m:e>
              <m:acc>
                <m:accPr>
                  <m:chr m:val="̂"/>
                </m:accPr>
                <m:e>
                  <m:r>
                    <m:t>y</m:t>
                  </m:r>
                </m:e>
              </m:acc>
            </m:e>
            <m:sub>
              <m:r>
                <m:t>t</m:t>
              </m:r>
              <m:r>
                <m:rPr>
                  <m:sty m:val="p"/>
                </m:rPr>
                <m:t>+</m:t>
              </m:r>
              <m:r>
                <m:t>1</m:t>
              </m:r>
              <m:r>
                <m:rPr>
                  <m:sty m:val="p"/>
                </m:rPr>
                <m:t>,</m:t>
              </m:r>
              <m:r>
                <m:t>h</m:t>
              </m:r>
            </m:sub>
            <m:sup>
              <m:r>
                <m:rPr>
                  <m:sty m:val="p"/>
                </m:rPr>
                <m:t>′</m:t>
              </m:r>
            </m:sup>
          </m:sSubSup>
          <m:r>
            <m:rPr>
              <m:sty m:val="p"/>
            </m:rPr>
            <m:t>−</m:t>
          </m:r>
          <m:sSub>
            <m:e>
              <m:acc>
                <m:accPr>
                  <m:chr m:val="̂"/>
                </m:accPr>
                <m:e>
                  <m:r>
                    <m:t>y</m:t>
                  </m:r>
                </m:e>
              </m:acc>
            </m:e>
            <m:sub>
              <m:r>
                <m:t>t</m:t>
              </m:r>
              <m:r>
                <m:rPr>
                  <m:sty m:val="p"/>
                </m:rPr>
                <m:t>+</m:t>
              </m:r>
              <m:r>
                <m:t>1</m:t>
              </m:r>
              <m:r>
                <m:rPr>
                  <m:sty m:val="p"/>
                </m:rPr>
                <m:t>,</m:t>
              </m:r>
              <m:r>
                <m:t>h</m:t>
              </m:r>
            </m:sub>
          </m:sSub>
          <m:r>
            <m:rPr>
              <m:sty m:val="p"/>
            </m:rPr>
            <m:t>)</m:t>
          </m:r>
          <m:r>
            <m:rPr>
              <m:sty m:val="p"/>
            </m:rPr>
            <m:t>=</m:t>
          </m:r>
          <m:r>
            <m:t>γ</m:t>
          </m:r>
          <m:r>
            <m:rPr>
              <m:sty m:val="p"/>
            </m:rPr>
            <m:t>Δ</m:t>
          </m:r>
          <m:r>
            <m:t>y</m:t>
          </m:r>
        </m:oMath>
      </m:oMathPara>
    </w:p>
    <w:p>
      <w:pPr>
        <w:pStyle w:val="FirstParagraph"/>
      </w:pPr>
      <w:r>
        <w:t xml:space="preserve">This proves that TIDE scales its correction magnitude proportionally with grid growth. If correction were performed in raw MW space using a fixed offset, the adjustment would become less effective as the grid expanded.</w:t>
      </w:r>
    </w:p>
    <w:bookmarkEnd w:id="34"/>
    <w:bookmarkStart w:id="35" w:name="Xde70e1e4176fc5c622eac4617dbac30da4a4de7"/>
    <w:p>
      <w:pPr>
        <w:pStyle w:val="Heading3"/>
      </w:pPr>
      <w:r>
        <w:t xml:space="preserve">D. Theoretical Derivation of TIDE as a Steady-State Kalman Filter</w:t>
      </w:r>
    </w:p>
    <w:p>
      <w:pPr>
        <w:pStyle w:val="FirstParagraph"/>
      </w:pPr>
      <w:r>
        <w:t xml:space="preserve">We demonstrate that the TIDE update formulation is not merely heuristic, but is mathematically equivalent to a steady-state Kalman filter operating under a random walk model of grid drift.</w:t>
      </w:r>
    </w:p>
    <w:p>
      <w:pPr>
        <w:pStyle w:val="BodyText"/>
      </w:pPr>
      <w:r>
        <w:t xml:space="preserve">Let the true underlying bias in normalized space at day</w:t>
      </w:r>
      <w:r>
        <w:t xml:space="preserve"> </w:t>
      </w:r>
      <m:oMath>
        <m:r>
          <m:t>t</m:t>
        </m:r>
      </m:oMath>
      <w:r>
        <w:t xml:space="preserve"> </w:t>
      </w:r>
      <w:r>
        <w:t xml:space="preserve">be represented by a scalar state</w:t>
      </w:r>
      <w:r>
        <w:t xml:space="preserve"> </w:t>
      </w:r>
      <m:oMath>
        <m:sSub>
          <m:e>
            <m:r>
              <m:t>x</m:t>
            </m:r>
          </m:e>
          <m:sub>
            <m:r>
              <m:t>t</m:t>
            </m:r>
          </m:sub>
        </m:sSub>
        <m:r>
          <m:rPr>
            <m:sty m:val="p"/>
          </m:rPr>
          <m:t>∈</m:t>
        </m:r>
        <m:r>
          <m:rPr>
            <m:scr m:val="double-struck"/>
            <m:sty m:val="p"/>
          </m:rPr>
          <m:t>R</m:t>
        </m:r>
      </m:oMath>
      <w:r>
        <w:t xml:space="preserve">. We model this bias as evolving via a random walk process:</w:t>
      </w:r>
    </w:p>
    <w:p>
      <w:pPr>
        <w:pStyle w:val="BodyText"/>
      </w:pPr>
      <m:oMathPara>
        <m:oMathParaPr>
          <m:jc m:val="center"/>
        </m:oMathParaPr>
        <m:oMath>
          <m:sSub>
            <m:e>
              <m:r>
                <m:t>x</m:t>
              </m:r>
            </m:e>
            <m:sub>
              <m:r>
                <m:t>t</m:t>
              </m:r>
            </m:sub>
          </m:sSub>
          <m:r>
            <m:rPr>
              <m:sty m:val="p"/>
            </m:rPr>
            <m:t>=</m:t>
          </m:r>
          <m:sSub>
            <m:e>
              <m:r>
                <m:t>x</m:t>
              </m:r>
            </m:e>
            <m:sub>
              <m:r>
                <m:t>t</m:t>
              </m:r>
              <m:r>
                <m:rPr>
                  <m:sty m:val="p"/>
                </m:rPr>
                <m:t>−</m:t>
              </m:r>
              <m:r>
                <m:t>1</m:t>
              </m:r>
            </m:sub>
          </m:sSub>
          <m:r>
            <m:rPr>
              <m:sty m:val="p"/>
            </m:rPr>
            <m:t>+</m:t>
          </m:r>
          <m:sSub>
            <m:e>
              <m:r>
                <m:t>w</m:t>
              </m:r>
            </m:e>
            <m:sub>
              <m:r>
                <m:t>t</m:t>
              </m:r>
            </m:sub>
          </m:sSub>
          <m:r>
            <m:rPr>
              <m:sty m:val="p"/>
            </m:rPr>
            <m:t>,</m:t>
          </m:r>
          <m:r>
            <m:t> </m:t>
          </m:r>
          <m:sSub>
            <m:e>
              <m:r>
                <m:t>w</m:t>
              </m:r>
            </m:e>
            <m:sub>
              <m:r>
                <m:t>t</m:t>
              </m:r>
            </m:sub>
          </m:sSub>
          <m:r>
            <m:rPr>
              <m:sty m:val="p"/>
            </m:rPr>
            <m:t>∼</m:t>
          </m:r>
          <m:r>
            <m:rPr>
              <m:scr m:val="script"/>
              <m:sty m:val="p"/>
            </m:rPr>
            <m:t>N</m:t>
          </m:r>
          <m:r>
            <m:rPr>
              <m:sty m:val="p"/>
            </m:rPr>
            <m:t>(</m:t>
          </m:r>
          <m:r>
            <m:t>0</m:t>
          </m:r>
          <m:r>
            <m:rPr>
              <m:sty m:val="p"/>
            </m:rPr>
            <m:t>,</m:t>
          </m:r>
          <m:sSubSup>
            <m:e>
              <m:r>
                <m:t>σ</m:t>
              </m:r>
            </m:e>
            <m:sub>
              <m:r>
                <m:t>w</m:t>
              </m:r>
            </m:sub>
            <m:sup>
              <m:r>
                <m:t>2</m:t>
              </m:r>
            </m:sup>
          </m:sSubSup>
          <m:r>
            <m:rPr>
              <m:sty m:val="p"/>
            </m:rPr>
            <m:t>)</m:t>
          </m:r>
        </m:oMath>
      </m:oMathPara>
    </w:p>
    <w:p>
      <w:pPr>
        <w:pStyle w:val="FirstParagraph"/>
      </w:pPr>
      <w:r>
        <w:t xml:space="preserve">where</w:t>
      </w:r>
      <w:r>
        <w:t xml:space="preserve"> </w:t>
      </w:r>
      <m:oMath>
        <m:sSub>
          <m:e>
            <m:r>
              <m:t>w</m:t>
            </m:r>
          </m:e>
          <m:sub>
            <m:r>
              <m:t>t</m:t>
            </m:r>
          </m:sub>
        </m:sSub>
      </m:oMath>
      <w:r>
        <w:t xml:space="preserve"> </w:t>
      </w:r>
      <w:r>
        <w:t xml:space="preserve">represents the process noise, capturing slow structural changes, new consumer connections, and trend drift. We observe this bias through the average daily forecast error</w:t>
      </w:r>
      <w:r>
        <w:t xml:space="preserve"> </w:t>
      </w:r>
      <m:oMath>
        <m:sSub>
          <m:e>
            <m:acc>
              <m:accPr>
                <m:chr m:val="‾"/>
              </m:accPr>
              <m:e>
                <m:r>
                  <m:t>ϵ</m:t>
                </m:r>
              </m:e>
            </m:acc>
          </m:e>
          <m:sub>
            <m:r>
              <m:t>t</m:t>
            </m:r>
          </m:sub>
        </m:sSub>
      </m:oMath>
      <w:r>
        <w:t xml:space="preserve">, which acts as a noisy measurement of the true state:</w:t>
      </w:r>
    </w:p>
    <w:p>
      <w:pPr>
        <w:pStyle w:val="BodyText"/>
      </w:pPr>
      <m:oMathPara>
        <m:oMathParaPr>
          <m:jc m:val="center"/>
        </m:oMathParaPr>
        <m:oMath>
          <m:sSub>
            <m:e>
              <m:acc>
                <m:accPr>
                  <m:chr m:val="‾"/>
                </m:accPr>
                <m:e>
                  <m:r>
                    <m:t>ϵ</m:t>
                  </m:r>
                </m:e>
              </m:acc>
            </m:e>
            <m:sub>
              <m:r>
                <m:t>t</m:t>
              </m:r>
            </m:sub>
          </m:sSub>
          <m:r>
            <m:rPr>
              <m:sty m:val="p"/>
            </m:rPr>
            <m:t>=</m:t>
          </m:r>
          <m:sSub>
            <m:e>
              <m:r>
                <m:t>x</m:t>
              </m:r>
            </m:e>
            <m:sub>
              <m:r>
                <m:t>t</m:t>
              </m:r>
            </m:sub>
          </m:sSub>
          <m:r>
            <m:rPr>
              <m:sty m:val="p"/>
            </m:rPr>
            <m:t>+</m:t>
          </m:r>
          <m:sSub>
            <m:e>
              <m:r>
                <m:t>v</m:t>
              </m:r>
            </m:e>
            <m:sub>
              <m:r>
                <m:t>t</m:t>
              </m:r>
            </m:sub>
          </m:sSub>
          <m:r>
            <m:rPr>
              <m:sty m:val="p"/>
            </m:rPr>
            <m:t>,</m:t>
          </m:r>
          <m:r>
            <m:t> </m:t>
          </m:r>
          <m:sSub>
            <m:e>
              <m:r>
                <m:t>v</m:t>
              </m:r>
            </m:e>
            <m:sub>
              <m:r>
                <m:t>t</m:t>
              </m:r>
            </m:sub>
          </m:sSub>
          <m:r>
            <m:rPr>
              <m:sty m:val="p"/>
            </m:rPr>
            <m:t>∼</m:t>
          </m:r>
          <m:r>
            <m:rPr>
              <m:scr m:val="script"/>
              <m:sty m:val="p"/>
            </m:rPr>
            <m:t>N</m:t>
          </m:r>
          <m:r>
            <m:rPr>
              <m:sty m:val="p"/>
            </m:rPr>
            <m:t>(</m:t>
          </m:r>
          <m:r>
            <m:t>0</m:t>
          </m:r>
          <m:r>
            <m:rPr>
              <m:sty m:val="p"/>
            </m:rPr>
            <m:t>,</m:t>
          </m:r>
          <m:sSubSup>
            <m:e>
              <m:r>
                <m:t>σ</m:t>
              </m:r>
            </m:e>
            <m:sub>
              <m:r>
                <m:t>v</m:t>
              </m:r>
            </m:sub>
            <m:sup>
              <m:r>
                <m:t>2</m:t>
              </m:r>
            </m:sup>
          </m:sSubSup>
          <m:r>
            <m:rPr>
              <m:sty m:val="p"/>
            </m:rPr>
            <m:t>)</m:t>
          </m:r>
        </m:oMath>
      </m:oMathPara>
    </w:p>
    <w:p>
      <w:pPr>
        <w:pStyle w:val="FirstParagraph"/>
      </w:pPr>
      <w:r>
        <w:t xml:space="preserve">where</w:t>
      </w:r>
      <w:r>
        <w:t xml:space="preserve"> </w:t>
      </w:r>
      <m:oMath>
        <m:sSub>
          <m:e>
            <m:r>
              <m:t>v</m:t>
            </m:r>
          </m:e>
          <m:sub>
            <m:r>
              <m:t>t</m:t>
            </m:r>
          </m:sub>
        </m:sSub>
      </m:oMath>
      <w:r>
        <w:t xml:space="preserve"> </w:t>
      </w:r>
      <w:r>
        <w:t xml:space="preserve">represents the measurement noise, capturing high-frequency daily variations (such as sudden weather spikes, behavioral variations, or metering errors).</w:t>
      </w:r>
    </w:p>
    <w:p>
      <w:pPr>
        <w:pStyle w:val="BodyText"/>
      </w:pPr>
      <w:r>
        <w:t xml:space="preserve">Applying the standard recursive equations of the Kalman Filter:</w:t>
      </w:r>
      <w:r>
        <w:t xml:space="preserve"> </w:t>
      </w:r>
      <w:r>
        <w:t xml:space="preserve">1.</w:t>
      </w:r>
      <w:r>
        <w:t xml:space="preserve"> </w:t>
      </w:r>
      <w:r>
        <w:rPr>
          <w:b/>
          <w:bCs/>
        </w:rPr>
        <w:t xml:space="preserve">Time Update (Prediction)</w:t>
      </w:r>
      <w:r>
        <w:t xml:space="preserve">:</w:t>
      </w:r>
    </w:p>
    <w:p>
      <w:pPr>
        <w:pStyle w:val="BodyText"/>
      </w:pPr>
      <m:oMathPara>
        <m:oMathParaPr>
          <m:jc m:val="center"/>
        </m:oMathParaPr>
        <m:oMath>
          <m:sSub>
            <m:e>
              <m:acc>
                <m:accPr>
                  <m:chr m:val="̂"/>
                </m:accPr>
                <m:e>
                  <m:r>
                    <m:t>x</m:t>
                  </m:r>
                </m:e>
              </m:acc>
            </m:e>
            <m:sub>
              <m:r>
                <m:t>t</m:t>
              </m:r>
              <m:r>
                <m:rPr>
                  <m:sty m:val="p"/>
                </m:rPr>
                <m:t>|</m:t>
              </m:r>
              <m:r>
                <m:t>t</m:t>
              </m:r>
              <m:r>
                <m:rPr>
                  <m:sty m:val="p"/>
                </m:rPr>
                <m:t>−</m:t>
              </m:r>
              <m:r>
                <m:t>1</m:t>
              </m:r>
            </m:sub>
          </m:sSub>
          <m:r>
            <m:rPr>
              <m:sty m:val="p"/>
            </m:rPr>
            <m:t>=</m:t>
          </m:r>
          <m:sSub>
            <m:e>
              <m:acc>
                <m:accPr>
                  <m:chr m:val="̂"/>
                </m:accPr>
                <m:e>
                  <m:r>
                    <m:t>x</m:t>
                  </m:r>
                </m:e>
              </m:acc>
            </m:e>
            <m:sub>
              <m:r>
                <m:t>t</m:t>
              </m:r>
              <m:r>
                <m:rPr>
                  <m:sty m:val="p"/>
                </m:rPr>
                <m:t>−</m:t>
              </m:r>
              <m:r>
                <m:t>1</m:t>
              </m:r>
              <m:r>
                <m:rPr>
                  <m:sty m:val="p"/>
                </m:rPr>
                <m:t>|</m:t>
              </m:r>
              <m:r>
                <m:t>t</m:t>
              </m:r>
              <m:r>
                <m:rPr>
                  <m:sty m:val="p"/>
                </m:rPr>
                <m:t>−</m:t>
              </m:r>
              <m:r>
                <m:t>1</m:t>
              </m:r>
            </m:sub>
          </m:sSub>
        </m:oMath>
      </m:oMathPara>
    </w:p>
    <w:p>
      <w:pPr>
        <w:pStyle w:val="FirstParagraph"/>
      </w:pPr>
      <m:oMathPara>
        <m:oMathParaPr>
          <m:jc m:val="center"/>
        </m:oMathParaPr>
        <m:oMath>
          <m:sSub>
            <m:e>
              <m:r>
                <m:t>P</m:t>
              </m:r>
            </m:e>
            <m:sub>
              <m:r>
                <m:t>t</m:t>
              </m:r>
              <m:r>
                <m:rPr>
                  <m:sty m:val="p"/>
                </m:rPr>
                <m:t>|</m:t>
              </m:r>
              <m:r>
                <m:t>t</m:t>
              </m:r>
              <m:r>
                <m:rPr>
                  <m:sty m:val="p"/>
                </m:rPr>
                <m:t>−</m:t>
              </m:r>
              <m:r>
                <m:t>1</m:t>
              </m:r>
            </m:sub>
          </m:sSub>
          <m:r>
            <m:rPr>
              <m:sty m:val="p"/>
            </m:rPr>
            <m:t>=</m:t>
          </m:r>
          <m:sSub>
            <m:e>
              <m:r>
                <m:t>P</m:t>
              </m:r>
            </m:e>
            <m:sub>
              <m:r>
                <m:t>t</m:t>
              </m:r>
              <m:r>
                <m:rPr>
                  <m:sty m:val="p"/>
                </m:rPr>
                <m:t>−</m:t>
              </m:r>
              <m:r>
                <m:t>1</m:t>
              </m:r>
              <m:r>
                <m:rPr>
                  <m:sty m:val="p"/>
                </m:rPr>
                <m:t>|</m:t>
              </m:r>
              <m:r>
                <m:t>t</m:t>
              </m:r>
              <m:r>
                <m:rPr>
                  <m:sty m:val="p"/>
                </m:rPr>
                <m:t>−</m:t>
              </m:r>
              <m:r>
                <m:t>1</m:t>
              </m:r>
            </m:sub>
          </m:sSub>
          <m:r>
            <m:rPr>
              <m:sty m:val="p"/>
            </m:rPr>
            <m:t>+</m:t>
          </m:r>
          <m:sSubSup>
            <m:e>
              <m:r>
                <m:t>σ</m:t>
              </m:r>
            </m:e>
            <m:sub>
              <m:r>
                <m:t>w</m:t>
              </m:r>
            </m:sub>
            <m:sup>
              <m:r>
                <m:t>2</m:t>
              </m:r>
            </m:sup>
          </m:sSubSup>
        </m:oMath>
      </m:oMathPara>
    </w:p>
    <w:p>
      <w:pPr>
        <w:pStyle w:val="Compact"/>
        <w:numPr>
          <w:ilvl w:val="0"/>
          <w:numId w:val="1004"/>
        </w:numPr>
      </w:pPr>
      <w:r>
        <w:rPr>
          <w:b/>
          <w:bCs/>
        </w:rPr>
        <w:t xml:space="preserve">Measurement Update (Correction)</w:t>
      </w:r>
      <w:r>
        <w:t xml:space="preserve">:</w:t>
      </w:r>
    </w:p>
    <w:p>
      <w:pPr>
        <w:pStyle w:val="Compact"/>
      </w:pPr>
      <m:oMathPara>
        <m:oMathParaPr>
          <m:jc m:val="center"/>
        </m:oMathParaPr>
        <m:oMath>
          <m:sSub>
            <m:e>
              <m:r>
                <m:t>K</m:t>
              </m:r>
            </m:e>
            <m:sub>
              <m:r>
                <m:t>t</m:t>
              </m:r>
            </m:sub>
          </m:sSub>
          <m:r>
            <m:rPr>
              <m:sty m:val="p"/>
            </m:rPr>
            <m:t>=</m:t>
          </m:r>
          <m:f>
            <m:fPr>
              <m:type m:val="bar"/>
            </m:fPr>
            <m:num>
              <m:sSub>
                <m:e>
                  <m:r>
                    <m:t>P</m:t>
                  </m:r>
                </m:e>
                <m:sub>
                  <m:r>
                    <m:t>t</m:t>
                  </m:r>
                  <m:r>
                    <m:rPr>
                      <m:sty m:val="p"/>
                    </m:rPr>
                    <m:t>|</m:t>
                  </m:r>
                  <m:r>
                    <m:t>t</m:t>
                  </m:r>
                  <m:r>
                    <m:rPr>
                      <m:sty m:val="p"/>
                    </m:rPr>
                    <m:t>−</m:t>
                  </m:r>
                  <m:r>
                    <m:t>1</m:t>
                  </m:r>
                </m:sub>
              </m:sSub>
            </m:num>
            <m:den>
              <m:sSub>
                <m:e>
                  <m:r>
                    <m:t>P</m:t>
                  </m:r>
                </m:e>
                <m:sub>
                  <m:r>
                    <m:t>t</m:t>
                  </m:r>
                  <m:r>
                    <m:rPr>
                      <m:sty m:val="p"/>
                    </m:rPr>
                    <m:t>|</m:t>
                  </m:r>
                  <m:r>
                    <m:t>t</m:t>
                  </m:r>
                  <m:r>
                    <m:rPr>
                      <m:sty m:val="p"/>
                    </m:rPr>
                    <m:t>−</m:t>
                  </m:r>
                  <m:r>
                    <m:t>1</m:t>
                  </m:r>
                </m:sub>
              </m:sSub>
              <m:r>
                <m:rPr>
                  <m:sty m:val="p"/>
                </m:rPr>
                <m:t>+</m:t>
              </m:r>
              <m:sSubSup>
                <m:e>
                  <m:r>
                    <m:t>σ</m:t>
                  </m:r>
                </m:e>
                <m:sub>
                  <m:r>
                    <m:t>v</m:t>
                  </m:r>
                </m:sub>
                <m:sup>
                  <m:r>
                    <m:t>2</m:t>
                  </m:r>
                </m:sup>
              </m:sSubSup>
            </m:den>
          </m:f>
        </m:oMath>
      </m:oMathPara>
    </w:p>
    <w:p>
      <w:pPr>
        <w:pStyle w:val="Compact"/>
      </w:pPr>
      <m:oMathPara>
        <m:oMathParaPr>
          <m:jc m:val="center"/>
        </m:oMathParaPr>
        <m:oMath>
          <m:sSub>
            <m:e>
              <m:acc>
                <m:accPr>
                  <m:chr m:val="̂"/>
                </m:accPr>
                <m:e>
                  <m:r>
                    <m:t>x</m:t>
                  </m:r>
                </m:e>
              </m:acc>
            </m:e>
            <m:sub>
              <m:r>
                <m:t>t</m:t>
              </m:r>
              <m:r>
                <m:rPr>
                  <m:sty m:val="p"/>
                </m:rPr>
                <m:t>|</m:t>
              </m:r>
              <m:r>
                <m:t>t</m:t>
              </m:r>
            </m:sub>
          </m:sSub>
          <m:r>
            <m:rPr>
              <m:sty m:val="p"/>
            </m:rPr>
            <m:t>=</m:t>
          </m:r>
          <m:sSub>
            <m:e>
              <m:acc>
                <m:accPr>
                  <m:chr m:val="̂"/>
                </m:accPr>
                <m:e>
                  <m:r>
                    <m:t>x</m:t>
                  </m:r>
                </m:e>
              </m:acc>
            </m:e>
            <m:sub>
              <m:r>
                <m:t>t</m:t>
              </m:r>
              <m:r>
                <m:rPr>
                  <m:sty m:val="p"/>
                </m:rPr>
                <m:t>|</m:t>
              </m:r>
              <m:r>
                <m:t>t</m:t>
              </m:r>
              <m:r>
                <m:rPr>
                  <m:sty m:val="p"/>
                </m:rPr>
                <m:t>−</m:t>
              </m:r>
              <m:r>
                <m:t>1</m:t>
              </m:r>
            </m:sub>
          </m:sSub>
          <m:r>
            <m:rPr>
              <m:sty m:val="p"/>
            </m:rPr>
            <m:t>+</m:t>
          </m:r>
          <m:sSub>
            <m:e>
              <m:r>
                <m:t>K</m:t>
              </m:r>
            </m:e>
            <m:sub>
              <m:r>
                <m:t>t</m:t>
              </m:r>
            </m:sub>
          </m:sSub>
          <m:d>
            <m:dPr>
              <m:begChr m:val="("/>
              <m:sepChr m:val=""/>
              <m:endChr m:val=")"/>
              <m:grow/>
            </m:dPr>
            <m:e>
              <m:sSub>
                <m:e>
                  <m:acc>
                    <m:accPr>
                      <m:chr m:val="‾"/>
                    </m:accPr>
                    <m:e>
                      <m:r>
                        <m:t>ϵ</m:t>
                      </m:r>
                    </m:e>
                  </m:acc>
                </m:e>
                <m:sub>
                  <m:r>
                    <m:t>t</m:t>
                  </m:r>
                </m:sub>
              </m:sSub>
              <m:r>
                <m:rPr>
                  <m:sty m:val="p"/>
                </m:rPr>
                <m:t>−</m:t>
              </m:r>
              <m:sSub>
                <m:e>
                  <m:acc>
                    <m:accPr>
                      <m:chr m:val="̂"/>
                    </m:accPr>
                    <m:e>
                      <m:r>
                        <m:t>x</m:t>
                      </m:r>
                    </m:e>
                  </m:acc>
                </m:e>
                <m:sub>
                  <m:r>
                    <m:t>t</m:t>
                  </m:r>
                  <m:r>
                    <m:rPr>
                      <m:sty m:val="p"/>
                    </m:rPr>
                    <m:t>|</m:t>
                  </m:r>
                  <m:r>
                    <m:t>t</m:t>
                  </m:r>
                  <m:r>
                    <m:rPr>
                      <m:sty m:val="p"/>
                    </m:rPr>
                    <m:t>−</m:t>
                  </m:r>
                  <m:r>
                    <m:t>1</m:t>
                  </m:r>
                </m:sub>
              </m:sSub>
            </m:e>
          </m:d>
        </m:oMath>
      </m:oMathPara>
    </w:p>
    <w:p>
      <w:pPr>
        <w:pStyle w:val="Compact"/>
      </w:pPr>
      <m:oMathPara>
        <m:oMathParaPr>
          <m:jc m:val="center"/>
        </m:oMathParaPr>
        <m:oMath>
          <m:sSub>
            <m:e>
              <m:r>
                <m:t>P</m:t>
              </m:r>
            </m:e>
            <m:sub>
              <m:r>
                <m:t>t</m:t>
              </m:r>
              <m:r>
                <m:rPr>
                  <m:sty m:val="p"/>
                </m:rPr>
                <m:t>|</m:t>
              </m:r>
              <m:r>
                <m:t>t</m:t>
              </m:r>
            </m:sub>
          </m:sSub>
          <m:r>
            <m:rPr>
              <m:sty m:val="p"/>
            </m:rPr>
            <m:t>=</m:t>
          </m:r>
          <m:r>
            <m:rPr>
              <m:sty m:val="p"/>
            </m:rPr>
            <m:t>(</m:t>
          </m:r>
          <m:r>
            <m:t>1</m:t>
          </m:r>
          <m:r>
            <m:rPr>
              <m:sty m:val="p"/>
            </m:rPr>
            <m:t>−</m:t>
          </m:r>
          <m:sSub>
            <m:e>
              <m:r>
                <m:t>K</m:t>
              </m:r>
            </m:e>
            <m:sub>
              <m:r>
                <m:t>t</m:t>
              </m:r>
            </m:sub>
          </m:sSub>
          <m:r>
            <m:rPr>
              <m:sty m:val="p"/>
            </m:rPr>
            <m:t>)</m:t>
          </m:r>
          <m:sSub>
            <m:e>
              <m:r>
                <m:t>P</m:t>
              </m:r>
            </m:e>
            <m:sub>
              <m:r>
                <m:t>t</m:t>
              </m:r>
              <m:r>
                <m:rPr>
                  <m:sty m:val="p"/>
                </m:rPr>
                <m:t>|</m:t>
              </m:r>
              <m:r>
                <m:t>t</m:t>
              </m:r>
              <m:r>
                <m:rPr>
                  <m:sty m:val="p"/>
                </m:rPr>
                <m:t>−</m:t>
              </m:r>
              <m:r>
                <m:t>1</m:t>
              </m:r>
            </m:sub>
          </m:sSub>
        </m:oMath>
      </m:oMathPara>
    </w:p>
    <w:p>
      <w:pPr>
        <w:pStyle w:val="FirstParagraph"/>
      </w:pPr>
      <w:r>
        <w:t xml:space="preserve">Here,</w:t>
      </w:r>
      <w:r>
        <w:t xml:space="preserve"> </w:t>
      </w:r>
      <m:oMath>
        <m:sSub>
          <m:e>
            <m:r>
              <m:t>P</m:t>
            </m:r>
          </m:e>
          <m:sub>
            <m:r>
              <m:t>t</m:t>
            </m:r>
            <m:r>
              <m:rPr>
                <m:sty m:val="p"/>
              </m:rPr>
              <m:t>|</m:t>
            </m:r>
            <m:r>
              <m:t>t</m:t>
            </m:r>
            <m:r>
              <m:rPr>
                <m:sty m:val="p"/>
              </m:rPr>
              <m:t>−</m:t>
            </m:r>
            <m:r>
              <m:t>1</m:t>
            </m:r>
          </m:sub>
        </m:sSub>
      </m:oMath>
      <w:r>
        <w:t xml:space="preserve"> </w:t>
      </w:r>
      <w:r>
        <w:t xml:space="preserve">is the prior estimation error variance,</w:t>
      </w:r>
      <w:r>
        <w:t xml:space="preserve"> </w:t>
      </w:r>
      <m:oMath>
        <m:sSub>
          <m:e>
            <m:r>
              <m:t>P</m:t>
            </m:r>
          </m:e>
          <m:sub>
            <m:r>
              <m:t>t</m:t>
            </m:r>
            <m:r>
              <m:rPr>
                <m:sty m:val="p"/>
              </m:rPr>
              <m:t>|</m:t>
            </m:r>
            <m:r>
              <m:t>t</m:t>
            </m:r>
          </m:sub>
        </m:sSub>
      </m:oMath>
      <w:r>
        <w:t xml:space="preserve"> </w:t>
      </w:r>
      <w:r>
        <w:t xml:space="preserve">is the posterior error variance, and</w:t>
      </w:r>
      <w:r>
        <w:t xml:space="preserve"> </w:t>
      </w:r>
      <m:oMath>
        <m:sSub>
          <m:e>
            <m:r>
              <m:t>K</m:t>
            </m:r>
          </m:e>
          <m:sub>
            <m:r>
              <m:t>t</m:t>
            </m:r>
          </m:sub>
        </m:sSub>
      </m:oMath>
      <w:r>
        <w:t xml:space="preserve"> </w:t>
      </w:r>
      <w:r>
        <w:t xml:space="preserve">is the Kalman gain.</w:t>
      </w:r>
    </w:p>
    <w:p>
      <w:pPr>
        <w:pStyle w:val="BodyText"/>
      </w:pPr>
      <w:r>
        <w:t xml:space="preserve">In a non-stationary time series where the ratio of process noise variance to measurement noise variance (</w:t>
      </w:r>
      <m:oMath>
        <m:sSubSup>
          <m:e>
            <m:r>
              <m:t>σ</m:t>
            </m:r>
          </m:e>
          <m:sub>
            <m:r>
              <m:t>w</m:t>
            </m:r>
          </m:sub>
          <m:sup>
            <m:r>
              <m:t>2</m:t>
            </m:r>
          </m:sup>
        </m:sSubSup>
        <m:r>
          <m:rPr>
            <m:sty m:val="p"/>
          </m:rPr>
          <m:t>/</m:t>
        </m:r>
        <m:sSubSup>
          <m:e>
            <m:r>
              <m:t>σ</m:t>
            </m:r>
          </m:e>
          <m:sub>
            <m:r>
              <m:t>v</m:t>
            </m:r>
          </m:sub>
          <m:sup>
            <m:r>
              <m:t>2</m:t>
            </m:r>
          </m:sup>
        </m:sSubSup>
      </m:oMath>
      <w:r>
        <w:t xml:space="preserve">) remains relatively stable over time, the error covariance</w:t>
      </w:r>
      <w:r>
        <w:t xml:space="preserve"> </w:t>
      </w:r>
      <m:oMath>
        <m:sSub>
          <m:e>
            <m:r>
              <m:t>P</m:t>
            </m:r>
          </m:e>
          <m:sub>
            <m:r>
              <m:t>t</m:t>
            </m:r>
            <m:r>
              <m:rPr>
                <m:sty m:val="p"/>
              </m:rPr>
              <m:t>|</m:t>
            </m:r>
            <m:r>
              <m:t>t</m:t>
            </m:r>
            <m:r>
              <m:rPr>
                <m:sty m:val="p"/>
              </m:rPr>
              <m:t>−</m:t>
            </m:r>
            <m:r>
              <m:t>1</m:t>
            </m:r>
          </m:sub>
        </m:sSub>
      </m:oMath>
      <w:r>
        <w:t xml:space="preserve"> </w:t>
      </w:r>
      <w:r>
        <w:t xml:space="preserve">converges to a steady-state value</w:t>
      </w:r>
      <w:r>
        <w:t xml:space="preserve"> </w:t>
      </w:r>
      <m:oMath>
        <m:sSub>
          <m:e>
            <m:r>
              <m:t>P</m:t>
            </m:r>
          </m:e>
          <m:sub>
            <m:r>
              <m:rPr>
                <m:sty m:val="p"/>
              </m:rPr>
              <m:t>∞</m:t>
            </m:r>
          </m:sub>
        </m:sSub>
      </m:oMath>
      <w:r>
        <w:t xml:space="preserve"> </w:t>
      </w:r>
      <w:r>
        <w:t xml:space="preserve">as</w:t>
      </w:r>
      <w:r>
        <w:t xml:space="preserve"> </w:t>
      </w:r>
      <m:oMath>
        <m:r>
          <m:t>t</m:t>
        </m:r>
        <m:r>
          <m:rPr>
            <m:sty m:val="p"/>
          </m:rPr>
          <m:t>→</m:t>
        </m:r>
        <m:r>
          <m:rPr>
            <m:sty m:val="p"/>
          </m:rPr>
          <m:t>∞</m:t>
        </m:r>
      </m:oMath>
      <w:r>
        <w:t xml:space="preserve">. Consequently, the Kalman gain converges to a constant:</w:t>
      </w:r>
    </w:p>
    <w:p>
      <w:pPr>
        <w:pStyle w:val="BodyText"/>
      </w:pPr>
      <m:oMathPara>
        <m:oMathParaPr>
          <m:jc m:val="center"/>
        </m:oMathParaPr>
        <m:oMath>
          <m:sSub>
            <m:e>
              <m:r>
                <m:t>K</m:t>
              </m:r>
            </m:e>
            <m:sub>
              <m:r>
                <m:t>t</m:t>
              </m:r>
            </m:sub>
          </m:sSub>
          <m:r>
            <m:rPr>
              <m:sty m:val="p"/>
            </m:rPr>
            <m:t>→</m:t>
          </m:r>
          <m:sSub>
            <m:e>
              <m:r>
                <m:t>K</m:t>
              </m:r>
            </m:e>
            <m:sub>
              <m:r>
                <m:rPr>
                  <m:sty m:val="p"/>
                </m:rPr>
                <m:t>∞</m:t>
              </m:r>
            </m:sub>
          </m:sSub>
          <m:r>
            <m:rPr>
              <m:sty m:val="p"/>
            </m:rPr>
            <m:t>=</m:t>
          </m:r>
          <m:r>
            <m:t>α</m:t>
          </m:r>
        </m:oMath>
      </m:oMathPara>
    </w:p>
    <w:p>
      <w:pPr>
        <w:pStyle w:val="FirstParagraph"/>
      </w:pPr>
      <w:r>
        <w:t xml:space="preserve">Substituting this steady-state gain back into the measurement update equation yields:</w:t>
      </w:r>
    </w:p>
    <w:p>
      <w:pPr>
        <w:pStyle w:val="BodyText"/>
      </w:pPr>
      <m:oMathPara>
        <m:oMathParaPr>
          <m:jc m:val="center"/>
        </m:oMathParaPr>
        <m:oMath>
          <m:sSub>
            <m:e>
              <m:acc>
                <m:accPr>
                  <m:chr m:val="̂"/>
                </m:accPr>
                <m:e>
                  <m:r>
                    <m:t>x</m:t>
                  </m:r>
                </m:e>
              </m:acc>
            </m:e>
            <m:sub>
              <m:r>
                <m:t>t</m:t>
              </m:r>
              <m:r>
                <m:rPr>
                  <m:sty m:val="p"/>
                </m:rPr>
                <m:t>|</m:t>
              </m:r>
              <m:r>
                <m:t>t</m:t>
              </m:r>
            </m:sub>
          </m:sSub>
          <m:r>
            <m:rPr>
              <m:sty m:val="p"/>
            </m:rPr>
            <m:t>=</m:t>
          </m:r>
          <m:sSub>
            <m:e>
              <m:acc>
                <m:accPr>
                  <m:chr m:val="̂"/>
                </m:accPr>
                <m:e>
                  <m:r>
                    <m:t>x</m:t>
                  </m:r>
                </m:e>
              </m:acc>
            </m:e>
            <m:sub>
              <m:r>
                <m:t>t</m:t>
              </m:r>
              <m:r>
                <m:rPr>
                  <m:sty m:val="p"/>
                </m:rPr>
                <m:t>−</m:t>
              </m:r>
              <m:r>
                <m:t>1</m:t>
              </m:r>
              <m:r>
                <m:rPr>
                  <m:sty m:val="p"/>
                </m:rPr>
                <m:t>|</m:t>
              </m:r>
              <m:r>
                <m:t>t</m:t>
              </m:r>
              <m:r>
                <m:rPr>
                  <m:sty m:val="p"/>
                </m:rPr>
                <m:t>−</m:t>
              </m:r>
              <m:r>
                <m:t>1</m:t>
              </m:r>
            </m:sub>
          </m:sSub>
          <m:r>
            <m:rPr>
              <m:sty m:val="p"/>
            </m:rPr>
            <m:t>+</m:t>
          </m:r>
          <m:r>
            <m:t>α</m:t>
          </m:r>
          <m:d>
            <m:dPr>
              <m:begChr m:val="("/>
              <m:sepChr m:val=""/>
              <m:endChr m:val=")"/>
              <m:grow/>
            </m:dPr>
            <m:e>
              <m:sSub>
                <m:e>
                  <m:acc>
                    <m:accPr>
                      <m:chr m:val="‾"/>
                    </m:accPr>
                    <m:e>
                      <m:r>
                        <m:t>ϵ</m:t>
                      </m:r>
                    </m:e>
                  </m:acc>
                </m:e>
                <m:sub>
                  <m:r>
                    <m:t>t</m:t>
                  </m:r>
                </m:sub>
              </m:sSub>
              <m:r>
                <m:rPr>
                  <m:sty m:val="p"/>
                </m:rPr>
                <m:t>−</m:t>
              </m:r>
              <m:sSub>
                <m:e>
                  <m:acc>
                    <m:accPr>
                      <m:chr m:val="̂"/>
                    </m:accPr>
                    <m:e>
                      <m:r>
                        <m:t>x</m:t>
                      </m:r>
                    </m:e>
                  </m:acc>
                </m:e>
                <m:sub>
                  <m:r>
                    <m:t>t</m:t>
                  </m:r>
                  <m:r>
                    <m:rPr>
                      <m:sty m:val="p"/>
                    </m:rPr>
                    <m:t>−</m:t>
                  </m:r>
                  <m:r>
                    <m:t>1</m:t>
                  </m:r>
                  <m:r>
                    <m:rPr>
                      <m:sty m:val="p"/>
                    </m:rPr>
                    <m:t>|</m:t>
                  </m:r>
                  <m:r>
                    <m:t>t</m:t>
                  </m:r>
                  <m:r>
                    <m:rPr>
                      <m:sty m:val="p"/>
                    </m:rPr>
                    <m:t>−</m:t>
                  </m:r>
                  <m:r>
                    <m:t>1</m:t>
                  </m:r>
                </m:sub>
              </m:sSub>
            </m:e>
          </m:d>
        </m:oMath>
      </m:oMathPara>
    </w:p>
    <w:p>
      <w:pPr>
        <w:pStyle w:val="FirstParagraph"/>
      </w:pPr>
      <m:oMathPara>
        <m:oMathParaPr>
          <m:jc m:val="center"/>
        </m:oMathParaPr>
        <m:oMath>
          <m:sSub>
            <m:e>
              <m:acc>
                <m:accPr>
                  <m:chr m:val="̂"/>
                </m:accPr>
                <m:e>
                  <m:r>
                    <m:t>x</m:t>
                  </m:r>
                </m:e>
              </m:acc>
            </m:e>
            <m:sub>
              <m:r>
                <m:t>t</m:t>
              </m:r>
              <m:r>
                <m:rPr>
                  <m:sty m:val="p"/>
                </m:rPr>
                <m:t>|</m:t>
              </m:r>
              <m:r>
                <m:t>t</m:t>
              </m:r>
            </m:sub>
          </m:sSub>
          <m:r>
            <m:rPr>
              <m:sty m:val="p"/>
            </m:rPr>
            <m:t>=</m:t>
          </m:r>
          <m:r>
            <m:t>α</m:t>
          </m:r>
          <m:sSub>
            <m:e>
              <m:acc>
                <m:accPr>
                  <m:chr m:val="‾"/>
                </m:accPr>
                <m:e>
                  <m:r>
                    <m:t>ϵ</m:t>
                  </m:r>
                </m:e>
              </m:acc>
            </m:e>
            <m:sub>
              <m:r>
                <m:t>t</m:t>
              </m:r>
            </m:sub>
          </m:sSub>
          <m:r>
            <m:rPr>
              <m:sty m:val="p"/>
            </m:rPr>
            <m:t>+</m:t>
          </m:r>
          <m:r>
            <m:rPr>
              <m:sty m:val="p"/>
            </m:rPr>
            <m:t>(</m:t>
          </m:r>
          <m:r>
            <m:t>1</m:t>
          </m:r>
          <m:r>
            <m:rPr>
              <m:sty m:val="p"/>
            </m:rPr>
            <m:t>−</m:t>
          </m:r>
          <m:r>
            <m:t>α</m:t>
          </m:r>
          <m:r>
            <m:rPr>
              <m:sty m:val="p"/>
            </m:rPr>
            <m:t>)</m:t>
          </m:r>
          <m:sSub>
            <m:e>
              <m:acc>
                <m:accPr>
                  <m:chr m:val="̂"/>
                </m:accPr>
                <m:e>
                  <m:r>
                    <m:t>x</m:t>
                  </m:r>
                </m:e>
              </m:acc>
            </m:e>
            <m:sub>
              <m:r>
                <m:t>t</m:t>
              </m:r>
              <m:r>
                <m:rPr>
                  <m:sty m:val="p"/>
                </m:rPr>
                <m:t>−</m:t>
              </m:r>
              <m:r>
                <m:t>1</m:t>
              </m:r>
              <m:r>
                <m:rPr>
                  <m:sty m:val="p"/>
                </m:rPr>
                <m:t>|</m:t>
              </m:r>
              <m:r>
                <m:t>t</m:t>
              </m:r>
              <m:r>
                <m:rPr>
                  <m:sty m:val="p"/>
                </m:rPr>
                <m:t>−</m:t>
              </m:r>
              <m:r>
                <m:t>1</m:t>
              </m:r>
            </m:sub>
          </m:sSub>
        </m:oMath>
      </m:oMathPara>
    </w:p>
    <w:p>
      <w:pPr>
        <w:pStyle w:val="FirstParagraph"/>
      </w:pPr>
      <w:r>
        <w:t xml:space="preserve">By defining the state estimate</w:t>
      </w:r>
      <w:r>
        <w:t xml:space="preserve"> </w:t>
      </w:r>
      <m:oMath>
        <m:sSub>
          <m:e>
            <m:acc>
              <m:accPr>
                <m:chr m:val="̂"/>
              </m:accPr>
              <m:e>
                <m:r>
                  <m:t>x</m:t>
                </m:r>
              </m:e>
            </m:acc>
          </m:e>
          <m:sub>
            <m:r>
              <m:t>t</m:t>
            </m:r>
            <m:r>
              <m:rPr>
                <m:sty m:val="p"/>
              </m:rPr>
              <m:t>|</m:t>
            </m:r>
            <m:r>
              <m:t>t</m:t>
            </m:r>
          </m:sub>
        </m:sSub>
      </m:oMath>
      <w:r>
        <w:t xml:space="preserve"> </w:t>
      </w:r>
      <w:r>
        <w:t xml:space="preserve">as our bias correction term</w:t>
      </w:r>
      <w:r>
        <w:t xml:space="preserve"> </w:t>
      </w:r>
      <m:oMath>
        <m:sSub>
          <m:e>
            <m:r>
              <m:t>b</m:t>
            </m:r>
          </m:e>
          <m:sub>
            <m:r>
              <m:t>t</m:t>
            </m:r>
          </m:sub>
        </m:sSub>
      </m:oMath>
      <w:r>
        <w:t xml:space="preserve">, we recover the exact update equation of the TIDE mechanism:</w:t>
      </w:r>
    </w:p>
    <w:p>
      <w:pPr>
        <w:pStyle w:val="BodyText"/>
      </w:pPr>
      <m:oMathPara>
        <m:oMathParaPr>
          <m:jc m:val="center"/>
        </m:oMathParaPr>
        <m:oMath>
          <m:sSub>
            <m:e>
              <m:r>
                <m:t>b</m:t>
              </m:r>
            </m:e>
            <m:sub>
              <m:r>
                <m:t>t</m:t>
              </m:r>
            </m:sub>
          </m:sSub>
          <m:r>
            <m:rPr>
              <m:sty m:val="p"/>
            </m:rPr>
            <m:t>=</m:t>
          </m:r>
          <m:r>
            <m:t>α</m:t>
          </m:r>
          <m:sSub>
            <m:e>
              <m:acc>
                <m:accPr>
                  <m:chr m:val="‾"/>
                </m:accPr>
                <m:e>
                  <m:r>
                    <m:t>ϵ</m:t>
                  </m:r>
                </m:e>
              </m:acc>
            </m:e>
            <m:sub>
              <m:r>
                <m:t>t</m:t>
              </m:r>
            </m:sub>
          </m:sSub>
          <m:r>
            <m:rPr>
              <m:sty m:val="p"/>
            </m:rPr>
            <m:t>+</m:t>
          </m:r>
          <m:r>
            <m:rPr>
              <m:sty m:val="p"/>
            </m:rPr>
            <m:t>(</m:t>
          </m:r>
          <m:r>
            <m:t>1</m:t>
          </m:r>
          <m:r>
            <m:rPr>
              <m:sty m:val="p"/>
            </m:rPr>
            <m:t>−</m:t>
          </m:r>
          <m:r>
            <m:t>α</m:t>
          </m:r>
          <m:r>
            <m:rPr>
              <m:sty m:val="p"/>
            </m:rPr>
            <m:t>)</m:t>
          </m:r>
          <m:sSub>
            <m:e>
              <m:r>
                <m:t>b</m:t>
              </m:r>
            </m:e>
            <m:sub>
              <m:r>
                <m:t>t</m:t>
              </m:r>
              <m:r>
                <m:rPr>
                  <m:sty m:val="p"/>
                </m:rPr>
                <m:t>−</m:t>
              </m:r>
              <m:r>
                <m:t>1</m:t>
              </m:r>
            </m:sub>
          </m:sSub>
        </m:oMath>
      </m:oMathPara>
    </w:p>
    <w:p>
      <w:pPr>
        <w:pStyle w:val="FirstParagraph"/>
      </w:pPr>
      <w:r>
        <w:t xml:space="preserve">This derivation reveals two important theoretical insights:</w:t>
      </w:r>
      <w:r>
        <w:t xml:space="preserve"> </w:t>
      </w:r>
      <w:r>
        <w:t xml:space="preserve">1.</w:t>
      </w:r>
      <w:r>
        <w:t xml:space="preserve"> </w:t>
      </w:r>
      <w:r>
        <w:rPr>
          <w:b/>
          <w:bCs/>
        </w:rPr>
        <w:t xml:space="preserve">Optimality</w:t>
      </w:r>
      <w:r>
        <w:t xml:space="preserve">: The EMA correction is the optimal recursive estimator for a random-walk bias signal corrupted by white noise.</w:t>
      </w:r>
      <w:r>
        <w:t xml:space="preserve"> </w:t>
      </w:r>
      <w:r>
        <w:t xml:space="preserve">2.</w:t>
      </w:r>
      <w:r>
        <w:t xml:space="preserve"> </w:t>
      </w:r>
      <w:r>
        <w:rPr>
          <w:b/>
          <w:bCs/>
        </w:rPr>
        <w:t xml:space="preserve">Robustness Over Dynamic Kalman Filters</w:t>
      </w:r>
      <w:r>
        <w:t xml:space="preserve">: A fully dynamic Kalman filter requires the online estimation of</w:t>
      </w:r>
      <w:r>
        <w:t xml:space="preserve"> </w:t>
      </w:r>
      <m:oMath>
        <m:sSubSup>
          <m:e>
            <m:r>
              <m:t>σ</m:t>
            </m:r>
          </m:e>
          <m:sub>
            <m:r>
              <m:t>w</m:t>
            </m:r>
          </m:sub>
          <m:sup>
            <m:r>
              <m:t>2</m:t>
            </m:r>
          </m:sup>
        </m:sSubSup>
      </m:oMath>
      <w:r>
        <w:t xml:space="preserve"> </w:t>
      </w:r>
      <w:r>
        <w:t xml:space="preserve">and</w:t>
      </w:r>
      <w:r>
        <w:t xml:space="preserve"> </w:t>
      </w:r>
      <m:oMath>
        <m:sSubSup>
          <m:e>
            <m:r>
              <m:t>σ</m:t>
            </m:r>
          </m:e>
          <m:sub>
            <m:r>
              <m:t>v</m:t>
            </m:r>
          </m:sub>
          <m:sup>
            <m:r>
              <m:t>2</m:t>
            </m:r>
          </m:sup>
        </m:sSubSup>
      </m:oMath>
      <w:r>
        <w:t xml:space="preserve">. In load forecasting, high daily noise causes these variance estimates to fluctuate wildly, leading to overfitting and tracking errors (as demonstrated in Section VII-C). By fixing</w:t>
      </w:r>
      <w:r>
        <w:t xml:space="preserve"> </w:t>
      </w:r>
      <m:oMath>
        <m:r>
          <m:t>α</m:t>
        </m:r>
      </m:oMath>
      <w:r>
        <w:t xml:space="preserve"> </w:t>
      </w:r>
      <w:r>
        <w:t xml:space="preserve">(which represents a steady-state ratio between drift velocity and daily noise), TIDE acts as a robust constant-gain Kalman filter, bypassing parameter estimation noise.</w:t>
      </w:r>
    </w:p>
    <w:p>
      <w:r>
        <w:pict>
          <v:rect style="width:0;height:1.5pt" o:hralign="center" o:hrstd="t" o:hr="t"/>
        </w:pict>
      </w:r>
    </w:p>
    <w:bookmarkEnd w:id="35"/>
    <w:bookmarkEnd w:id="36"/>
    <w:bookmarkStart w:id="51" w:name="vii.-experimental-results-and-discussion"/>
    <w:p>
      <w:pPr>
        <w:pStyle w:val="Heading2"/>
      </w:pPr>
      <w:r>
        <w:t xml:space="preserve">VII. Experimental Results and Discussion</w:t>
      </w:r>
    </w:p>
    <w:bookmarkStart w:id="37" w:name="a.-main-effect-of-tide"/>
    <w:p>
      <w:pPr>
        <w:pStyle w:val="Heading3"/>
      </w:pPr>
      <w:r>
        <w:t xml:space="preserve">A. Main Effect of TIDE</w:t>
      </w:r>
    </w:p>
    <w:p>
      <w:pPr>
        <w:pStyle w:val="FirstParagraph"/>
      </w:pPr>
      <w:r>
        <w:t xml:space="preserve">We evaluate the proposed TIDE mechanism against the baseline DLinear model across the 6 cross-validation folds. To ensure a fair comparison, we report three core metrics: Mean Absolute Error (MAE), Mean Absolute Percentage Error (MAPE), and Systematic Bias (defined as the mean residual error, representing under- or over-forecasting). The results are summarized in Table V.</w:t>
      </w:r>
    </w:p>
    <w:bookmarkEnd w:id="37"/>
    <w:bookmarkStart w:id="38" w:name="Xcc8369b72ff746045840d2a8479c30bb0521911"/>
    <w:p>
      <w:pPr>
        <w:pStyle w:val="Heading3"/>
      </w:pPr>
      <w:r>
        <w:t xml:space="preserve">Table V: Fold-by-Fold Performance (DLinear vs. DLinear + TIDE)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Fold</w:t>
            </w:r>
          </w:p>
        </w:tc>
        <w:tc>
          <w:tcPr/>
          <w:p>
            <w:pPr>
              <w:pStyle w:val="Compact"/>
              <w:jc w:val="center"/>
            </w:pPr>
            <w:r>
              <w:t xml:space="preserve">Test Period</w:t>
            </w:r>
          </w:p>
        </w:tc>
        <w:tc>
          <w:tcPr/>
          <w:p>
            <w:pPr>
              <w:pStyle w:val="Compact"/>
              <w:jc w:val="center"/>
            </w:pPr>
            <w:r>
              <w:t xml:space="preserve">DLinear MAE (MW)</w:t>
            </w:r>
          </w:p>
        </w:tc>
        <w:tc>
          <w:tcPr/>
          <w:p>
            <w:pPr>
              <w:pStyle w:val="Compact"/>
              <w:jc w:val="center"/>
            </w:pPr>
            <w:r>
              <w:t xml:space="preserve">DLinear MAPE (%)</w:t>
            </w:r>
          </w:p>
        </w:tc>
        <w:tc>
          <w:tcPr/>
          <w:p>
            <w:pPr>
              <w:pStyle w:val="Compact"/>
              <w:jc w:val="center"/>
            </w:pPr>
            <w:r>
              <w:t xml:space="preserve">DLinear Bias (MW)</w:t>
            </w:r>
          </w:p>
        </w:tc>
        <w:tc>
          <w:tcPr/>
          <w:p>
            <w:pPr>
              <w:pStyle w:val="Compact"/>
              <w:jc w:val="center"/>
            </w:pPr>
            <w:r>
              <w:t xml:space="preserve">+ TIDE MAE (MW)</w:t>
            </w:r>
          </w:p>
        </w:tc>
        <w:tc>
          <w:tcPr/>
          <w:p>
            <w:pPr>
              <w:pStyle w:val="Compact"/>
              <w:jc w:val="center"/>
            </w:pPr>
            <w:r>
              <w:t xml:space="preserve">+ TIDE MAPE (%)</w:t>
            </w:r>
          </w:p>
        </w:tc>
        <w:tc>
          <w:tcPr/>
          <w:p>
            <w:pPr>
              <w:pStyle w:val="Compact"/>
              <w:jc w:val="center"/>
            </w:pPr>
            <w:r>
              <w:t xml:space="preserve">+ TIDE Bias (MW)</w:t>
            </w:r>
          </w:p>
        </w:tc>
        <w:tc>
          <w:tcPr/>
          <w:p>
            <w:pPr>
              <w:pStyle w:val="Compact"/>
              <w:jc w:val="center"/>
            </w:pPr>
            <w:r>
              <w:t xml:space="preserve">Relative MAE Change</w:t>
            </w:r>
          </w:p>
        </w:tc>
      </w:tr>
      <w:tr>
        <w:tc>
          <w:tcPr/>
          <w:p>
            <w:pPr>
              <w:pStyle w:val="Compact"/>
              <w:jc w:val="center"/>
            </w:pPr>
            <w:r>
              <w:t xml:space="preserve">Fold 1</w:t>
            </w:r>
          </w:p>
        </w:tc>
        <w:tc>
          <w:tcPr/>
          <w:p>
            <w:pPr>
              <w:pStyle w:val="Compact"/>
              <w:jc w:val="center"/>
            </w:pPr>
            <w:r>
              <w:t xml:space="preserve">2021</w:t>
            </w:r>
          </w:p>
        </w:tc>
        <w:tc>
          <w:tcPr/>
          <w:p>
            <w:pPr>
              <w:pStyle w:val="Compact"/>
              <w:jc w:val="center"/>
            </w:pPr>
            <w:r>
              <w:t xml:space="preserve">77.3</w:t>
            </w:r>
          </w:p>
        </w:tc>
        <w:tc>
          <w:tcPr/>
          <w:p>
            <w:pPr>
              <w:pStyle w:val="Compact"/>
              <w:jc w:val="center"/>
            </w:pPr>
            <w:r>
              <w:t xml:space="preserve">3.22%</w:t>
            </w:r>
          </w:p>
        </w:tc>
        <w:tc>
          <w:tcPr/>
          <w:p>
            <w:pPr>
              <w:pStyle w:val="Compact"/>
              <w:jc w:val="center"/>
            </w:pPr>
            <w:r>
              <w:t xml:space="preserve">-14.6</w:t>
            </w:r>
          </w:p>
        </w:tc>
        <w:tc>
          <w:tcPr/>
          <w:p>
            <w:pPr>
              <w:pStyle w:val="Compact"/>
              <w:jc w:val="center"/>
            </w:pPr>
            <w:r>
              <w:t xml:space="preserve">63.1</w:t>
            </w:r>
          </w:p>
        </w:tc>
        <w:tc>
          <w:tcPr/>
          <w:p>
            <w:pPr>
              <w:pStyle w:val="Compact"/>
              <w:jc w:val="center"/>
            </w:pPr>
            <w:r>
              <w:t xml:space="preserve">2.63%</w:t>
            </w:r>
          </w:p>
        </w:tc>
        <w:tc>
          <w:tcPr/>
          <w:p>
            <w:pPr>
              <w:pStyle w:val="Compact"/>
              <w:jc w:val="center"/>
            </w:pPr>
            <w:r>
              <w:t xml:space="preserve">-1.8</w:t>
            </w:r>
          </w:p>
        </w:tc>
        <w:tc>
          <w:tcPr/>
          <w:p>
            <w:pPr>
              <w:pStyle w:val="Compact"/>
              <w:jc w:val="center"/>
            </w:pPr>
            <w:r>
              <w:t xml:space="preserve">-18.4%</w:t>
            </w:r>
          </w:p>
        </w:tc>
      </w:tr>
      <w:tr>
        <w:tc>
          <w:tcPr/>
          <w:p>
            <w:pPr>
              <w:pStyle w:val="Compact"/>
              <w:jc w:val="center"/>
            </w:pPr>
            <w:r>
              <w:t xml:space="preserve">Fold 2</w:t>
            </w:r>
          </w:p>
        </w:tc>
        <w:tc>
          <w:tcPr/>
          <w:p>
            <w:pPr>
              <w:pStyle w:val="Compact"/>
              <w:jc w:val="center"/>
            </w:pPr>
            <w:r>
              <w:t xml:space="preserve">2022</w:t>
            </w:r>
          </w:p>
        </w:tc>
        <w:tc>
          <w:tcPr/>
          <w:p>
            <w:pPr>
              <w:pStyle w:val="Compact"/>
              <w:jc w:val="center"/>
            </w:pPr>
            <w:r>
              <w:t xml:space="preserve">81.6</w:t>
            </w:r>
          </w:p>
        </w:tc>
        <w:tc>
          <w:tcPr/>
          <w:p>
            <w:pPr>
              <w:pStyle w:val="Compact"/>
              <w:jc w:val="center"/>
            </w:pPr>
            <w:r>
              <w:t xml:space="preserve">3.31%</w:t>
            </w:r>
          </w:p>
        </w:tc>
        <w:tc>
          <w:tcPr/>
          <w:p>
            <w:pPr>
              <w:pStyle w:val="Compact"/>
              <w:jc w:val="center"/>
            </w:pPr>
            <w:r>
              <w:t xml:space="preserve">-15.8</w:t>
            </w:r>
          </w:p>
        </w:tc>
        <w:tc>
          <w:tcPr/>
          <w:p>
            <w:pPr>
              <w:pStyle w:val="Compact"/>
              <w:jc w:val="center"/>
            </w:pPr>
            <w:r>
              <w:t xml:space="preserve">66.2</w:t>
            </w:r>
          </w:p>
        </w:tc>
        <w:tc>
          <w:tcPr/>
          <w:p>
            <w:pPr>
              <w:pStyle w:val="Compact"/>
              <w:jc w:val="center"/>
            </w:pPr>
            <w:r>
              <w:t xml:space="preserve">2.68%</w:t>
            </w:r>
          </w:p>
        </w:tc>
        <w:tc>
          <w:tcPr/>
          <w:p>
            <w:pPr>
              <w:pStyle w:val="Compact"/>
              <w:jc w:val="center"/>
            </w:pPr>
            <w:r>
              <w:t xml:space="preserve">-2.1</w:t>
            </w:r>
          </w:p>
        </w:tc>
        <w:tc>
          <w:tcPr/>
          <w:p>
            <w:pPr>
              <w:pStyle w:val="Compact"/>
              <w:jc w:val="center"/>
            </w:pPr>
            <w:r>
              <w:t xml:space="preserve">-18.9%</w:t>
            </w:r>
          </w:p>
        </w:tc>
      </w:tr>
      <w:tr>
        <w:tc>
          <w:tcPr/>
          <w:p>
            <w:pPr>
              <w:pStyle w:val="Compact"/>
              <w:jc w:val="center"/>
            </w:pPr>
            <w:r>
              <w:t xml:space="preserve">Fold 3</w:t>
            </w:r>
          </w:p>
        </w:tc>
        <w:tc>
          <w:tcPr/>
          <w:p>
            <w:pPr>
              <w:pStyle w:val="Compact"/>
              <w:jc w:val="center"/>
            </w:pPr>
            <w:r>
              <w:t xml:space="preserve">2023</w:t>
            </w:r>
          </w:p>
        </w:tc>
        <w:tc>
          <w:tcPr/>
          <w:p>
            <w:pPr>
              <w:pStyle w:val="Compact"/>
              <w:jc w:val="center"/>
            </w:pPr>
            <w:r>
              <w:t xml:space="preserve">86.9</w:t>
            </w:r>
          </w:p>
        </w:tc>
        <w:tc>
          <w:tcPr/>
          <w:p>
            <w:pPr>
              <w:pStyle w:val="Compact"/>
              <w:jc w:val="center"/>
            </w:pPr>
            <w:r>
              <w:t xml:space="preserve">3.48%</w:t>
            </w:r>
          </w:p>
        </w:tc>
        <w:tc>
          <w:tcPr/>
          <w:p>
            <w:pPr>
              <w:pStyle w:val="Compact"/>
              <w:jc w:val="center"/>
            </w:pPr>
            <w:r>
              <w:t xml:space="preserve">-17.2</w:t>
            </w:r>
          </w:p>
        </w:tc>
        <w:tc>
          <w:tcPr/>
          <w:p>
            <w:pPr>
              <w:pStyle w:val="Compact"/>
              <w:jc w:val="center"/>
            </w:pPr>
            <w:r>
              <w:t xml:space="preserve">69.9</w:t>
            </w:r>
          </w:p>
        </w:tc>
        <w:tc>
          <w:tcPr/>
          <w:p>
            <w:pPr>
              <w:pStyle w:val="Compact"/>
              <w:jc w:val="center"/>
            </w:pPr>
            <w:r>
              <w:t xml:space="preserve">2.80%</w:t>
            </w:r>
          </w:p>
        </w:tc>
        <w:tc>
          <w:tcPr/>
          <w:p>
            <w:pPr>
              <w:pStyle w:val="Compact"/>
              <w:jc w:val="center"/>
            </w:pPr>
            <w:r>
              <w:t xml:space="preserve">-2.0</w:t>
            </w:r>
          </w:p>
        </w:tc>
        <w:tc>
          <w:tcPr/>
          <w:p>
            <w:pPr>
              <w:pStyle w:val="Compact"/>
              <w:jc w:val="center"/>
            </w:pPr>
            <w:r>
              <w:t xml:space="preserve">-19.6%</w:t>
            </w:r>
          </w:p>
        </w:tc>
      </w:tr>
      <w:tr>
        <w:tc>
          <w:tcPr/>
          <w:p>
            <w:pPr>
              <w:pStyle w:val="Compact"/>
              <w:jc w:val="center"/>
            </w:pPr>
            <w:r>
              <w:t xml:space="preserve">Fold 4</w:t>
            </w:r>
          </w:p>
        </w:tc>
        <w:tc>
          <w:tcPr/>
          <w:p>
            <w:pPr>
              <w:pStyle w:val="Compact"/>
              <w:jc w:val="center"/>
            </w:pPr>
            <w:r>
              <w:t xml:space="preserve">2024</w:t>
            </w:r>
          </w:p>
        </w:tc>
        <w:tc>
          <w:tcPr/>
          <w:p>
            <w:pPr>
              <w:pStyle w:val="Compact"/>
              <w:jc w:val="center"/>
            </w:pPr>
            <w:r>
              <w:t xml:space="preserve">93.6</w:t>
            </w:r>
          </w:p>
        </w:tc>
        <w:tc>
          <w:tcPr/>
          <w:p>
            <w:pPr>
              <w:pStyle w:val="Compact"/>
              <w:jc w:val="center"/>
            </w:pPr>
            <w:r>
              <w:t xml:space="preserve">3.72%</w:t>
            </w:r>
          </w:p>
        </w:tc>
        <w:tc>
          <w:tcPr/>
          <w:p>
            <w:pPr>
              <w:pStyle w:val="Compact"/>
              <w:jc w:val="center"/>
            </w:pPr>
            <w:r>
              <w:t xml:space="preserve">-18.9</w:t>
            </w:r>
          </w:p>
        </w:tc>
        <w:tc>
          <w:tcPr/>
          <w:p>
            <w:pPr>
              <w:pStyle w:val="Compact"/>
              <w:jc w:val="center"/>
            </w:pPr>
            <w:r>
              <w:t xml:space="preserve">77.9</w:t>
            </w:r>
          </w:p>
        </w:tc>
        <w:tc>
          <w:tcPr/>
          <w:p>
            <w:pPr>
              <w:pStyle w:val="Compact"/>
              <w:jc w:val="center"/>
            </w:pPr>
            <w:r>
              <w:t xml:space="preserve">3.10%</w:t>
            </w:r>
          </w:p>
        </w:tc>
        <w:tc>
          <w:tcPr/>
          <w:p>
            <w:pPr>
              <w:pStyle w:val="Compact"/>
              <w:jc w:val="center"/>
            </w:pPr>
            <w:r>
              <w:t xml:space="preserve">-2.4</w:t>
            </w:r>
          </w:p>
        </w:tc>
        <w:tc>
          <w:tcPr/>
          <w:p>
            <w:pPr>
              <w:pStyle w:val="Compact"/>
              <w:jc w:val="center"/>
            </w:pPr>
            <w:r>
              <w:t xml:space="preserve">-16.8%</w:t>
            </w:r>
          </w:p>
        </w:tc>
      </w:tr>
      <w:tr>
        <w:tc>
          <w:tcPr/>
          <w:p>
            <w:pPr>
              <w:pStyle w:val="Compact"/>
              <w:jc w:val="center"/>
            </w:pPr>
            <w:r>
              <w:t xml:space="preserve">Fold 5</w:t>
            </w:r>
          </w:p>
        </w:tc>
        <w:tc>
          <w:tcPr/>
          <w:p>
            <w:pPr>
              <w:pStyle w:val="Compact"/>
              <w:jc w:val="center"/>
            </w:pPr>
            <w:r>
              <w:t xml:space="preserve">2025</w:t>
            </w:r>
          </w:p>
        </w:tc>
        <w:tc>
          <w:tcPr/>
          <w:p>
            <w:pPr>
              <w:pStyle w:val="Compact"/>
              <w:jc w:val="center"/>
            </w:pPr>
            <w:r>
              <w:t xml:space="preserve">103.0</w:t>
            </w:r>
          </w:p>
        </w:tc>
        <w:tc>
          <w:tcPr/>
          <w:p>
            <w:pPr>
              <w:pStyle w:val="Compact"/>
              <w:jc w:val="center"/>
            </w:pPr>
            <w:r>
              <w:t xml:space="preserve">4.01%</w:t>
            </w:r>
          </w:p>
        </w:tc>
        <w:tc>
          <w:tcPr/>
          <w:p>
            <w:pPr>
              <w:pStyle w:val="Compact"/>
              <w:jc w:val="center"/>
            </w:pPr>
            <w:r>
              <w:t xml:space="preserve">-20.5</w:t>
            </w:r>
          </w:p>
        </w:tc>
        <w:tc>
          <w:tcPr/>
          <w:p>
            <w:pPr>
              <w:pStyle w:val="Compact"/>
              <w:jc w:val="center"/>
            </w:pPr>
            <w:r>
              <w:t xml:space="preserve">82.7</w:t>
            </w:r>
          </w:p>
        </w:tc>
        <w:tc>
          <w:tcPr/>
          <w:p>
            <w:pPr>
              <w:pStyle w:val="Compact"/>
              <w:jc w:val="center"/>
            </w:pPr>
            <w:r>
              <w:t xml:space="preserve">3.22%</w:t>
            </w:r>
          </w:p>
        </w:tc>
        <w:tc>
          <w:tcPr/>
          <w:p>
            <w:pPr>
              <w:pStyle w:val="Compact"/>
              <w:jc w:val="center"/>
            </w:pPr>
            <w:r>
              <w:t xml:space="preserve">-2.6</w:t>
            </w:r>
          </w:p>
        </w:tc>
        <w:tc>
          <w:tcPr/>
          <w:p>
            <w:pPr>
              <w:pStyle w:val="Compact"/>
              <w:jc w:val="center"/>
            </w:pPr>
            <w:r>
              <w:t xml:space="preserve">-19.7%</w:t>
            </w:r>
          </w:p>
        </w:tc>
      </w:tr>
      <w:tr>
        <w:tc>
          <w:tcPr/>
          <w:p>
            <w:pPr>
              <w:pStyle w:val="Compact"/>
              <w:jc w:val="center"/>
            </w:pPr>
            <w:r>
              <w:t xml:space="preserve">Fold 6</w:t>
            </w:r>
          </w:p>
        </w:tc>
        <w:tc>
          <w:tcPr/>
          <w:p>
            <w:pPr>
              <w:pStyle w:val="Compact"/>
              <w:jc w:val="center"/>
            </w:pPr>
            <w:r>
              <w:t xml:space="preserve">2026 (H1)</w:t>
            </w:r>
          </w:p>
        </w:tc>
        <w:tc>
          <w:tcPr/>
          <w:p>
            <w:pPr>
              <w:pStyle w:val="Compact"/>
              <w:jc w:val="center"/>
            </w:pPr>
            <w:r>
              <w:t xml:space="preserve">120.7</w:t>
            </w:r>
          </w:p>
        </w:tc>
        <w:tc>
          <w:tcPr/>
          <w:p>
            <w:pPr>
              <w:pStyle w:val="Compact"/>
              <w:jc w:val="center"/>
            </w:pPr>
            <w:r>
              <w:t xml:space="preserve">4.22%</w:t>
            </w:r>
          </w:p>
        </w:tc>
        <w:tc>
          <w:tcPr/>
          <w:p>
            <w:pPr>
              <w:pStyle w:val="Compact"/>
              <w:jc w:val="center"/>
            </w:pPr>
            <w:r>
              <w:t xml:space="preserve">-22.3</w:t>
            </w:r>
          </w:p>
        </w:tc>
        <w:tc>
          <w:tcPr/>
          <w:p>
            <w:pPr>
              <w:pStyle w:val="Compact"/>
              <w:jc w:val="center"/>
            </w:pPr>
            <w:r>
              <w:t xml:space="preserve">95.5</w:t>
            </w:r>
          </w:p>
        </w:tc>
        <w:tc>
          <w:tcPr/>
          <w:p>
            <w:pPr>
              <w:pStyle w:val="Compact"/>
              <w:jc w:val="center"/>
            </w:pPr>
            <w:r>
              <w:t xml:space="preserve">3.33%</w:t>
            </w:r>
          </w:p>
        </w:tc>
        <w:tc>
          <w:tcPr/>
          <w:p>
            <w:pPr>
              <w:pStyle w:val="Compact"/>
              <w:jc w:val="center"/>
            </w:pPr>
            <w:r>
              <w:t xml:space="preserve">-3.1</w:t>
            </w:r>
          </w:p>
        </w:tc>
        <w:tc>
          <w:tcPr/>
          <w:p>
            <w:pPr>
              <w:pStyle w:val="Compact"/>
              <w:jc w:val="center"/>
            </w:pPr>
            <w:r>
              <w:t xml:space="preserve">-20.9%</w:t>
            </w:r>
          </w:p>
        </w:tc>
      </w:tr>
      <w:tr>
        <w:tc>
          <w:tcPr/>
          <w:p>
            <w:pPr>
              <w:pStyle w:val="Compact"/>
              <w:jc w:val="center"/>
            </w:pPr>
            <w:r>
              <w:rPr>
                <w:b/>
                <w:bCs/>
              </w:rPr>
              <w:t xml:space="preserve">Mean</w:t>
            </w:r>
          </w:p>
        </w:tc>
        <w:tc>
          <w:tcPr/>
          <w:p>
            <w:pPr>
              <w:pStyle w:val="Compact"/>
              <w:jc w:val="center"/>
            </w:pPr>
            <w:r>
              <w:rPr>
                <w:b/>
                <w:bCs/>
              </w:rPr>
              <w:t xml:space="preserve">All Folds</w:t>
            </w:r>
          </w:p>
        </w:tc>
        <w:tc>
          <w:tcPr/>
          <w:p>
            <w:pPr>
              <w:pStyle w:val="Compact"/>
              <w:jc w:val="center"/>
            </w:pPr>
            <w:r>
              <w:rPr>
                <w:b/>
                <w:bCs/>
              </w:rPr>
              <w:t xml:space="preserve">93.9</w:t>
            </w:r>
          </w:p>
        </w:tc>
        <w:tc>
          <w:tcPr/>
          <w:p>
            <w:pPr>
              <w:pStyle w:val="Compact"/>
              <w:jc w:val="center"/>
            </w:pPr>
            <w:r>
              <w:rPr>
                <w:b/>
                <w:bCs/>
              </w:rPr>
              <w:t xml:space="preserve">3.65%</w:t>
            </w:r>
          </w:p>
        </w:tc>
        <w:tc>
          <w:tcPr/>
          <w:p>
            <w:pPr>
              <w:pStyle w:val="Compact"/>
              <w:jc w:val="center"/>
            </w:pPr>
            <w:r>
              <w:rPr>
                <w:b/>
                <w:bCs/>
              </w:rPr>
              <w:t xml:space="preserve">-18.2</w:t>
            </w:r>
          </w:p>
        </w:tc>
        <w:tc>
          <w:tcPr/>
          <w:p>
            <w:pPr>
              <w:pStyle w:val="Compact"/>
              <w:jc w:val="center"/>
            </w:pPr>
            <w:r>
              <w:rPr>
                <w:b/>
                <w:bCs/>
              </w:rPr>
              <w:t xml:space="preserve">75.9</w:t>
            </w:r>
          </w:p>
        </w:tc>
        <w:tc>
          <w:tcPr/>
          <w:p>
            <w:pPr>
              <w:pStyle w:val="Compact"/>
              <w:jc w:val="center"/>
            </w:pPr>
            <w:r>
              <w:rPr>
                <w:b/>
                <w:bCs/>
              </w:rPr>
              <w:t xml:space="preserve">2.96%</w:t>
            </w:r>
          </w:p>
        </w:tc>
        <w:tc>
          <w:tcPr/>
          <w:p>
            <w:pPr>
              <w:pStyle w:val="Compact"/>
              <w:jc w:val="center"/>
            </w:pPr>
            <w:r>
              <w:rPr>
                <w:b/>
                <w:bCs/>
              </w:rPr>
              <w:t xml:space="preserve">-2.3</w:t>
            </w:r>
          </w:p>
        </w:tc>
        <w:tc>
          <w:tcPr/>
          <w:p>
            <w:pPr>
              <w:pStyle w:val="Compact"/>
              <w:jc w:val="center"/>
            </w:pPr>
            <w:r>
              <w:rPr>
                <w:b/>
                <w:bCs/>
              </w:rPr>
              <w:t xml:space="preserve">-19.2%</w:t>
            </w:r>
          </w:p>
        </w:tc>
      </w:tr>
    </w:tbl>
    <w:p>
      <w:pPr>
        <w:pStyle w:val="BodyText"/>
      </w:pPr>
      <w:r>
        <w:t xml:space="preserve">TIDE improves forecast accuracy across all 6 folds. The absolute error reduction is largest in Fold 6 (the most drifted period), where MAE decreases by 25.2 MW (-20.9%). Over all test periods, TIDE reduces the mean fold MAE from 93.9 MW to 75.9 MW—a relative improvement of 19.2%.</w:t>
      </w:r>
    </w:p>
    <w:p>
      <w:pPr>
        <w:pStyle w:val="BodyText"/>
      </w:pPr>
      <w:r>
        <w:t xml:space="preserve">Crucially, TIDE directly targets the systematic under-forecasting bias: the average bias across all folds drops from -18.2 MW to just -2.3 MW, representing an</w:t>
      </w:r>
      <w:r>
        <w:t xml:space="preserve"> </w:t>
      </w:r>
      <w:r>
        <w:rPr>
          <w:b/>
          <w:bCs/>
        </w:rPr>
        <w:t xml:space="preserve">87.3% reduction in systematic bias</w:t>
      </w:r>
      <w:r>
        <w:t xml:space="preserve">. This directly confirms that TIDE successfully neutralizes the drift signal.</w:t>
      </w:r>
    </w:p>
    <w:p>
      <w:pPr>
        <w:pStyle w:val="BodyText"/>
      </w:pPr>
      <w:r>
        <w:t xml:space="preserve">To evaluate statistical significance, we perform bootstrap resampling with 10,000 iterations to construct 95% confidence intervals (CI) for the mean MAE. The results are shown in Table VI.</w:t>
      </w:r>
    </w:p>
    <w:bookmarkEnd w:id="38"/>
    <w:bookmarkStart w:id="39" w:name="X3a595a89ec79c58e86e6c8de7a09ad94d943d78"/>
    <w:p>
      <w:pPr>
        <w:pStyle w:val="Heading3"/>
      </w:pPr>
      <w:r>
        <w:t xml:space="preserve">Table VI: Statistical Confidence Intervals (Bootstrap Resampling)</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Method</w:t>
            </w:r>
          </w:p>
        </w:tc>
        <w:tc>
          <w:tcPr/>
          <w:p>
            <w:pPr>
              <w:pStyle w:val="Compact"/>
              <w:jc w:val="center"/>
            </w:pPr>
            <w:r>
              <w:t xml:space="preserve">Mean MAE (MW)</w:t>
            </w:r>
          </w:p>
        </w:tc>
        <w:tc>
          <w:tcPr/>
          <w:p>
            <w:pPr>
              <w:pStyle w:val="Compact"/>
              <w:jc w:val="center"/>
            </w:pPr>
            <w:r>
              <w:t xml:space="preserve">95% Confidence Interval</w:t>
            </w:r>
          </w:p>
        </w:tc>
        <w:tc>
          <w:tcPr/>
          <w:p>
            <w:pPr>
              <w:pStyle w:val="Compact"/>
              <w:jc w:val="center"/>
            </w:pPr>
            <w:r>
              <w:t xml:space="preserve">Paired</w:t>
            </w:r>
            <w:r>
              <w:t xml:space="preserve"> </w:t>
            </w:r>
            <m:oMath>
              <m:r>
                <m:t>t</m:t>
              </m:r>
            </m:oMath>
            <w:r>
              <w:t xml:space="preserve">-test (</w:t>
            </w:r>
            <m:oMath>
              <m:r>
                <m:t>p</m:t>
              </m:r>
            </m:oMath>
            <w:r>
              <w:t xml:space="preserve">-value)</w:t>
            </w:r>
          </w:p>
        </w:tc>
      </w:tr>
      <w:tr>
        <w:tc>
          <w:tcPr/>
          <w:p>
            <w:pPr>
              <w:pStyle w:val="Compact"/>
              <w:jc w:val="left"/>
            </w:pPr>
            <w:r>
              <w:t xml:space="preserve">DLinear Baseline</w:t>
            </w:r>
          </w:p>
        </w:tc>
        <w:tc>
          <w:tcPr/>
          <w:p>
            <w:pPr>
              <w:pStyle w:val="Compact"/>
              <w:jc w:val="center"/>
            </w:pPr>
            <w:r>
              <w:t xml:space="preserve">93.9</w:t>
            </w:r>
          </w:p>
        </w:tc>
        <w:tc>
          <w:tcPr/>
          <w:p>
            <w:pPr>
              <w:pStyle w:val="Compact"/>
              <w:jc w:val="center"/>
            </w:pPr>
            <w:r>
              <w:t xml:space="preserve">[83.1, 106.1]</w:t>
            </w:r>
          </w:p>
        </w:tc>
        <w:tc>
          <w:tcPr/>
          <w:p>
            <w:pPr>
              <w:pStyle w:val="Compact"/>
              <w:jc w:val="center"/>
            </w:pPr>
            <w:r>
              <w:t xml:space="preserve">—</w:t>
            </w:r>
          </w:p>
        </w:tc>
      </w:tr>
      <w:tr>
        <w:tc>
          <w:tcPr/>
          <w:p>
            <w:pPr>
              <w:pStyle w:val="Compact"/>
              <w:jc w:val="left"/>
            </w:pPr>
            <w:r>
              <w:t xml:space="preserve">DLinear + TIDE (</w:t>
            </w:r>
            <m:oMath>
              <m:r>
                <m:t>α</m:t>
              </m:r>
              <m:r>
                <m:rPr>
                  <m:sty m:val="p"/>
                </m:rPr>
                <m:t>=</m:t>
              </m:r>
              <m:r>
                <m:t>0.3</m:t>
              </m:r>
            </m:oMath>
            <w:r>
              <w:t xml:space="preserve">)</w:t>
            </w:r>
          </w:p>
        </w:tc>
        <w:tc>
          <w:tcPr/>
          <w:p>
            <w:pPr>
              <w:pStyle w:val="Compact"/>
              <w:jc w:val="center"/>
            </w:pPr>
            <w:r>
              <w:t xml:space="preserve">75.9</w:t>
            </w:r>
          </w:p>
        </w:tc>
        <w:tc>
          <w:tcPr/>
          <w:p>
            <w:pPr>
              <w:pStyle w:val="Compact"/>
              <w:jc w:val="center"/>
            </w:pPr>
            <w:r>
              <w:t xml:space="preserve">[67.7, 85.2]</w:t>
            </w:r>
          </w:p>
        </w:tc>
        <w:tc>
          <w:tcPr/>
          <w:p>
            <w:pPr>
              <w:pStyle w:val="Compact"/>
              <w:jc w:val="center"/>
            </w:pPr>
            <m:oMath>
              <m:r>
                <m:rPr>
                  <m:sty m:val="p"/>
                </m:rPr>
                <m:t>&lt;</m:t>
              </m:r>
              <m:r>
                <m:t>0.001</m:t>
              </m:r>
            </m:oMath>
          </w:p>
        </w:tc>
      </w:tr>
    </w:tbl>
    <w:p>
      <w:pPr>
        <w:pStyle w:val="BodyText"/>
      </w:pPr>
      <w:r>
        <w:t xml:space="preserve">The confidence intervals do not overlap, and a paired</w:t>
      </w:r>
      <w:r>
        <w:t xml:space="preserve"> </w:t>
      </w:r>
      <m:oMath>
        <m:r>
          <m:t>t</m:t>
        </m:r>
      </m:oMath>
      <w:r>
        <w:t xml:space="preserve">-test confirms the improvement is highly significant (</w:t>
      </w:r>
      <m:oMath>
        <m:r>
          <m:t>p</m:t>
        </m:r>
        <m:r>
          <m:rPr>
            <m:sty m:val="p"/>
          </m:rPr>
          <m:t>&lt;</m:t>
        </m:r>
        <m:r>
          <m:t>0.001</m:t>
        </m:r>
      </m:oMath>
      <w:r>
        <w:t xml:space="preserve">).</w:t>
      </w:r>
    </w:p>
    <w:p>
      <w:r>
        <w:pict>
          <v:rect style="width:0;height:1.5pt" o:hralign="center" o:hrstd="t" o:hr="t"/>
        </w:pict>
      </w:r>
    </w:p>
    <w:bookmarkEnd w:id="39"/>
    <w:bookmarkStart w:id="40" w:name="X06b4c09ca740324e9098a7f6b0eca448cf25c47"/>
    <w:p>
      <w:pPr>
        <w:pStyle w:val="Heading3"/>
      </w:pPr>
      <w:r>
        <w:t xml:space="preserve">B. Generalization across Eleven Architectures</w:t>
      </w:r>
    </w:p>
    <w:p>
      <w:pPr>
        <w:pStyle w:val="FirstParagraph"/>
      </w:pPr>
      <w:r>
        <w:t xml:space="preserve">We test the robustness of TIDE by applying it to eleven different forecasting models, ranging from simple baselines to deep learning architectures. To ensure methodological fairness,</w:t>
      </w:r>
      <w:r>
        <w:t xml:space="preserve"> </w:t>
      </w:r>
      <w:r>
        <w:rPr>
          <w:b/>
          <w:bCs/>
        </w:rPr>
        <w:t xml:space="preserve">all comparison architectures were wrapped in the same Adaptive Normalization framework</w:t>
      </w:r>
      <w:r>
        <w:t xml:space="preserve"> </w:t>
      </w:r>
      <w:r>
        <w:t xml:space="preserve">during baseline evaluations. These evaluations use the ensemble prediction (mean prediction of the 6 folds) to assess generalization.</w:t>
      </w:r>
    </w:p>
    <w:bookmarkEnd w:id="40"/>
    <w:bookmarkStart w:id="41" w:name="X24b418abd386e6ae3d46650a0d9669a100257be"/>
    <w:p>
      <w:pPr>
        <w:pStyle w:val="Heading3"/>
      </w:pPr>
      <w:r>
        <w:t xml:space="preserve">Table VII: TIDE Generalization across Architectures (Ensemble Predictions)</w:t>
      </w:r>
    </w:p>
    <w:tbl>
      <w:tblPr>
        <w:tblStyle w:val="Table"/>
        <w:tblW w:type="pct" w:w="5000"/>
        <w:tblLayout w:type="fixed"/>
        <w:tblLook w:firstRow="1" w:lastRow="0" w:firstColumn="0" w:lastColumn="0" w:noHBand="0" w:noVBand="0" w:val="0020"/>
      </w:tblPr>
      <w:tblGrid>
        <w:gridCol w:w="960"/>
        <w:gridCol w:w="960"/>
        <w:gridCol w:w="1200"/>
        <w:gridCol w:w="1200"/>
        <w:gridCol w:w="1200"/>
        <w:gridCol w:w="1200"/>
        <w:gridCol w:w="1200"/>
      </w:tblGrid>
      <w:tr>
        <w:trPr>
          <w:tblHeader w:val="on"/>
        </w:trPr>
        <w:tc>
          <w:tcPr/>
          <w:p>
            <w:pPr>
              <w:pStyle w:val="Compact"/>
              <w:jc w:val="left"/>
            </w:pPr>
            <w:r>
              <w:t xml:space="preserve">Model Class</w:t>
            </w:r>
          </w:p>
        </w:tc>
        <w:tc>
          <w:tcPr/>
          <w:p>
            <w:pPr>
              <w:pStyle w:val="Compact"/>
              <w:jc w:val="left"/>
            </w:pPr>
            <w:r>
              <w:t xml:space="preserve">Base Model</w:t>
            </w:r>
          </w:p>
        </w:tc>
        <w:tc>
          <w:tcPr/>
          <w:p>
            <w:pPr>
              <w:pStyle w:val="Compact"/>
              <w:jc w:val="center"/>
            </w:pPr>
            <w:r>
              <w:t xml:space="preserve">Raw MAE (MW)</w:t>
            </w:r>
          </w:p>
        </w:tc>
        <w:tc>
          <w:tcPr/>
          <w:p>
            <w:pPr>
              <w:pStyle w:val="Compact"/>
              <w:jc w:val="center"/>
            </w:pPr>
            <w:r>
              <w:t xml:space="preserve">Raw Bias (MW)</w:t>
            </w:r>
          </w:p>
        </w:tc>
        <w:tc>
          <w:tcPr/>
          <w:p>
            <w:pPr>
              <w:pStyle w:val="Compact"/>
              <w:jc w:val="center"/>
            </w:pPr>
            <w:r>
              <w:t xml:space="preserve">+ TIDE MAE (MW)</w:t>
            </w:r>
          </w:p>
        </w:tc>
        <w:tc>
          <w:tcPr/>
          <w:p>
            <w:pPr>
              <w:pStyle w:val="Compact"/>
              <w:jc w:val="center"/>
            </w:pPr>
            <w:r>
              <w:t xml:space="preserve">+ TIDE Bias (MW)</w:t>
            </w:r>
          </w:p>
        </w:tc>
        <w:tc>
          <w:tcPr/>
          <w:p>
            <w:pPr>
              <w:pStyle w:val="Compact"/>
              <w:jc w:val="center"/>
            </w:pPr>
            <w:r>
              <w:t xml:space="preserve">MAE Improvement (%)</w:t>
            </w:r>
          </w:p>
        </w:tc>
      </w:tr>
      <w:tr>
        <w:tc>
          <w:tcPr/>
          <w:p>
            <w:pPr>
              <w:pStyle w:val="Compact"/>
              <w:jc w:val="left"/>
            </w:pPr>
            <w:r>
              <w:rPr>
                <w:b/>
                <w:bCs/>
              </w:rPr>
              <w:t xml:space="preserve">Linear Models</w:t>
            </w:r>
          </w:p>
        </w:tc>
        <w:tc>
          <w:tcPr/>
          <w:p>
            <w:pPr>
              <w:pStyle w:val="Compact"/>
              <w:jc w:val="left"/>
            </w:pPr>
            <w:r>
              <w:t xml:space="preserve">DLinear [1]</w:t>
            </w:r>
          </w:p>
        </w:tc>
        <w:tc>
          <w:tcPr/>
          <w:p>
            <w:pPr>
              <w:pStyle w:val="Compact"/>
              <w:jc w:val="center"/>
            </w:pPr>
            <w:r>
              <w:t xml:space="preserve">91.0</w:t>
            </w:r>
          </w:p>
        </w:tc>
        <w:tc>
          <w:tcPr/>
          <w:p>
            <w:pPr>
              <w:pStyle w:val="Compact"/>
              <w:jc w:val="center"/>
            </w:pPr>
            <w:r>
              <w:t xml:space="preserve">-17.5</w:t>
            </w:r>
          </w:p>
        </w:tc>
        <w:tc>
          <w:tcPr/>
          <w:p>
            <w:pPr>
              <w:pStyle w:val="Compact"/>
              <w:jc w:val="center"/>
            </w:pPr>
            <w:r>
              <w:t xml:space="preserve">67.0</w:t>
            </w:r>
          </w:p>
        </w:tc>
        <w:tc>
          <w:tcPr/>
          <w:p>
            <w:pPr>
              <w:pStyle w:val="Compact"/>
              <w:jc w:val="center"/>
            </w:pPr>
            <w:r>
              <w:t xml:space="preserve">-2.1</w:t>
            </w:r>
          </w:p>
        </w:tc>
        <w:tc>
          <w:tcPr/>
          <w:p>
            <w:pPr>
              <w:pStyle w:val="Compact"/>
              <w:jc w:val="center"/>
            </w:pPr>
            <w:r>
              <w:t xml:space="preserve">-26.4%</w:t>
            </w:r>
          </w:p>
        </w:tc>
      </w:tr>
      <w:tr>
        <w:tc>
          <w:tcPr/>
          <w:p>
            <w:pPr>
              <w:pStyle w:val="Compact"/>
            </w:pPr>
          </w:p>
        </w:tc>
        <w:tc>
          <w:tcPr/>
          <w:p>
            <w:pPr>
              <w:pStyle w:val="Compact"/>
              <w:jc w:val="left"/>
            </w:pPr>
            <w:r>
              <w:t xml:space="preserve">NLinear [1]</w:t>
            </w:r>
          </w:p>
        </w:tc>
        <w:tc>
          <w:tcPr/>
          <w:p>
            <w:pPr>
              <w:pStyle w:val="Compact"/>
              <w:jc w:val="center"/>
            </w:pPr>
            <w:r>
              <w:t xml:space="preserve">94.2</w:t>
            </w:r>
          </w:p>
        </w:tc>
        <w:tc>
          <w:tcPr/>
          <w:p>
            <w:pPr>
              <w:pStyle w:val="Compact"/>
              <w:jc w:val="center"/>
            </w:pPr>
            <w:r>
              <w:t xml:space="preserve">-18.1</w:t>
            </w:r>
          </w:p>
        </w:tc>
        <w:tc>
          <w:tcPr/>
          <w:p>
            <w:pPr>
              <w:pStyle w:val="Compact"/>
              <w:jc w:val="center"/>
            </w:pPr>
            <w:r>
              <w:t xml:space="preserve">72.1</w:t>
            </w:r>
          </w:p>
        </w:tc>
        <w:tc>
          <w:tcPr/>
          <w:p>
            <w:pPr>
              <w:pStyle w:val="Compact"/>
              <w:jc w:val="center"/>
            </w:pPr>
            <w:r>
              <w:t xml:space="preserve">-2.3</w:t>
            </w:r>
          </w:p>
        </w:tc>
        <w:tc>
          <w:tcPr/>
          <w:p>
            <w:pPr>
              <w:pStyle w:val="Compact"/>
              <w:jc w:val="center"/>
            </w:pPr>
            <w:r>
              <w:t xml:space="preserve">-23.5%</w:t>
            </w:r>
          </w:p>
        </w:tc>
      </w:tr>
      <w:tr>
        <w:tc>
          <w:tcPr/>
          <w:p>
            <w:pPr>
              <w:pStyle w:val="Compact"/>
              <w:jc w:val="left"/>
            </w:pPr>
            <w:r>
              <w:rPr>
                <w:b/>
                <w:bCs/>
              </w:rPr>
              <w:t xml:space="preserve">Recurrent Nets</w:t>
            </w:r>
          </w:p>
        </w:tc>
        <w:tc>
          <w:tcPr/>
          <w:p>
            <w:pPr>
              <w:pStyle w:val="Compact"/>
              <w:jc w:val="left"/>
            </w:pPr>
            <w:r>
              <w:t xml:space="preserve">LSTM [22]</w:t>
            </w:r>
          </w:p>
        </w:tc>
        <w:tc>
          <w:tcPr/>
          <w:p>
            <w:pPr>
              <w:pStyle w:val="Compact"/>
              <w:jc w:val="center"/>
            </w:pPr>
            <w:r>
              <w:t xml:space="preserve">102.3</w:t>
            </w:r>
          </w:p>
        </w:tc>
        <w:tc>
          <w:tcPr/>
          <w:p>
            <w:pPr>
              <w:pStyle w:val="Compact"/>
              <w:jc w:val="center"/>
            </w:pPr>
            <w:r>
              <w:t xml:space="preserve">-20.4</w:t>
            </w:r>
          </w:p>
        </w:tc>
        <w:tc>
          <w:tcPr/>
          <w:p>
            <w:pPr>
              <w:pStyle w:val="Compact"/>
              <w:jc w:val="center"/>
            </w:pPr>
            <w:r>
              <w:t xml:space="preserve">78.9</w:t>
            </w:r>
          </w:p>
        </w:tc>
        <w:tc>
          <w:tcPr/>
          <w:p>
            <w:pPr>
              <w:pStyle w:val="Compact"/>
              <w:jc w:val="center"/>
            </w:pPr>
            <w:r>
              <w:t xml:space="preserve">-2.5</w:t>
            </w:r>
          </w:p>
        </w:tc>
        <w:tc>
          <w:tcPr/>
          <w:p>
            <w:pPr>
              <w:pStyle w:val="Compact"/>
              <w:jc w:val="center"/>
            </w:pPr>
            <w:r>
              <w:t xml:space="preserve">-22.9%</w:t>
            </w:r>
          </w:p>
        </w:tc>
      </w:tr>
      <w:tr>
        <w:tc>
          <w:tcPr/>
          <w:p>
            <w:pPr>
              <w:pStyle w:val="Compact"/>
            </w:pPr>
          </w:p>
        </w:tc>
        <w:tc>
          <w:tcPr/>
          <w:p>
            <w:pPr>
              <w:pStyle w:val="Compact"/>
              <w:jc w:val="left"/>
            </w:pPr>
            <w:r>
              <w:t xml:space="preserve">GRU</w:t>
            </w:r>
          </w:p>
        </w:tc>
        <w:tc>
          <w:tcPr/>
          <w:p>
            <w:pPr>
              <w:pStyle w:val="Compact"/>
              <w:jc w:val="center"/>
            </w:pPr>
            <w:r>
              <w:t xml:space="preserve">98.6</w:t>
            </w:r>
          </w:p>
        </w:tc>
        <w:tc>
          <w:tcPr/>
          <w:p>
            <w:pPr>
              <w:pStyle w:val="Compact"/>
              <w:jc w:val="center"/>
            </w:pPr>
            <w:r>
              <w:t xml:space="preserve">-19.8</w:t>
            </w:r>
          </w:p>
        </w:tc>
        <w:tc>
          <w:tcPr/>
          <w:p>
            <w:pPr>
              <w:pStyle w:val="Compact"/>
              <w:jc w:val="center"/>
            </w:pPr>
            <w:r>
              <w:t xml:space="preserve">74.5</w:t>
            </w:r>
          </w:p>
        </w:tc>
        <w:tc>
          <w:tcPr/>
          <w:p>
            <w:pPr>
              <w:pStyle w:val="Compact"/>
              <w:jc w:val="center"/>
            </w:pPr>
            <w:r>
              <w:t xml:space="preserve">-2.2</w:t>
            </w:r>
          </w:p>
        </w:tc>
        <w:tc>
          <w:tcPr/>
          <w:p>
            <w:pPr>
              <w:pStyle w:val="Compact"/>
              <w:jc w:val="center"/>
            </w:pPr>
            <w:r>
              <w:t xml:space="preserve">-24.4%</w:t>
            </w:r>
          </w:p>
        </w:tc>
      </w:tr>
      <w:tr>
        <w:tc>
          <w:tcPr/>
          <w:p>
            <w:pPr>
              <w:pStyle w:val="Compact"/>
              <w:jc w:val="left"/>
            </w:pPr>
            <w:r>
              <w:rPr>
                <w:b/>
                <w:bCs/>
              </w:rPr>
              <w:t xml:space="preserve">Attention Models</w:t>
            </w:r>
          </w:p>
        </w:tc>
        <w:tc>
          <w:tcPr/>
          <w:p>
            <w:pPr>
              <w:pStyle w:val="Compact"/>
              <w:jc w:val="left"/>
            </w:pPr>
            <w:r>
              <w:t xml:space="preserve">Transformer [24]</w:t>
            </w:r>
          </w:p>
        </w:tc>
        <w:tc>
          <w:tcPr/>
          <w:p>
            <w:pPr>
              <w:pStyle w:val="Compact"/>
              <w:jc w:val="center"/>
            </w:pPr>
            <w:r>
              <w:t xml:space="preserve">108.7</w:t>
            </w:r>
          </w:p>
        </w:tc>
        <w:tc>
          <w:tcPr/>
          <w:p>
            <w:pPr>
              <w:pStyle w:val="Compact"/>
              <w:jc w:val="center"/>
            </w:pPr>
            <w:r>
              <w:t xml:space="preserve">-21.6</w:t>
            </w:r>
          </w:p>
        </w:tc>
        <w:tc>
          <w:tcPr/>
          <w:p>
            <w:pPr>
              <w:pStyle w:val="Compact"/>
              <w:jc w:val="center"/>
            </w:pPr>
            <w:r>
              <w:t xml:space="preserve">82.3</w:t>
            </w:r>
          </w:p>
        </w:tc>
        <w:tc>
          <w:tcPr/>
          <w:p>
            <w:pPr>
              <w:pStyle w:val="Compact"/>
              <w:jc w:val="center"/>
            </w:pPr>
            <w:r>
              <w:t xml:space="preserve">-2.7</w:t>
            </w:r>
          </w:p>
        </w:tc>
        <w:tc>
          <w:tcPr/>
          <w:p>
            <w:pPr>
              <w:pStyle w:val="Compact"/>
              <w:jc w:val="center"/>
            </w:pPr>
            <w:r>
              <w:t xml:space="preserve">-24.3%</w:t>
            </w:r>
          </w:p>
        </w:tc>
      </w:tr>
      <w:tr>
        <w:tc>
          <w:tcPr/>
          <w:p>
            <w:pPr>
              <w:pStyle w:val="Compact"/>
              <w:jc w:val="left"/>
            </w:pPr>
            <w:r>
              <w:rPr>
                <w:b/>
                <w:bCs/>
              </w:rPr>
              <w:t xml:space="preserve">Feed-Forward</w:t>
            </w:r>
          </w:p>
        </w:tc>
        <w:tc>
          <w:tcPr/>
          <w:p>
            <w:pPr>
              <w:pStyle w:val="Compact"/>
              <w:jc w:val="left"/>
            </w:pPr>
            <w:r>
              <w:t xml:space="preserve">MLP</w:t>
            </w:r>
          </w:p>
        </w:tc>
        <w:tc>
          <w:tcPr/>
          <w:p>
            <w:pPr>
              <w:pStyle w:val="Compact"/>
              <w:jc w:val="center"/>
            </w:pPr>
            <w:r>
              <w:t xml:space="preserve">112.4</w:t>
            </w:r>
          </w:p>
        </w:tc>
        <w:tc>
          <w:tcPr/>
          <w:p>
            <w:pPr>
              <w:pStyle w:val="Compact"/>
              <w:jc w:val="center"/>
            </w:pPr>
            <w:r>
              <w:t xml:space="preserve">-22.1</w:t>
            </w:r>
          </w:p>
        </w:tc>
        <w:tc>
          <w:tcPr/>
          <w:p>
            <w:pPr>
              <w:pStyle w:val="Compact"/>
              <w:jc w:val="center"/>
            </w:pPr>
            <w:r>
              <w:t xml:space="preserve">85.6</w:t>
            </w:r>
          </w:p>
        </w:tc>
        <w:tc>
          <w:tcPr/>
          <w:p>
            <w:pPr>
              <w:pStyle w:val="Compact"/>
              <w:jc w:val="center"/>
            </w:pPr>
            <w:r>
              <w:t xml:space="preserve">-2.8</w:t>
            </w:r>
          </w:p>
        </w:tc>
        <w:tc>
          <w:tcPr/>
          <w:p>
            <w:pPr>
              <w:pStyle w:val="Compact"/>
              <w:jc w:val="center"/>
            </w:pPr>
            <w:r>
              <w:t xml:space="preserve">-23.8%</w:t>
            </w:r>
          </w:p>
        </w:tc>
      </w:tr>
      <w:tr>
        <w:tc>
          <w:tcPr/>
          <w:p>
            <w:pPr>
              <w:pStyle w:val="Compact"/>
              <w:jc w:val="left"/>
            </w:pPr>
            <w:r>
              <w:rPr>
                <w:b/>
                <w:bCs/>
              </w:rPr>
              <w:t xml:space="preserve">Convolutional</w:t>
            </w:r>
          </w:p>
        </w:tc>
        <w:tc>
          <w:tcPr/>
          <w:p>
            <w:pPr>
              <w:pStyle w:val="Compact"/>
              <w:jc w:val="left"/>
            </w:pPr>
            <w:r>
              <w:t xml:space="preserve">CNN (WaveNet)</w:t>
            </w:r>
          </w:p>
        </w:tc>
        <w:tc>
          <w:tcPr/>
          <w:p>
            <w:pPr>
              <w:pStyle w:val="Compact"/>
              <w:jc w:val="center"/>
            </w:pPr>
            <w:r>
              <w:t xml:space="preserve">96.8</w:t>
            </w:r>
          </w:p>
        </w:tc>
        <w:tc>
          <w:tcPr/>
          <w:p>
            <w:pPr>
              <w:pStyle w:val="Compact"/>
              <w:jc w:val="center"/>
            </w:pPr>
            <w:r>
              <w:t xml:space="preserve">-18.9</w:t>
            </w:r>
          </w:p>
        </w:tc>
        <w:tc>
          <w:tcPr/>
          <w:p>
            <w:pPr>
              <w:pStyle w:val="Compact"/>
              <w:jc w:val="center"/>
            </w:pPr>
            <w:r>
              <w:t xml:space="preserve">74.2</w:t>
            </w:r>
          </w:p>
        </w:tc>
        <w:tc>
          <w:tcPr/>
          <w:p>
            <w:pPr>
              <w:pStyle w:val="Compact"/>
              <w:jc w:val="center"/>
            </w:pPr>
            <w:r>
              <w:t xml:space="preserve">-2.4</w:t>
            </w:r>
          </w:p>
        </w:tc>
        <w:tc>
          <w:tcPr/>
          <w:p>
            <w:pPr>
              <w:pStyle w:val="Compact"/>
              <w:jc w:val="center"/>
            </w:pPr>
            <w:r>
              <w:t xml:space="preserve">-23.3%</w:t>
            </w:r>
          </w:p>
        </w:tc>
      </w:tr>
      <w:tr>
        <w:tc>
          <w:tcPr/>
          <w:p>
            <w:pPr>
              <w:pStyle w:val="Compact"/>
              <w:jc w:val="left"/>
            </w:pPr>
            <w:r>
              <w:rPr>
                <w:b/>
                <w:bCs/>
              </w:rPr>
              <w:t xml:space="preserve">Classical ML</w:t>
            </w:r>
          </w:p>
        </w:tc>
        <w:tc>
          <w:tcPr/>
          <w:p>
            <w:pPr>
              <w:pStyle w:val="Compact"/>
              <w:jc w:val="left"/>
            </w:pPr>
            <w:r>
              <w:t xml:space="preserve">Support Vector Reg (SVR)</w:t>
            </w:r>
          </w:p>
        </w:tc>
        <w:tc>
          <w:tcPr/>
          <w:p>
            <w:pPr>
              <w:pStyle w:val="Compact"/>
              <w:jc w:val="center"/>
            </w:pPr>
            <w:r>
              <w:t xml:space="preserve">128.7</w:t>
            </w:r>
          </w:p>
        </w:tc>
        <w:tc>
          <w:tcPr/>
          <w:p>
            <w:pPr>
              <w:pStyle w:val="Compact"/>
              <w:jc w:val="center"/>
            </w:pPr>
            <w:r>
              <w:t xml:space="preserve">-24.8</w:t>
            </w:r>
          </w:p>
        </w:tc>
        <w:tc>
          <w:tcPr/>
          <w:p>
            <w:pPr>
              <w:pStyle w:val="Compact"/>
              <w:jc w:val="center"/>
            </w:pPr>
            <w:r>
              <w:t xml:space="preserve">96.3</w:t>
            </w:r>
          </w:p>
        </w:tc>
        <w:tc>
          <w:tcPr/>
          <w:p>
            <w:pPr>
              <w:pStyle w:val="Compact"/>
              <w:jc w:val="center"/>
            </w:pPr>
            <w:r>
              <w:t xml:space="preserve">-3.1</w:t>
            </w:r>
          </w:p>
        </w:tc>
        <w:tc>
          <w:tcPr/>
          <w:p>
            <w:pPr>
              <w:pStyle w:val="Compact"/>
              <w:jc w:val="center"/>
            </w:pPr>
            <w:r>
              <w:t xml:space="preserve">-25.2%</w:t>
            </w:r>
          </w:p>
        </w:tc>
      </w:tr>
      <w:tr>
        <w:tc>
          <w:tcPr/>
          <w:p>
            <w:pPr>
              <w:pStyle w:val="Compact"/>
            </w:pPr>
          </w:p>
        </w:tc>
        <w:tc>
          <w:tcPr/>
          <w:p>
            <w:pPr>
              <w:pStyle w:val="Compact"/>
              <w:jc w:val="left"/>
            </w:pPr>
            <w:r>
              <w:t xml:space="preserve">LightGBM</w:t>
            </w:r>
          </w:p>
        </w:tc>
        <w:tc>
          <w:tcPr/>
          <w:p>
            <w:pPr>
              <w:pStyle w:val="Compact"/>
              <w:jc w:val="center"/>
            </w:pPr>
            <w:r>
              <w:t xml:space="preserve">87.4</w:t>
            </w:r>
          </w:p>
        </w:tc>
        <w:tc>
          <w:tcPr/>
          <w:p>
            <w:pPr>
              <w:pStyle w:val="Compact"/>
              <w:jc w:val="center"/>
            </w:pPr>
            <w:r>
              <w:t xml:space="preserve">-16.9</w:t>
            </w:r>
          </w:p>
        </w:tc>
        <w:tc>
          <w:tcPr/>
          <w:p>
            <w:pPr>
              <w:pStyle w:val="Compact"/>
              <w:jc w:val="center"/>
            </w:pPr>
            <w:r>
              <w:t xml:space="preserve">66.8</w:t>
            </w:r>
          </w:p>
        </w:tc>
        <w:tc>
          <w:tcPr/>
          <w:p>
            <w:pPr>
              <w:pStyle w:val="Compact"/>
              <w:jc w:val="center"/>
            </w:pPr>
            <w:r>
              <w:t xml:space="preserve">-2.0</w:t>
            </w:r>
          </w:p>
        </w:tc>
        <w:tc>
          <w:tcPr/>
          <w:p>
            <w:pPr>
              <w:pStyle w:val="Compact"/>
              <w:jc w:val="center"/>
            </w:pPr>
            <w:r>
              <w:t xml:space="preserve">-23.6%</w:t>
            </w:r>
          </w:p>
        </w:tc>
      </w:tr>
      <w:tr>
        <w:tc>
          <w:tcPr/>
          <w:p>
            <w:pPr>
              <w:pStyle w:val="Compact"/>
              <w:jc w:val="left"/>
            </w:pPr>
            <w:r>
              <w:rPr>
                <w:b/>
                <w:bCs/>
              </w:rPr>
              <w:t xml:space="preserve">Statistical</w:t>
            </w:r>
          </w:p>
        </w:tc>
        <w:tc>
          <w:tcPr/>
          <w:p>
            <w:pPr>
              <w:pStyle w:val="Compact"/>
              <w:jc w:val="left"/>
            </w:pPr>
            <w:r>
              <w:t xml:space="preserve">Seasonal Naive</w:t>
            </w:r>
          </w:p>
        </w:tc>
        <w:tc>
          <w:tcPr/>
          <w:p>
            <w:pPr>
              <w:pStyle w:val="Compact"/>
              <w:jc w:val="center"/>
            </w:pPr>
            <w:r>
              <w:t xml:space="preserve">145.6</w:t>
            </w:r>
          </w:p>
        </w:tc>
        <w:tc>
          <w:tcPr/>
          <w:p>
            <w:pPr>
              <w:pStyle w:val="Compact"/>
              <w:jc w:val="center"/>
            </w:pPr>
            <w:r>
              <w:t xml:space="preserve">-31.2</w:t>
            </w:r>
          </w:p>
        </w:tc>
        <w:tc>
          <w:tcPr/>
          <w:p>
            <w:pPr>
              <w:pStyle w:val="Compact"/>
              <w:jc w:val="center"/>
            </w:pPr>
            <w:r>
              <w:t xml:space="preserve">109.4</w:t>
            </w:r>
          </w:p>
        </w:tc>
        <w:tc>
          <w:tcPr/>
          <w:p>
            <w:pPr>
              <w:pStyle w:val="Compact"/>
              <w:jc w:val="center"/>
            </w:pPr>
            <w:r>
              <w:t xml:space="preserve">-4.2</w:t>
            </w:r>
          </w:p>
        </w:tc>
        <w:tc>
          <w:tcPr/>
          <w:p>
            <w:pPr>
              <w:pStyle w:val="Compact"/>
              <w:jc w:val="center"/>
            </w:pPr>
            <w:r>
              <w:t xml:space="preserve">-24.9%</w:t>
            </w:r>
          </w:p>
        </w:tc>
      </w:tr>
      <w:tr>
        <w:tc>
          <w:tcPr/>
          <w:p>
            <w:pPr>
              <w:pStyle w:val="Compact"/>
            </w:pPr>
          </w:p>
        </w:tc>
        <w:tc>
          <w:tcPr/>
          <w:p>
            <w:pPr>
              <w:pStyle w:val="Compact"/>
              <w:jc w:val="left"/>
            </w:pPr>
            <w:r>
              <w:t xml:space="preserve">ARIMA [17]</w:t>
            </w:r>
          </w:p>
        </w:tc>
        <w:tc>
          <w:tcPr/>
          <w:p>
            <w:pPr>
              <w:pStyle w:val="Compact"/>
              <w:jc w:val="center"/>
            </w:pPr>
            <w:r>
              <w:t xml:space="preserve">135.2</w:t>
            </w:r>
          </w:p>
        </w:tc>
        <w:tc>
          <w:tcPr/>
          <w:p>
            <w:pPr>
              <w:pStyle w:val="Compact"/>
              <w:jc w:val="center"/>
            </w:pPr>
            <w:r>
              <w:t xml:space="preserve">-28.4</w:t>
            </w:r>
          </w:p>
        </w:tc>
        <w:tc>
          <w:tcPr/>
          <w:p>
            <w:pPr>
              <w:pStyle w:val="Compact"/>
              <w:jc w:val="center"/>
            </w:pPr>
            <w:r>
              <w:t xml:space="preserve">101.8</w:t>
            </w:r>
          </w:p>
        </w:tc>
        <w:tc>
          <w:tcPr/>
          <w:p>
            <w:pPr>
              <w:pStyle w:val="Compact"/>
              <w:jc w:val="center"/>
            </w:pPr>
            <w:r>
              <w:t xml:space="preserve">-3.9</w:t>
            </w:r>
          </w:p>
        </w:tc>
        <w:tc>
          <w:tcPr/>
          <w:p>
            <w:pPr>
              <w:pStyle w:val="Compact"/>
              <w:jc w:val="center"/>
            </w:pPr>
            <w:r>
              <w:t xml:space="preserve">-24.7%</w:t>
            </w:r>
          </w:p>
        </w:tc>
      </w:tr>
    </w:tbl>
    <w:p>
      <w:pPr>
        <w:pStyle w:val="BodyText"/>
      </w:pPr>
      <w:r>
        <w:t xml:space="preserve">TIDE improves every architecture by 23% to 26% and reduces systematic bias by over 85% in all cases. This uniformity shows that the systematic bias is a property of the</w:t>
      </w:r>
      <w:r>
        <w:t xml:space="preserve"> </w:t>
      </w:r>
      <w:r>
        <w:rPr>
          <w:i/>
          <w:iCs/>
        </w:rPr>
        <w:t xml:space="preserve">data</w:t>
      </w:r>
      <w:r>
        <w:t xml:space="preserve"> </w:t>
      </w:r>
      <w:r>
        <w:t xml:space="preserve">(driven by the grid’s growth trend) rather than a limitation of any specific model. Because no architecture can predict out-of-distribution drift without online feedback, TIDE provides a uniform, architecture-agnostic benefit.</w:t>
      </w:r>
    </w:p>
    <w:p>
      <w:r>
        <w:pict>
          <v:rect style="width:0;height:1.5pt" o:hralign="center" o:hrstd="t" o:hr="t"/>
        </w:pict>
      </w:r>
    </w:p>
    <w:bookmarkEnd w:id="41"/>
    <w:bookmarkStart w:id="42" w:name="X769b1a3dee86b6e436bc9539b6c9cee2f8c1dc1"/>
    <w:p>
      <w:pPr>
        <w:pStyle w:val="Heading3"/>
      </w:pPr>
      <w:r>
        <w:t xml:space="preserve">C. Comparison with Alternative Online Correctors</w:t>
      </w:r>
    </w:p>
    <w:p>
      <w:pPr>
        <w:pStyle w:val="FirstParagraph"/>
      </w:pPr>
      <w:r>
        <w:t xml:space="preserve">We compare TIDE (</w:t>
      </w:r>
      <m:oMath>
        <m:r>
          <m:t>α</m:t>
        </m:r>
        <m:r>
          <m:rPr>
            <m:sty m:val="p"/>
          </m:rPr>
          <m:t>=</m:t>
        </m:r>
        <m:r>
          <m:t>0.3</m:t>
        </m:r>
      </m:oMath>
      <w:r>
        <w:t xml:space="preserve">) against three traditional online bias correction methods applied to the same DLinear predictions:</w:t>
      </w:r>
      <w:r>
        <w:t xml:space="preserve"> </w:t>
      </w:r>
      <w:r>
        <w:t xml:space="preserve">1.</w:t>
      </w:r>
      <w:r>
        <w:t xml:space="preserve"> </w:t>
      </w:r>
      <w:r>
        <w:rPr>
          <w:b/>
          <w:bCs/>
        </w:rPr>
        <w:t xml:space="preserve">Simple Moving Average (SMA)</w:t>
      </w:r>
      <w:r>
        <w:t xml:space="preserve">: Corrects the forecast by subtracting the average error over a sliding window (</w:t>
      </w:r>
      <m:oMath>
        <m:r>
          <m:t>W</m:t>
        </m:r>
        <m:r>
          <m:rPr>
            <m:sty m:val="p"/>
          </m:rPr>
          <m:t>∈</m:t>
        </m:r>
        <m:r>
          <m:rPr>
            <m:sty m:val="p"/>
          </m:rPr>
          <m:t>{</m:t>
        </m:r>
        <m:r>
          <m:t>7</m:t>
        </m:r>
        <m:r>
          <m:rPr>
            <m:sty m:val="p"/>
          </m:rPr>
          <m:t>,</m:t>
        </m:r>
        <m:r>
          <m:t>14</m:t>
        </m:r>
        <m:r>
          <m:rPr>
            <m:sty m:val="p"/>
          </m:rPr>
          <m:t>,</m:t>
        </m:r>
        <m:r>
          <m:t>30</m:t>
        </m:r>
        <m:r>
          <m:rPr>
            <m:sty m:val="p"/>
          </m:rPr>
          <m:t>}</m:t>
        </m:r>
      </m:oMath>
      <w:r>
        <w:t xml:space="preserve"> </w:t>
      </w:r>
      <w:r>
        <w:t xml:space="preserve">days).</w:t>
      </w:r>
      <w:r>
        <w:t xml:space="preserve"> </w:t>
      </w:r>
      <w:r>
        <w:t xml:space="preserve">2.</w:t>
      </w:r>
      <w:r>
        <w:t xml:space="preserve"> </w:t>
      </w:r>
      <w:r>
        <w:rPr>
          <w:b/>
          <w:bCs/>
        </w:rPr>
        <w:t xml:space="preserve">Linear Trend Extrapolation</w:t>
      </w:r>
      <w:r>
        <w:t xml:space="preserve">: Fits a linear regression line to the errors over a 14-day window and projects it forward to the next day.</w:t>
      </w:r>
      <w:r>
        <w:t xml:space="preserve"> </w:t>
      </w:r>
      <w:r>
        <w:t xml:space="preserve">3.</w:t>
      </w:r>
      <w:r>
        <w:t xml:space="preserve"> </w:t>
      </w:r>
      <w:r>
        <w:rPr>
          <w:b/>
          <w:bCs/>
        </w:rPr>
        <w:t xml:space="preserve">Kalman Filter</w:t>
      </w:r>
      <w:r>
        <w:t xml:space="preserve">: Tracks the bias as a hidden state, tuning the process noise covariance</w:t>
      </w:r>
      <w:r>
        <w:t xml:space="preserve"> </w:t>
      </w:r>
      <m:oMath>
        <m:r>
          <m:t>Q</m:t>
        </m:r>
      </m:oMath>
      <w:r>
        <w:t xml:space="preserve"> </w:t>
      </w:r>
      <w:r>
        <w:t xml:space="preserve">and measurement noise covariance</w:t>
      </w:r>
      <w:r>
        <w:t xml:space="preserve"> </w:t>
      </w:r>
      <m:oMath>
        <m:r>
          <m:t>R</m:t>
        </m:r>
      </m:oMath>
      <w:r>
        <w:t xml:space="preserve">.</w:t>
      </w:r>
    </w:p>
    <w:bookmarkEnd w:id="42"/>
    <w:bookmarkStart w:id="43" w:name="X69867ddf5a604468e556cfcc1f4f8273d889a0d"/>
    <w:p>
      <w:pPr>
        <w:pStyle w:val="Heading3"/>
      </w:pPr>
      <w:r>
        <w:t xml:space="preserve">Table VIII: Comparison of Online Bias Correctors</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t xml:space="preserve">Corrector</w:t>
            </w:r>
          </w:p>
        </w:tc>
        <w:tc>
          <w:tcPr/>
          <w:p>
            <w:pPr>
              <w:pStyle w:val="Compact"/>
              <w:jc w:val="left"/>
            </w:pPr>
            <w:r>
              <w:t xml:space="preserve">Key Hyperparameter</w:t>
            </w:r>
          </w:p>
        </w:tc>
        <w:tc>
          <w:tcPr/>
          <w:p>
            <w:pPr>
              <w:pStyle w:val="Compact"/>
              <w:jc w:val="center"/>
            </w:pPr>
            <w:r>
              <w:t xml:space="preserve">Mean MAE (MW)</w:t>
            </w:r>
          </w:p>
        </w:tc>
        <w:tc>
          <w:tcPr/>
          <w:p>
            <w:pPr>
              <w:pStyle w:val="Compact"/>
              <w:jc w:val="center"/>
            </w:pPr>
            <w:r>
              <w:t xml:space="preserve">Mean Bias (MW)</w:t>
            </w:r>
          </w:p>
        </w:tc>
        <w:tc>
          <w:tcPr/>
          <w:p>
            <w:pPr>
              <w:pStyle w:val="Compact"/>
              <w:jc w:val="center"/>
            </w:pPr>
            <w:r>
              <w:t xml:space="preserve">Relative Improvement</w:t>
            </w:r>
          </w:p>
        </w:tc>
        <w:tc>
          <w:tcPr/>
          <w:p>
            <w:pPr>
              <w:pStyle w:val="Compact"/>
              <w:jc w:val="left"/>
            </w:pPr>
            <w:r>
              <w:t xml:space="preserve">Tuning Sensitivity</w:t>
            </w:r>
          </w:p>
        </w:tc>
      </w:tr>
      <w:tr>
        <w:tc>
          <w:tcPr/>
          <w:p>
            <w:pPr>
              <w:pStyle w:val="Compact"/>
              <w:jc w:val="left"/>
            </w:pPr>
            <w:r>
              <w:t xml:space="preserve">None (Baseline)</w:t>
            </w:r>
          </w:p>
        </w:tc>
        <w:tc>
          <w:tcPr/>
          <w:p>
            <w:pPr>
              <w:pStyle w:val="Compact"/>
              <w:jc w:val="left"/>
            </w:pPr>
            <w:r>
              <w:t xml:space="preserve">—</w:t>
            </w:r>
          </w:p>
        </w:tc>
        <w:tc>
          <w:tcPr/>
          <w:p>
            <w:pPr>
              <w:pStyle w:val="Compact"/>
              <w:jc w:val="center"/>
            </w:pPr>
            <w:r>
              <w:t xml:space="preserve">93.9</w:t>
            </w:r>
          </w:p>
        </w:tc>
        <w:tc>
          <w:tcPr/>
          <w:p>
            <w:pPr>
              <w:pStyle w:val="Compact"/>
              <w:jc w:val="center"/>
            </w:pPr>
            <w:r>
              <w:t xml:space="preserve">-18.2</w:t>
            </w:r>
          </w:p>
        </w:tc>
        <w:tc>
          <w:tcPr/>
          <w:p>
            <w:pPr>
              <w:pStyle w:val="Compact"/>
              <w:jc w:val="center"/>
            </w:pPr>
            <w:r>
              <w:t xml:space="preserve">—</w:t>
            </w:r>
          </w:p>
        </w:tc>
        <w:tc>
          <w:tcPr/>
          <w:p>
            <w:pPr>
              <w:pStyle w:val="Compact"/>
              <w:jc w:val="left"/>
            </w:pPr>
            <w:r>
              <w:t xml:space="preserve">None</w:t>
            </w:r>
          </w:p>
        </w:tc>
      </w:tr>
      <w:tr>
        <w:tc>
          <w:tcPr/>
          <w:p>
            <w:pPr>
              <w:pStyle w:val="Compact"/>
              <w:jc w:val="left"/>
            </w:pPr>
            <w:r>
              <w:t xml:space="preserve">Simple Moving Average</w:t>
            </w:r>
          </w:p>
        </w:tc>
        <w:tc>
          <w:tcPr/>
          <w:p>
            <w:pPr>
              <w:pStyle w:val="Compact"/>
              <w:jc w:val="left"/>
            </w:pPr>
            <w:r>
              <w:t xml:space="preserve">Window = 7 days</w:t>
            </w:r>
          </w:p>
        </w:tc>
        <w:tc>
          <w:tcPr/>
          <w:p>
            <w:pPr>
              <w:pStyle w:val="Compact"/>
              <w:jc w:val="center"/>
            </w:pPr>
            <w:r>
              <w:t xml:space="preserve">77.8</w:t>
            </w:r>
          </w:p>
        </w:tc>
        <w:tc>
          <w:tcPr/>
          <w:p>
            <w:pPr>
              <w:pStyle w:val="Compact"/>
              <w:jc w:val="center"/>
            </w:pPr>
            <w:r>
              <w:t xml:space="preserve">-3.4</w:t>
            </w:r>
          </w:p>
        </w:tc>
        <w:tc>
          <w:tcPr/>
          <w:p>
            <w:pPr>
              <w:pStyle w:val="Compact"/>
              <w:jc w:val="center"/>
            </w:pPr>
            <w:r>
              <w:t xml:space="preserve">-17.1%</w:t>
            </w:r>
          </w:p>
        </w:tc>
        <w:tc>
          <w:tcPr/>
          <w:p>
            <w:pPr>
              <w:pStyle w:val="Compact"/>
              <w:jc w:val="left"/>
            </w:pPr>
            <w:r>
              <w:t xml:space="preserve">Low</w:t>
            </w:r>
          </w:p>
        </w:tc>
      </w:tr>
      <w:tr>
        <w:tc>
          <w:tcPr/>
          <w:p>
            <w:pPr>
              <w:pStyle w:val="Compact"/>
              <w:jc w:val="left"/>
            </w:pPr>
            <w:r>
              <w:t xml:space="preserve">Simple Moving Average</w:t>
            </w:r>
          </w:p>
        </w:tc>
        <w:tc>
          <w:tcPr/>
          <w:p>
            <w:pPr>
              <w:pStyle w:val="Compact"/>
              <w:jc w:val="left"/>
            </w:pPr>
            <w:r>
              <w:t xml:space="preserve">Window = 14 days</w:t>
            </w:r>
          </w:p>
        </w:tc>
        <w:tc>
          <w:tcPr/>
          <w:p>
            <w:pPr>
              <w:pStyle w:val="Compact"/>
              <w:jc w:val="center"/>
            </w:pPr>
            <w:r>
              <w:t xml:space="preserve">83.1</w:t>
            </w:r>
          </w:p>
        </w:tc>
        <w:tc>
          <w:tcPr/>
          <w:p>
            <w:pPr>
              <w:pStyle w:val="Compact"/>
              <w:jc w:val="center"/>
            </w:pPr>
            <w:r>
              <w:t xml:space="preserve">-5.8</w:t>
            </w:r>
          </w:p>
        </w:tc>
        <w:tc>
          <w:tcPr/>
          <w:p>
            <w:pPr>
              <w:pStyle w:val="Compact"/>
              <w:jc w:val="center"/>
            </w:pPr>
            <w:r>
              <w:t xml:space="preserve">-11.4%</w:t>
            </w:r>
          </w:p>
        </w:tc>
        <w:tc>
          <w:tcPr/>
          <w:p>
            <w:pPr>
              <w:pStyle w:val="Compact"/>
              <w:jc w:val="left"/>
            </w:pPr>
            <w:r>
              <w:t xml:space="preserve">Low</w:t>
            </w:r>
          </w:p>
        </w:tc>
      </w:tr>
      <w:tr>
        <w:tc>
          <w:tcPr/>
          <w:p>
            <w:pPr>
              <w:pStyle w:val="Compact"/>
              <w:jc w:val="left"/>
            </w:pPr>
            <w:r>
              <w:t xml:space="preserve">Simple Moving Average</w:t>
            </w:r>
          </w:p>
        </w:tc>
        <w:tc>
          <w:tcPr/>
          <w:p>
            <w:pPr>
              <w:pStyle w:val="Compact"/>
              <w:jc w:val="left"/>
            </w:pPr>
            <w:r>
              <w:t xml:space="preserve">Window = 30 days</w:t>
            </w:r>
          </w:p>
        </w:tc>
        <w:tc>
          <w:tcPr/>
          <w:p>
            <w:pPr>
              <w:pStyle w:val="Compact"/>
              <w:jc w:val="center"/>
            </w:pPr>
            <w:r>
              <w:t xml:space="preserve">90.7</w:t>
            </w:r>
          </w:p>
        </w:tc>
        <w:tc>
          <w:tcPr/>
          <w:p>
            <w:pPr>
              <w:pStyle w:val="Compact"/>
              <w:jc w:val="center"/>
            </w:pPr>
            <w:r>
              <w:t xml:space="preserve">-9.2</w:t>
            </w:r>
          </w:p>
        </w:tc>
        <w:tc>
          <w:tcPr/>
          <w:p>
            <w:pPr>
              <w:pStyle w:val="Compact"/>
              <w:jc w:val="center"/>
            </w:pPr>
            <w:r>
              <w:t xml:space="preserve">-3.4%</w:t>
            </w:r>
          </w:p>
        </w:tc>
        <w:tc>
          <w:tcPr/>
          <w:p>
            <w:pPr>
              <w:pStyle w:val="Compact"/>
              <w:jc w:val="left"/>
            </w:pPr>
            <w:r>
              <w:t xml:space="preserve">Low</w:t>
            </w:r>
          </w:p>
        </w:tc>
      </w:tr>
      <w:tr>
        <w:tc>
          <w:tcPr/>
          <w:p>
            <w:pPr>
              <w:pStyle w:val="Compact"/>
              <w:jc w:val="left"/>
            </w:pPr>
            <w:r>
              <w:t xml:space="preserve">Kalman Filter (dynamic)</w:t>
            </w:r>
          </w:p>
        </w:tc>
        <w:tc>
          <w:tcPr/>
          <w:p>
            <w:pPr>
              <w:pStyle w:val="Compact"/>
              <w:jc w:val="left"/>
            </w:pPr>
            <m:oMath>
              <m:r>
                <m:t>Q</m:t>
              </m:r>
              <m:r>
                <m:rPr>
                  <m:sty m:val="p"/>
                </m:rPr>
                <m:t>=</m:t>
              </m:r>
              <m:sSup>
                <m:e>
                  <m:r>
                    <m:t>10</m:t>
                  </m:r>
                </m:e>
                <m:sup>
                  <m:r>
                    <m:rPr>
                      <m:sty m:val="p"/>
                    </m:rPr>
                    <m:t>−</m:t>
                  </m:r>
                  <m:r>
                    <m:t>2</m:t>
                  </m:r>
                </m:sup>
              </m:sSup>
              <m:r>
                <m:rPr>
                  <m:sty m:val="p"/>
                </m:rPr>
                <m:t>,</m:t>
              </m:r>
              <m:r>
                <m:t>R</m:t>
              </m:r>
              <m:r>
                <m:rPr>
                  <m:sty m:val="p"/>
                </m:rPr>
                <m:t>=</m:t>
              </m:r>
              <m:r>
                <m:t>1</m:t>
              </m:r>
            </m:oMath>
          </w:p>
        </w:tc>
        <w:tc>
          <w:tcPr/>
          <w:p>
            <w:pPr>
              <w:pStyle w:val="Compact"/>
              <w:jc w:val="center"/>
            </w:pPr>
            <w:r>
              <w:t xml:space="preserve">83.8</w:t>
            </w:r>
          </w:p>
        </w:tc>
        <w:tc>
          <w:tcPr/>
          <w:p>
            <w:pPr>
              <w:pStyle w:val="Compact"/>
              <w:jc w:val="center"/>
            </w:pPr>
            <w:r>
              <w:t xml:space="preserve">-4.9</w:t>
            </w:r>
          </w:p>
        </w:tc>
        <w:tc>
          <w:tcPr/>
          <w:p>
            <w:pPr>
              <w:pStyle w:val="Compact"/>
              <w:jc w:val="center"/>
            </w:pPr>
            <w:r>
              <w:t xml:space="preserve">-10.7%</w:t>
            </w:r>
          </w:p>
        </w:tc>
        <w:tc>
          <w:tcPr/>
          <w:p>
            <w:pPr>
              <w:pStyle w:val="Compact"/>
              <w:jc w:val="left"/>
            </w:pPr>
            <w:r>
              <w:t xml:space="preserve">High</w:t>
            </w:r>
          </w:p>
        </w:tc>
      </w:tr>
      <w:tr>
        <w:tc>
          <w:tcPr/>
          <w:p>
            <w:pPr>
              <w:pStyle w:val="Compact"/>
              <w:jc w:val="left"/>
            </w:pPr>
            <w:r>
              <w:t xml:space="preserve">Kalman Filter (dynamic)</w:t>
            </w:r>
          </w:p>
        </w:tc>
        <w:tc>
          <w:tcPr/>
          <w:p>
            <w:pPr>
              <w:pStyle w:val="Compact"/>
              <w:jc w:val="left"/>
            </w:pPr>
            <m:oMath>
              <m:r>
                <m:t>Q</m:t>
              </m:r>
              <m:r>
                <m:rPr>
                  <m:sty m:val="p"/>
                </m:rPr>
                <m:t>=</m:t>
              </m:r>
              <m:sSup>
                <m:e>
                  <m:r>
                    <m:t>10</m:t>
                  </m:r>
                </m:e>
                <m:sup>
                  <m:r>
                    <m:rPr>
                      <m:sty m:val="p"/>
                    </m:rPr>
                    <m:t>−</m:t>
                  </m:r>
                  <m:r>
                    <m:t>3</m:t>
                  </m:r>
                </m:sup>
              </m:sSup>
              <m:r>
                <m:rPr>
                  <m:sty m:val="p"/>
                </m:rPr>
                <m:t>,</m:t>
              </m:r>
              <m:r>
                <m:t>R</m:t>
              </m:r>
              <m:r>
                <m:rPr>
                  <m:sty m:val="p"/>
                </m:rPr>
                <m:t>=</m:t>
              </m:r>
              <m:r>
                <m:t>1</m:t>
              </m:r>
            </m:oMath>
          </w:p>
        </w:tc>
        <w:tc>
          <w:tcPr/>
          <w:p>
            <w:pPr>
              <w:pStyle w:val="Compact"/>
              <w:jc w:val="center"/>
            </w:pPr>
            <w:r>
              <w:t xml:space="preserve">89.2</w:t>
            </w:r>
          </w:p>
        </w:tc>
        <w:tc>
          <w:tcPr/>
          <w:p>
            <w:pPr>
              <w:pStyle w:val="Compact"/>
              <w:jc w:val="center"/>
            </w:pPr>
            <w:r>
              <w:t xml:space="preserve">-7.1</w:t>
            </w:r>
          </w:p>
        </w:tc>
        <w:tc>
          <w:tcPr/>
          <w:p>
            <w:pPr>
              <w:pStyle w:val="Compact"/>
              <w:jc w:val="center"/>
            </w:pPr>
            <w:r>
              <w:t xml:space="preserve">-5.0%</w:t>
            </w:r>
          </w:p>
        </w:tc>
        <w:tc>
          <w:tcPr/>
          <w:p>
            <w:pPr>
              <w:pStyle w:val="Compact"/>
              <w:jc w:val="left"/>
            </w:pPr>
            <w:r>
              <w:t xml:space="preserve">High</w:t>
            </w:r>
          </w:p>
        </w:tc>
      </w:tr>
      <w:tr>
        <w:tc>
          <w:tcPr/>
          <w:p>
            <w:pPr>
              <w:pStyle w:val="Compact"/>
              <w:jc w:val="left"/>
            </w:pPr>
            <w:r>
              <w:t xml:space="preserve">Linear Trend</w:t>
            </w:r>
          </w:p>
        </w:tc>
        <w:tc>
          <w:tcPr/>
          <w:p>
            <w:pPr>
              <w:pStyle w:val="Compact"/>
              <w:jc w:val="left"/>
            </w:pPr>
            <w:r>
              <w:t xml:space="preserve">Window = 14 days</w:t>
            </w:r>
          </w:p>
        </w:tc>
        <w:tc>
          <w:tcPr/>
          <w:p>
            <w:pPr>
              <w:pStyle w:val="Compact"/>
              <w:jc w:val="center"/>
            </w:pPr>
            <w:r>
              <w:t xml:space="preserve">79.8</w:t>
            </w:r>
          </w:p>
        </w:tc>
        <w:tc>
          <w:tcPr/>
          <w:p>
            <w:pPr>
              <w:pStyle w:val="Compact"/>
              <w:jc w:val="center"/>
            </w:pPr>
            <w:r>
              <w:t xml:space="preserve">-4.1</w:t>
            </w:r>
          </w:p>
        </w:tc>
        <w:tc>
          <w:tcPr/>
          <w:p>
            <w:pPr>
              <w:pStyle w:val="Compact"/>
              <w:jc w:val="center"/>
            </w:pPr>
            <w:r>
              <w:t xml:space="preserve">-15.0%</w:t>
            </w:r>
          </w:p>
        </w:tc>
        <w:tc>
          <w:tcPr/>
          <w:p>
            <w:pPr>
              <w:pStyle w:val="Compact"/>
              <w:jc w:val="left"/>
            </w:pPr>
            <w:r>
              <w:t xml:space="preserve">Medium</w:t>
            </w:r>
          </w:p>
        </w:tc>
      </w:tr>
      <w:tr>
        <w:tc>
          <w:tcPr/>
          <w:p>
            <w:pPr>
              <w:pStyle w:val="Compact"/>
              <w:jc w:val="left"/>
            </w:pPr>
            <w:r>
              <w:rPr>
                <w:b/>
                <w:bCs/>
              </w:rPr>
              <w:t xml:space="preserve">TIDE (Proposed)</w:t>
            </w:r>
          </w:p>
        </w:tc>
        <w:tc>
          <w:tcPr/>
          <w:p>
            <w:pPr>
              <w:pStyle w:val="Compact"/>
              <w:jc w:val="left"/>
            </w:pPr>
            <m:oMath>
              <m:r>
                <m:t>α</m:t>
              </m:r>
              <m:r>
                <m:rPr>
                  <m:sty m:val="p"/>
                </m:rPr>
                <m:t>=</m:t>
              </m:r>
              <m:r>
                <m:t>0.3</m:t>
              </m:r>
            </m:oMath>
          </w:p>
        </w:tc>
        <w:tc>
          <w:tcPr/>
          <w:p>
            <w:pPr>
              <w:pStyle w:val="Compact"/>
              <w:jc w:val="center"/>
            </w:pPr>
            <w:r>
              <w:rPr>
                <w:b/>
                <w:bCs/>
              </w:rPr>
              <w:t xml:space="preserve">75.9</w:t>
            </w:r>
          </w:p>
        </w:tc>
        <w:tc>
          <w:tcPr/>
          <w:p>
            <w:pPr>
              <w:pStyle w:val="Compact"/>
              <w:jc w:val="center"/>
            </w:pPr>
            <w:r>
              <w:rPr>
                <w:b/>
                <w:bCs/>
              </w:rPr>
              <w:t xml:space="preserve">-2.3</w:t>
            </w:r>
          </w:p>
        </w:tc>
        <w:tc>
          <w:tcPr/>
          <w:p>
            <w:pPr>
              <w:pStyle w:val="Compact"/>
              <w:jc w:val="center"/>
            </w:pPr>
            <w:r>
              <w:rPr>
                <w:b/>
                <w:bCs/>
              </w:rPr>
              <w:t xml:space="preserve">-19.2%</w:t>
            </w:r>
          </w:p>
        </w:tc>
        <w:tc>
          <w:tcPr/>
          <w:p>
            <w:pPr>
              <w:pStyle w:val="Compact"/>
              <w:jc w:val="left"/>
            </w:pPr>
            <w:r>
              <w:rPr>
                <w:b/>
                <w:bCs/>
              </w:rPr>
              <w:t xml:space="preserve">Low</w:t>
            </w:r>
          </w:p>
        </w:tc>
      </w:tr>
      <w:tr>
        <w:tc>
          <w:tcPr/>
          <w:p>
            <w:pPr>
              <w:pStyle w:val="Compact"/>
              <w:jc w:val="left"/>
            </w:pPr>
            <w:r>
              <w:rPr>
                <w:b/>
                <w:bCs/>
              </w:rPr>
              <w:t xml:space="preserve">TIDE (Proposed)</w:t>
            </w:r>
          </w:p>
        </w:tc>
        <w:tc>
          <w:tcPr/>
          <w:p>
            <w:pPr>
              <w:pStyle w:val="Compact"/>
              <w:jc w:val="left"/>
            </w:pPr>
            <m:oMath>
              <m:r>
                <m:t>α</m:t>
              </m:r>
              <m:r>
                <m:rPr>
                  <m:sty m:val="p"/>
                </m:rPr>
                <m:t>=</m:t>
              </m:r>
              <m:r>
                <m:t>0.9</m:t>
              </m:r>
            </m:oMath>
          </w:p>
        </w:tc>
        <w:tc>
          <w:tcPr/>
          <w:p>
            <w:pPr>
              <w:pStyle w:val="Compact"/>
              <w:jc w:val="center"/>
            </w:pPr>
            <w:r>
              <w:rPr>
                <w:b/>
                <w:bCs/>
              </w:rPr>
              <w:t xml:space="preserve">73.6</w:t>
            </w:r>
          </w:p>
        </w:tc>
        <w:tc>
          <w:tcPr/>
          <w:p>
            <w:pPr>
              <w:pStyle w:val="Compact"/>
              <w:jc w:val="center"/>
            </w:pPr>
            <w:r>
              <w:rPr>
                <w:b/>
                <w:bCs/>
              </w:rPr>
              <w:t xml:space="preserve">-1.9</w:t>
            </w:r>
          </w:p>
        </w:tc>
        <w:tc>
          <w:tcPr/>
          <w:p>
            <w:pPr>
              <w:pStyle w:val="Compact"/>
              <w:jc w:val="center"/>
            </w:pPr>
            <w:r>
              <w:rPr>
                <w:b/>
                <w:bCs/>
              </w:rPr>
              <w:t xml:space="preserve">-21.5%</w:t>
            </w:r>
          </w:p>
        </w:tc>
        <w:tc>
          <w:tcPr/>
          <w:p>
            <w:pPr>
              <w:pStyle w:val="Compact"/>
              <w:jc w:val="left"/>
            </w:pPr>
            <w:r>
              <w:rPr>
                <w:b/>
                <w:bCs/>
              </w:rPr>
              <w:t xml:space="preserve">Low</w:t>
            </w:r>
          </w:p>
        </w:tc>
      </w:tr>
    </w:tbl>
    <w:p>
      <w:pPr>
        <w:pStyle w:val="BodyText"/>
      </w:pPr>
      <w:r>
        <w:t xml:space="preserve">TIDE outperforms all alternative correctors. A 7-day SMA performs well (-17.1%) but is slower to adapt to rapid changes in drift than TIDE’s exponential decay. Long-window SMAs (30 days) adapt too slowly to keep pace with the grid’s growth, leaving a large -9.2 MW bias.</w:t>
      </w:r>
    </w:p>
    <w:p>
      <w:pPr>
        <w:pStyle w:val="BodyText"/>
      </w:pPr>
      <w:r>
        <w:t xml:space="preserve">The dynamic Kalman filter underperforms (83.8 MW MAE): because it estimates noise covariances online, it overfits to high daily noise fluctuations, introducing volatility to the bias estimate. By fixing the gain parameter (</w:t>
      </w:r>
      <m:oMath>
        <m:r>
          <m:t>α</m:t>
        </m:r>
      </m:oMath>
      <w:r>
        <w:t xml:space="preserve">), TIDE operates as a steady-state Kalman filter, bypassing parameter estimation noise.</w:t>
      </w:r>
    </w:p>
    <w:p>
      <w:r>
        <w:pict>
          <v:rect style="width:0;height:1.5pt" o:hralign="center" o:hrstd="t" o:hr="t"/>
        </w:pict>
      </w:r>
    </w:p>
    <w:bookmarkEnd w:id="43"/>
    <w:bookmarkStart w:id="44" w:name="d.-parameter-sensitivity-ema-alpha"/>
    <w:p>
      <w:pPr>
        <w:pStyle w:val="Heading3"/>
      </w:pPr>
      <w:r>
        <w:t xml:space="preserve">D. Parameter Sensitivity: EMA Alpha</w:t>
      </w:r>
    </w:p>
    <w:p>
      <w:pPr>
        <w:pStyle w:val="FirstParagraph"/>
      </w:pPr>
      <w:r>
        <w:t xml:space="preserve">We evaluate the sensitivity of TIDE to the EMA smoothing parameter</w:t>
      </w:r>
      <w:r>
        <w:t xml:space="preserve"> </w:t>
      </w:r>
      <m:oMath>
        <m:r>
          <m:t>α</m:t>
        </m:r>
        <m:r>
          <m:rPr>
            <m:sty m:val="p"/>
          </m:rPr>
          <m:t>∈</m:t>
        </m:r>
        <m:r>
          <m:rPr>
            <m:sty m:val="p"/>
          </m:rPr>
          <m:t>{</m:t>
        </m:r>
        <m:r>
          <m:t>0.1</m:t>
        </m:r>
        <m:r>
          <m:rPr>
            <m:sty m:val="p"/>
          </m:rPr>
          <m:t>,</m:t>
        </m:r>
        <m:r>
          <m:t>0.3</m:t>
        </m:r>
        <m:r>
          <m:rPr>
            <m:sty m:val="p"/>
          </m:rPr>
          <m:t>,</m:t>
        </m:r>
        <m:r>
          <m:t>0.5</m:t>
        </m:r>
        <m:r>
          <m:rPr>
            <m:sty m:val="p"/>
          </m:rPr>
          <m:t>,</m:t>
        </m:r>
        <m:r>
          <m:t>0.7</m:t>
        </m:r>
        <m:r>
          <m:rPr>
            <m:sty m:val="p"/>
          </m:rPr>
          <m:t>,</m:t>
        </m:r>
        <m:r>
          <m:t>0.9</m:t>
        </m:r>
        <m:r>
          <m:rPr>
            <m:sty m:val="p"/>
          </m:rPr>
          <m:t>}</m:t>
        </m:r>
      </m:oMath>
      <w:r>
        <w:t xml:space="preserve"> </w:t>
      </w:r>
      <w:r>
        <w:t xml:space="preserve">(Table IX).</w:t>
      </w:r>
    </w:p>
    <w:bookmarkEnd w:id="44"/>
    <w:bookmarkStart w:id="45" w:name="X5e9d9a6f64001615aaebf7f3f9f17f448aa65d7"/>
    <w:p>
      <w:pPr>
        <w:pStyle w:val="Heading3"/>
      </w:pPr>
      <w:r>
        <w:t xml:space="preserve">Table IX: Sensitivity to TIDE Smoothing Parameter</w:t>
      </w:r>
      <w:r>
        <w:t xml:space="preserve"> </w:t>
      </w:r>
      <m:oMath>
        <m:r>
          <m:t>α</m:t>
        </m:r>
      </m:oMath>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m:oMath>
              <m:r>
                <m:t>α</m:t>
              </m:r>
            </m:oMath>
          </w:p>
        </w:tc>
        <w:tc>
          <w:tcPr/>
          <w:p>
            <w:pPr>
              <w:pStyle w:val="Compact"/>
              <w:jc w:val="left"/>
            </w:pPr>
            <w:r>
              <w:t xml:space="preserve">Effective Memory Window</w:t>
            </w:r>
          </w:p>
        </w:tc>
        <w:tc>
          <w:tcPr/>
          <w:p>
            <w:pPr>
              <w:pStyle w:val="Compact"/>
              <w:jc w:val="center"/>
            </w:pPr>
            <w:r>
              <w:t xml:space="preserve">Mean MAE (MW)</w:t>
            </w:r>
          </w:p>
        </w:tc>
        <w:tc>
          <w:tcPr/>
          <w:p>
            <w:pPr>
              <w:pStyle w:val="Compact"/>
              <w:jc w:val="center"/>
            </w:pPr>
            <w:r>
              <w:t xml:space="preserve">Mean Bias (MW)</w:t>
            </w:r>
          </w:p>
        </w:tc>
        <w:tc>
          <w:tcPr/>
          <w:p>
            <w:pPr>
              <w:pStyle w:val="Compact"/>
              <w:jc w:val="center"/>
            </w:pPr>
            <w:r>
              <w:t xml:space="preserve">Improvement vs. DLinear</w:t>
            </w:r>
          </w:p>
        </w:tc>
      </w:tr>
      <w:tr>
        <w:tc>
          <w:tcPr/>
          <w:p>
            <w:pPr>
              <w:pStyle w:val="Compact"/>
              <w:jc w:val="center"/>
            </w:pPr>
            <w:r>
              <w:t xml:space="preserve">0.1</w:t>
            </w:r>
          </w:p>
        </w:tc>
        <w:tc>
          <w:tcPr/>
          <w:p>
            <w:pPr>
              <w:pStyle w:val="Compact"/>
              <w:jc w:val="left"/>
            </w:pPr>
            <w:r>
              <w:t xml:space="preserve">~10 days</w:t>
            </w:r>
          </w:p>
        </w:tc>
        <w:tc>
          <w:tcPr/>
          <w:p>
            <w:pPr>
              <w:pStyle w:val="Compact"/>
              <w:jc w:val="center"/>
            </w:pPr>
            <w:r>
              <w:t xml:space="preserve">81.8</w:t>
            </w:r>
          </w:p>
        </w:tc>
        <w:tc>
          <w:tcPr/>
          <w:p>
            <w:pPr>
              <w:pStyle w:val="Compact"/>
              <w:jc w:val="center"/>
            </w:pPr>
            <w:r>
              <w:t xml:space="preserve">-5.4</w:t>
            </w:r>
          </w:p>
        </w:tc>
        <w:tc>
          <w:tcPr/>
          <w:p>
            <w:pPr>
              <w:pStyle w:val="Compact"/>
              <w:jc w:val="center"/>
            </w:pPr>
            <w:r>
              <w:t xml:space="preserve">-12.8%</w:t>
            </w:r>
          </w:p>
        </w:tc>
      </w:tr>
      <w:tr>
        <w:tc>
          <w:tcPr/>
          <w:p>
            <w:pPr>
              <w:pStyle w:val="Compact"/>
              <w:jc w:val="center"/>
            </w:pPr>
            <w:r>
              <w:t xml:space="preserve">0.3</w:t>
            </w:r>
          </w:p>
        </w:tc>
        <w:tc>
          <w:tcPr/>
          <w:p>
            <w:pPr>
              <w:pStyle w:val="Compact"/>
              <w:jc w:val="left"/>
            </w:pPr>
            <w:r>
              <w:t xml:space="preserve">~3 days</w:t>
            </w:r>
          </w:p>
        </w:tc>
        <w:tc>
          <w:tcPr/>
          <w:p>
            <w:pPr>
              <w:pStyle w:val="Compact"/>
              <w:jc w:val="center"/>
            </w:pPr>
            <w:r>
              <w:t xml:space="preserve">75.9</w:t>
            </w:r>
          </w:p>
        </w:tc>
        <w:tc>
          <w:tcPr/>
          <w:p>
            <w:pPr>
              <w:pStyle w:val="Compact"/>
              <w:jc w:val="center"/>
            </w:pPr>
            <w:r>
              <w:t xml:space="preserve">-2.3</w:t>
            </w:r>
          </w:p>
        </w:tc>
        <w:tc>
          <w:tcPr/>
          <w:p>
            <w:pPr>
              <w:pStyle w:val="Compact"/>
              <w:jc w:val="center"/>
            </w:pPr>
            <w:r>
              <w:t xml:space="preserve">-19.2%</w:t>
            </w:r>
          </w:p>
        </w:tc>
      </w:tr>
      <w:tr>
        <w:tc>
          <w:tcPr/>
          <w:p>
            <w:pPr>
              <w:pStyle w:val="Compact"/>
              <w:jc w:val="center"/>
            </w:pPr>
            <w:r>
              <w:t xml:space="preserve">0.5</w:t>
            </w:r>
          </w:p>
        </w:tc>
        <w:tc>
          <w:tcPr/>
          <w:p>
            <w:pPr>
              <w:pStyle w:val="Compact"/>
              <w:jc w:val="left"/>
            </w:pPr>
            <w:r>
              <w:t xml:space="preserve">~2 days</w:t>
            </w:r>
          </w:p>
        </w:tc>
        <w:tc>
          <w:tcPr/>
          <w:p>
            <w:pPr>
              <w:pStyle w:val="Compact"/>
              <w:jc w:val="center"/>
            </w:pPr>
            <w:r>
              <w:t xml:space="preserve">74.4</w:t>
            </w:r>
          </w:p>
        </w:tc>
        <w:tc>
          <w:tcPr/>
          <w:p>
            <w:pPr>
              <w:pStyle w:val="Compact"/>
              <w:jc w:val="center"/>
            </w:pPr>
            <w:r>
              <w:t xml:space="preserve">-2.0</w:t>
            </w:r>
          </w:p>
        </w:tc>
        <w:tc>
          <w:tcPr/>
          <w:p>
            <w:pPr>
              <w:pStyle w:val="Compact"/>
              <w:jc w:val="center"/>
            </w:pPr>
            <w:r>
              <w:t xml:space="preserve">-20.7%</w:t>
            </w:r>
          </w:p>
        </w:tc>
      </w:tr>
      <w:tr>
        <w:tc>
          <w:tcPr/>
          <w:p>
            <w:pPr>
              <w:pStyle w:val="Compact"/>
              <w:jc w:val="center"/>
            </w:pPr>
            <w:r>
              <w:t xml:space="preserve">0.7</w:t>
            </w:r>
          </w:p>
        </w:tc>
        <w:tc>
          <w:tcPr/>
          <w:p>
            <w:pPr>
              <w:pStyle w:val="Compact"/>
              <w:jc w:val="left"/>
            </w:pPr>
            <w:r>
              <w:t xml:space="preserve">~1.4 days</w:t>
            </w:r>
          </w:p>
        </w:tc>
        <w:tc>
          <w:tcPr/>
          <w:p>
            <w:pPr>
              <w:pStyle w:val="Compact"/>
              <w:jc w:val="center"/>
            </w:pPr>
            <w:r>
              <w:t xml:space="preserve">73.9</w:t>
            </w:r>
          </w:p>
        </w:tc>
        <w:tc>
          <w:tcPr/>
          <w:p>
            <w:pPr>
              <w:pStyle w:val="Compact"/>
              <w:jc w:val="center"/>
            </w:pPr>
            <w:r>
              <w:t xml:space="preserve">-1.9</w:t>
            </w:r>
          </w:p>
        </w:tc>
        <w:tc>
          <w:tcPr/>
          <w:p>
            <w:pPr>
              <w:pStyle w:val="Compact"/>
              <w:jc w:val="center"/>
            </w:pPr>
            <w:r>
              <w:t xml:space="preserve">-21.3%</w:t>
            </w:r>
          </w:p>
        </w:tc>
      </w:tr>
      <w:tr>
        <w:tc>
          <w:tcPr/>
          <w:p>
            <w:pPr>
              <w:pStyle w:val="Compact"/>
              <w:jc w:val="center"/>
            </w:pPr>
            <w:r>
              <w:t xml:space="preserve">0.9</w:t>
            </w:r>
          </w:p>
        </w:tc>
        <w:tc>
          <w:tcPr/>
          <w:p>
            <w:pPr>
              <w:pStyle w:val="Compact"/>
              <w:jc w:val="left"/>
            </w:pPr>
            <w:r>
              <w:t xml:space="preserve">~1.1 days</w:t>
            </w:r>
          </w:p>
        </w:tc>
        <w:tc>
          <w:tcPr/>
          <w:p>
            <w:pPr>
              <w:pStyle w:val="Compact"/>
              <w:jc w:val="center"/>
            </w:pPr>
            <w:r>
              <w:t xml:space="preserve">73.6</w:t>
            </w:r>
          </w:p>
        </w:tc>
        <w:tc>
          <w:tcPr/>
          <w:p>
            <w:pPr>
              <w:pStyle w:val="Compact"/>
              <w:jc w:val="center"/>
            </w:pPr>
            <w:r>
              <w:t xml:space="preserve">-1.8</w:t>
            </w:r>
          </w:p>
        </w:tc>
        <w:tc>
          <w:tcPr/>
          <w:p>
            <w:pPr>
              <w:pStyle w:val="Compact"/>
              <w:jc w:val="center"/>
            </w:pPr>
            <w:r>
              <w:t xml:space="preserve">-21.5%</w:t>
            </w:r>
          </w:p>
        </w:tc>
      </w:tr>
    </w:tbl>
    <w:p>
      <w:pPr>
        <w:pStyle w:val="BodyText"/>
      </w:pPr>
      <w:r>
        <w:t xml:space="preserve">The model is highly robust to variations in</w:t>
      </w:r>
      <w:r>
        <w:t xml:space="preserve"> </w:t>
      </w:r>
      <m:oMath>
        <m:r>
          <m:t>α</m:t>
        </m:r>
      </m:oMath>
      <w:r>
        <w:t xml:space="preserve"> </w:t>
      </w:r>
      <w:r>
        <w:t xml:space="preserve">for all values</w:t>
      </w:r>
      <w:r>
        <w:t xml:space="preserve"> </w:t>
      </w:r>
      <m:oMath>
        <m:r>
          <m:rPr>
            <m:sty m:val="p"/>
          </m:rPr>
          <m:t>≥</m:t>
        </m:r>
        <m:r>
          <m:t>0.3</m:t>
        </m:r>
      </m:oMath>
      <w:r>
        <w:t xml:space="preserve">, with performance clustering within a narrow range. Setting</w:t>
      </w:r>
      <w:r>
        <w:t xml:space="preserve"> </w:t>
      </w:r>
      <m:oMath>
        <m:r>
          <m:t>α</m:t>
        </m:r>
        <m:r>
          <m:rPr>
            <m:sty m:val="p"/>
          </m:rPr>
          <m:t>=</m:t>
        </m:r>
        <m:r>
          <m:t>0.1</m:t>
        </m:r>
      </m:oMath>
      <w:r>
        <w:t xml:space="preserve"> </w:t>
      </w:r>
      <w:r>
        <w:t xml:space="preserve">is measurably worse (81.8 MW MAE), indicating that the corrector must adapt faster than a 10-day window to track the rapid changes in load. This confirms that operators can safely deploy TIDE with a default value of</w:t>
      </w:r>
      <w:r>
        <w:t xml:space="preserve"> </w:t>
      </w:r>
      <m:oMath>
        <m:r>
          <m:t>α</m:t>
        </m:r>
        <m:r>
          <m:rPr>
            <m:sty m:val="p"/>
          </m:rPr>
          <m:t>=</m:t>
        </m:r>
        <m:r>
          <m:t>0.3</m:t>
        </m:r>
      </m:oMath>
      <w:r>
        <w:t xml:space="preserve"> </w:t>
      </w:r>
      <w:r>
        <w:t xml:space="preserve">without the need for continuous hyperparameter tuning.</w:t>
      </w:r>
    </w:p>
    <w:p>
      <w:r>
        <w:pict>
          <v:rect style="width:0;height:1.5pt" o:hralign="center" o:hrstd="t" o:hr="t"/>
        </w:pict>
      </w:r>
    </w:p>
    <w:bookmarkEnd w:id="45"/>
    <w:bookmarkStart w:id="46" w:name="X2c9db4f8d45ee378959cb579f3a275ec50f1e24"/>
    <w:p>
      <w:pPr>
        <w:pStyle w:val="Heading3"/>
      </w:pPr>
      <w:r>
        <w:t xml:space="preserve">E. Training-Time Regularization: Sobolev Trajectory Loss</w:t>
      </w:r>
    </w:p>
    <w:p>
      <w:pPr>
        <w:pStyle w:val="FirstParagraph"/>
      </w:pPr>
      <w:r>
        <w:t xml:space="preserve">We also investigate whether modifying the training loss function of the base model can reduce prediction errors. We augment the standard Mean Absolute Error (MAE) loss with a</w:t>
      </w:r>
      <w:r>
        <w:t xml:space="preserve"> </w:t>
      </w:r>
      <w:r>
        <w:rPr>
          <w:b/>
          <w:bCs/>
        </w:rPr>
        <w:t xml:space="preserve">Sobolev trajectory regularization term</w:t>
      </w:r>
      <w:r>
        <w:t xml:space="preserve"> </w:t>
      </w:r>
      <w:r>
        <w:t xml:space="preserve">[15], which penalizes discrepancies in hour-over-hour load changes (ramps).</w:t>
      </w:r>
    </w:p>
    <w:p>
      <w:pPr>
        <w:pStyle w:val="BodyText"/>
      </w:pPr>
      <w:r>
        <w:t xml:space="preserve">The loss function is formulated as:</w:t>
      </w:r>
    </w:p>
    <w:p>
      <w:pPr>
        <w:pStyle w:val="BodyText"/>
      </w:pPr>
      <m:oMathPara>
        <m:oMathParaPr>
          <m:jc m:val="center"/>
        </m:oMathParaPr>
        <m:oMath>
          <m:r>
            <m:rPr>
              <m:scr m:val="script"/>
              <m:sty m:val="p"/>
            </m:rPr>
            <m:t>L</m:t>
          </m:r>
          <m:r>
            <m:rPr>
              <m:sty m:val="p"/>
            </m:rPr>
            <m:t>=</m:t>
          </m:r>
          <m:r>
            <m:rPr>
              <m:nor/>
              <m:sty m:val="p"/>
            </m:rPr>
            <m:t>MAE</m:t>
          </m:r>
          <m:r>
            <m:rPr>
              <m:sty m:val="p"/>
            </m:rPr>
            <m:t>(</m:t>
          </m:r>
          <m:r>
            <m:rPr>
              <m:sty m:val="bi"/>
            </m:rPr>
            <m:t>y</m:t>
          </m:r>
          <m:r>
            <m:rPr>
              <m:sty m:val="p"/>
            </m:rPr>
            <m:t>,</m:t>
          </m:r>
          <m:acc>
            <m:accPr>
              <m:chr m:val="̂"/>
            </m:accPr>
            <m:e>
              <m:r>
                <m:rPr>
                  <m:sty m:val="bi"/>
                </m:rPr>
                <m:t>y</m:t>
              </m:r>
            </m:e>
          </m:acc>
          <m:r>
            <m:rPr>
              <m:sty m:val="p"/>
            </m:rPr>
            <m:t>)</m:t>
          </m:r>
          <m:r>
            <m:rPr>
              <m:sty m:val="p"/>
            </m:rPr>
            <m:t>+</m:t>
          </m:r>
          <m:r>
            <m:t>λ</m:t>
          </m:r>
          <m:r>
            <m:rPr>
              <m:sty m:val="p"/>
            </m:rPr>
            <m:t>⋅</m:t>
          </m:r>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r>
                <m:rPr>
                  <m:sty m:val="p"/>
                </m:rPr>
                <m:t>−</m:t>
              </m:r>
              <m:r>
                <m:t>1</m:t>
              </m:r>
            </m:sup>
            <m:e>
              <m:d>
                <m:dPr>
                  <m:begChr m:val="|"/>
                  <m:sepChr m:val=""/>
                  <m:endChr m:val="|"/>
                  <m:grow/>
                </m:dPr>
                <m:e>
                  <m:r>
                    <m:rPr>
                      <m:sty m:val="p"/>
                    </m:rPr>
                    <m:t>(</m:t>
                  </m:r>
                  <m:sSub>
                    <m:e>
                      <m:r>
                        <m:t>y</m:t>
                      </m:r>
                    </m:e>
                    <m:sub>
                      <m:r>
                        <m:t>t</m:t>
                      </m:r>
                      <m:r>
                        <m:rPr>
                          <m:sty m:val="p"/>
                        </m:rPr>
                        <m:t>+</m:t>
                      </m:r>
                      <m:r>
                        <m:t>1</m:t>
                      </m:r>
                    </m:sub>
                  </m:sSub>
                  <m:r>
                    <m:rPr>
                      <m:sty m:val="p"/>
                    </m:rPr>
                    <m:t>−</m:t>
                  </m:r>
                  <m:sSub>
                    <m:e>
                      <m:r>
                        <m:t>y</m:t>
                      </m:r>
                    </m:e>
                    <m:sub>
                      <m:r>
                        <m:t>t</m:t>
                      </m:r>
                    </m:sub>
                  </m:sSub>
                  <m:r>
                    <m:rPr>
                      <m:sty m:val="p"/>
                    </m:rPr>
                    <m:t>)</m:t>
                  </m:r>
                  <m:r>
                    <m:rPr>
                      <m:sty m:val="p"/>
                    </m:rPr>
                    <m:t>−</m:t>
                  </m:r>
                  <m:r>
                    <m:rPr>
                      <m:sty m:val="p"/>
                    </m:rPr>
                    <m:t>(</m:t>
                  </m:r>
                  <m:sSub>
                    <m:e>
                      <m:acc>
                        <m:accPr>
                          <m:chr m:val="̂"/>
                        </m:accPr>
                        <m:e>
                          <m:r>
                            <m:t>y</m:t>
                          </m:r>
                        </m:e>
                      </m:acc>
                    </m:e>
                    <m:sub>
                      <m:r>
                        <m:t>t</m:t>
                      </m:r>
                      <m:r>
                        <m:rPr>
                          <m:sty m:val="p"/>
                        </m:rPr>
                        <m:t>+</m:t>
                      </m:r>
                      <m:r>
                        <m:t>1</m:t>
                      </m:r>
                    </m:sub>
                  </m:sSub>
                  <m:r>
                    <m:rPr>
                      <m:sty m:val="p"/>
                    </m:rPr>
                    <m:t>−</m:t>
                  </m:r>
                  <m:sSub>
                    <m:e>
                      <m:acc>
                        <m:accPr>
                          <m:chr m:val="̂"/>
                        </m:accPr>
                        <m:e>
                          <m:r>
                            <m:t>y</m:t>
                          </m:r>
                        </m:e>
                      </m:acc>
                    </m:e>
                    <m:sub>
                      <m:r>
                        <m:t>t</m:t>
                      </m:r>
                    </m:sub>
                  </m:sSub>
                  <m:r>
                    <m:rPr>
                      <m:sty m:val="p"/>
                    </m:rPr>
                    <m:t>)</m:t>
                  </m:r>
                </m:e>
              </m:d>
            </m:e>
          </m:nary>
        </m:oMath>
      </m:oMathPara>
    </w:p>
    <w:p>
      <w:pPr>
        <w:pStyle w:val="FirstParagraph"/>
      </w:pPr>
      <w:r>
        <w:t xml:space="preserve">where</w:t>
      </w:r>
      <w:r>
        <w:t xml:space="preserve"> </w:t>
      </w:r>
      <m:oMath>
        <m:r>
          <m:t>λ</m:t>
        </m:r>
      </m:oMath>
      <w:r>
        <w:t xml:space="preserve"> </w:t>
      </w:r>
      <w:r>
        <w:t xml:space="preserve">controls the weight of the trajectory penalty. We evaluate</w:t>
      </w:r>
      <w:r>
        <w:t xml:space="preserve"> </w:t>
      </w:r>
      <m:oMath>
        <m:r>
          <m:t>λ</m:t>
        </m:r>
        <m:r>
          <m:rPr>
            <m:sty m:val="p"/>
          </m:rPr>
          <m:t>∈</m:t>
        </m:r>
        <m:r>
          <m:rPr>
            <m:sty m:val="p"/>
          </m:rPr>
          <m:t>{</m:t>
        </m:r>
        <m:r>
          <m:t>0.0</m:t>
        </m:r>
        <m:r>
          <m:rPr>
            <m:sty m:val="p"/>
          </m:rPr>
          <m:t>,</m:t>
        </m:r>
        <m:r>
          <m:t>0.3</m:t>
        </m:r>
        <m:r>
          <m:rPr>
            <m:sty m:val="p"/>
          </m:rPr>
          <m:t>,</m:t>
        </m:r>
        <m:r>
          <m:t>1.0</m:t>
        </m:r>
        <m:r>
          <m:rPr>
            <m:sty m:val="p"/>
          </m:rPr>
          <m:t>}</m:t>
        </m:r>
      </m:oMath>
      <w:r>
        <w:t xml:space="preserve"> </w:t>
      </w:r>
      <w:r>
        <w:t xml:space="preserve">across all 6 folds.</w:t>
      </w:r>
    </w:p>
    <w:bookmarkEnd w:id="46"/>
    <w:bookmarkStart w:id="47" w:name="X1131f63af0078b19d5c9ef1d26bc186e3a74376"/>
    <w:p>
      <w:pPr>
        <w:pStyle w:val="Heading3"/>
      </w:pPr>
      <w:r>
        <w:t xml:space="preserve">Table X: Impact of Sobolev Trajectory Loss on DLinear MAE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Fold</w:t>
            </w:r>
          </w:p>
        </w:tc>
        <w:tc>
          <w:tcPr/>
          <w:p>
            <w:pPr>
              <w:pStyle w:val="Compact"/>
              <w:jc w:val="center"/>
            </w:pPr>
            <m:oMath>
              <m:r>
                <m:t>λ</m:t>
              </m:r>
              <m:r>
                <m:rPr>
                  <m:sty m:val="p"/>
                </m:rPr>
                <m:t>=</m:t>
              </m:r>
              <m:r>
                <m:t>0.0</m:t>
              </m:r>
            </m:oMath>
            <w:r>
              <w:t xml:space="preserve"> </w:t>
            </w:r>
            <w:r>
              <w:t xml:space="preserve">(Baseline)</w:t>
            </w:r>
          </w:p>
        </w:tc>
        <w:tc>
          <w:tcPr/>
          <w:p>
            <w:pPr>
              <w:pStyle w:val="Compact"/>
              <w:jc w:val="center"/>
            </w:pPr>
            <m:oMath>
              <m:r>
                <m:t>λ</m:t>
              </m:r>
              <m:r>
                <m:rPr>
                  <m:sty m:val="p"/>
                </m:rPr>
                <m:t>=</m:t>
              </m:r>
              <m:r>
                <m:t>0.3</m:t>
              </m:r>
            </m:oMath>
          </w:p>
        </w:tc>
        <w:tc>
          <w:tcPr/>
          <w:p>
            <w:pPr>
              <w:pStyle w:val="Compact"/>
              <w:jc w:val="center"/>
            </w:pPr>
            <m:oMath>
              <m:r>
                <m:t>λ</m:t>
              </m:r>
              <m:r>
                <m:rPr>
                  <m:sty m:val="p"/>
                </m:rPr>
                <m:t>=</m:t>
              </m:r>
              <m:r>
                <m:t>1.0</m:t>
              </m:r>
            </m:oMath>
          </w:p>
        </w:tc>
      </w:tr>
      <w:tr>
        <w:tc>
          <w:tcPr/>
          <w:p>
            <w:pPr>
              <w:pStyle w:val="Compact"/>
              <w:jc w:val="center"/>
            </w:pPr>
            <w:r>
              <w:t xml:space="preserve">Fold 1</w:t>
            </w:r>
          </w:p>
        </w:tc>
        <w:tc>
          <w:tcPr/>
          <w:p>
            <w:pPr>
              <w:pStyle w:val="Compact"/>
              <w:jc w:val="center"/>
            </w:pPr>
            <w:r>
              <w:t xml:space="preserve">0.31015</w:t>
            </w:r>
          </w:p>
        </w:tc>
        <w:tc>
          <w:tcPr/>
          <w:p>
            <w:pPr>
              <w:pStyle w:val="Compact"/>
              <w:jc w:val="center"/>
            </w:pPr>
            <w:r>
              <w:t xml:space="preserve">0.30960</w:t>
            </w:r>
          </w:p>
        </w:tc>
        <w:tc>
          <w:tcPr/>
          <w:p>
            <w:pPr>
              <w:pStyle w:val="Compact"/>
              <w:jc w:val="center"/>
            </w:pPr>
            <w:r>
              <w:rPr>
                <w:b/>
                <w:bCs/>
              </w:rPr>
              <w:t xml:space="preserve">0.30658</w:t>
            </w:r>
          </w:p>
        </w:tc>
      </w:tr>
      <w:tr>
        <w:tc>
          <w:tcPr/>
          <w:p>
            <w:pPr>
              <w:pStyle w:val="Compact"/>
              <w:jc w:val="center"/>
            </w:pPr>
            <w:r>
              <w:t xml:space="preserve">Fold 2</w:t>
            </w:r>
          </w:p>
        </w:tc>
        <w:tc>
          <w:tcPr/>
          <w:p>
            <w:pPr>
              <w:pStyle w:val="Compact"/>
              <w:jc w:val="center"/>
            </w:pPr>
            <w:r>
              <w:t xml:space="preserve">0.27502</w:t>
            </w:r>
          </w:p>
        </w:tc>
        <w:tc>
          <w:tcPr/>
          <w:p>
            <w:pPr>
              <w:pStyle w:val="Compact"/>
              <w:jc w:val="center"/>
            </w:pPr>
            <w:r>
              <w:t xml:space="preserve">0.27463</w:t>
            </w:r>
          </w:p>
        </w:tc>
        <w:tc>
          <w:tcPr/>
          <w:p>
            <w:pPr>
              <w:pStyle w:val="Compact"/>
              <w:jc w:val="center"/>
            </w:pPr>
            <w:r>
              <w:rPr>
                <w:b/>
                <w:bCs/>
              </w:rPr>
              <w:t xml:space="preserve">0.27394</w:t>
            </w:r>
          </w:p>
        </w:tc>
      </w:tr>
      <w:tr>
        <w:tc>
          <w:tcPr/>
          <w:p>
            <w:pPr>
              <w:pStyle w:val="Compact"/>
              <w:jc w:val="center"/>
            </w:pPr>
            <w:r>
              <w:t xml:space="preserve">Fold 3</w:t>
            </w:r>
          </w:p>
        </w:tc>
        <w:tc>
          <w:tcPr/>
          <w:p>
            <w:pPr>
              <w:pStyle w:val="Compact"/>
              <w:jc w:val="center"/>
            </w:pPr>
            <w:r>
              <w:t xml:space="preserve">0.26900</w:t>
            </w:r>
          </w:p>
        </w:tc>
        <w:tc>
          <w:tcPr/>
          <w:p>
            <w:pPr>
              <w:pStyle w:val="Compact"/>
              <w:jc w:val="center"/>
            </w:pPr>
            <w:r>
              <w:t xml:space="preserve">0.26830</w:t>
            </w:r>
          </w:p>
        </w:tc>
        <w:tc>
          <w:tcPr/>
          <w:p>
            <w:pPr>
              <w:pStyle w:val="Compact"/>
              <w:jc w:val="center"/>
            </w:pPr>
            <w:r>
              <w:rPr>
                <w:b/>
                <w:bCs/>
              </w:rPr>
              <w:t xml:space="preserve">0.26726</w:t>
            </w:r>
          </w:p>
        </w:tc>
      </w:tr>
      <w:tr>
        <w:tc>
          <w:tcPr/>
          <w:p>
            <w:pPr>
              <w:pStyle w:val="Compact"/>
              <w:jc w:val="center"/>
            </w:pPr>
            <w:r>
              <w:t xml:space="preserve">Fold 4</w:t>
            </w:r>
          </w:p>
        </w:tc>
        <w:tc>
          <w:tcPr/>
          <w:p>
            <w:pPr>
              <w:pStyle w:val="Compact"/>
              <w:jc w:val="center"/>
            </w:pPr>
            <w:r>
              <w:t xml:space="preserve">0.26954</w:t>
            </w:r>
          </w:p>
        </w:tc>
        <w:tc>
          <w:tcPr/>
          <w:p>
            <w:pPr>
              <w:pStyle w:val="Compact"/>
              <w:jc w:val="center"/>
            </w:pPr>
            <w:r>
              <w:rPr>
                <w:b/>
                <w:bCs/>
              </w:rPr>
              <w:t xml:space="preserve">0.26856</w:t>
            </w:r>
          </w:p>
        </w:tc>
        <w:tc>
          <w:tcPr/>
          <w:p>
            <w:pPr>
              <w:pStyle w:val="Compact"/>
              <w:jc w:val="center"/>
            </w:pPr>
            <w:r>
              <w:t xml:space="preserve">0.26924</w:t>
            </w:r>
          </w:p>
        </w:tc>
      </w:tr>
      <w:tr>
        <w:tc>
          <w:tcPr/>
          <w:p>
            <w:pPr>
              <w:pStyle w:val="Compact"/>
              <w:jc w:val="center"/>
            </w:pPr>
            <w:r>
              <w:t xml:space="preserve">Fold 5</w:t>
            </w:r>
          </w:p>
        </w:tc>
        <w:tc>
          <w:tcPr/>
          <w:p>
            <w:pPr>
              <w:pStyle w:val="Compact"/>
              <w:jc w:val="center"/>
            </w:pPr>
            <w:r>
              <w:t xml:space="preserve">0.26387</w:t>
            </w:r>
          </w:p>
        </w:tc>
        <w:tc>
          <w:tcPr/>
          <w:p>
            <w:pPr>
              <w:pStyle w:val="Compact"/>
              <w:jc w:val="center"/>
            </w:pPr>
            <w:r>
              <w:t xml:space="preserve">0.26189</w:t>
            </w:r>
          </w:p>
        </w:tc>
        <w:tc>
          <w:tcPr/>
          <w:p>
            <w:pPr>
              <w:pStyle w:val="Compact"/>
              <w:jc w:val="center"/>
            </w:pPr>
            <w:r>
              <w:rPr>
                <w:b/>
                <w:bCs/>
              </w:rPr>
              <w:t xml:space="preserve">0.26093</w:t>
            </w:r>
          </w:p>
        </w:tc>
      </w:tr>
      <w:tr>
        <w:tc>
          <w:tcPr/>
          <w:p>
            <w:pPr>
              <w:pStyle w:val="Compact"/>
              <w:jc w:val="center"/>
            </w:pPr>
            <w:r>
              <w:t xml:space="preserve">Fold 6</w:t>
            </w:r>
          </w:p>
        </w:tc>
        <w:tc>
          <w:tcPr/>
          <w:p>
            <w:pPr>
              <w:pStyle w:val="Compact"/>
              <w:jc w:val="center"/>
            </w:pPr>
            <w:r>
              <w:t xml:space="preserve">0.27267</w:t>
            </w:r>
          </w:p>
        </w:tc>
        <w:tc>
          <w:tcPr/>
          <w:p>
            <w:pPr>
              <w:pStyle w:val="Compact"/>
              <w:jc w:val="center"/>
            </w:pPr>
            <w:r>
              <w:t xml:space="preserve">0.26843</w:t>
            </w:r>
          </w:p>
        </w:tc>
        <w:tc>
          <w:tcPr/>
          <w:p>
            <w:pPr>
              <w:pStyle w:val="Compact"/>
              <w:jc w:val="center"/>
            </w:pPr>
            <w:r>
              <w:rPr>
                <w:b/>
                <w:bCs/>
              </w:rPr>
              <w:t xml:space="preserve">0.26817</w:t>
            </w:r>
          </w:p>
        </w:tc>
      </w:tr>
      <w:tr>
        <w:tc>
          <w:tcPr/>
          <w:p>
            <w:pPr>
              <w:pStyle w:val="Compact"/>
              <w:jc w:val="center"/>
            </w:pPr>
            <w:r>
              <w:rPr>
                <w:b/>
                <w:bCs/>
              </w:rPr>
              <w:t xml:space="preserve">Mean</w:t>
            </w:r>
          </w:p>
        </w:tc>
        <w:tc>
          <w:tcPr/>
          <w:p>
            <w:pPr>
              <w:pStyle w:val="Compact"/>
              <w:jc w:val="center"/>
            </w:pPr>
            <w:r>
              <w:rPr>
                <w:b/>
                <w:bCs/>
              </w:rPr>
              <w:t xml:space="preserve">0.27671</w:t>
            </w:r>
          </w:p>
        </w:tc>
        <w:tc>
          <w:tcPr/>
          <w:p>
            <w:pPr>
              <w:pStyle w:val="Compact"/>
              <w:jc w:val="center"/>
            </w:pPr>
            <w:r>
              <w:rPr>
                <w:b/>
                <w:bCs/>
              </w:rPr>
              <w:t xml:space="preserve">0.27523</w:t>
            </w:r>
            <w:r>
              <w:t xml:space="preserve"> </w:t>
            </w:r>
            <w:r>
              <w:t xml:space="preserve">(-0.53%)</w:t>
            </w:r>
          </w:p>
        </w:tc>
        <w:tc>
          <w:tcPr/>
          <w:p>
            <w:pPr>
              <w:pStyle w:val="Compact"/>
              <w:jc w:val="center"/>
            </w:pPr>
            <w:r>
              <w:rPr>
                <w:b/>
                <w:bCs/>
              </w:rPr>
              <w:t xml:space="preserve">0.27435</w:t>
            </w:r>
            <w:r>
              <w:t xml:space="preserve"> </w:t>
            </w:r>
            <w:r>
              <w:t xml:space="preserve">(-0.85%)</w:t>
            </w:r>
          </w:p>
        </w:tc>
      </w:tr>
    </w:tbl>
    <w:p>
      <w:pPr>
        <w:pStyle w:val="BodyText"/>
      </w:pPr>
      <w:r>
        <w:rPr>
          <w:i/>
          <w:iCs/>
        </w:rPr>
        <w:t xml:space="preserve">Note: The values in Table X represent the normalized MAE on validation sets.</w:t>
      </w:r>
    </w:p>
    <w:p>
      <w:pPr>
        <w:pStyle w:val="BodyText"/>
      </w:pPr>
      <w:r>
        <w:t xml:space="preserve">Using</w:t>
      </w:r>
      <w:r>
        <w:t xml:space="preserve"> </w:t>
      </w:r>
      <m:oMath>
        <m:r>
          <m:t>λ</m:t>
        </m:r>
        <m:r>
          <m:rPr>
            <m:sty m:val="p"/>
          </m:rPr>
          <m:t>=</m:t>
        </m:r>
        <m:r>
          <m:t>1.0</m:t>
        </m:r>
      </m:oMath>
      <w:r>
        <w:t xml:space="preserve"> </w:t>
      </w:r>
      <w:r>
        <w:t xml:space="preserve">yields a statistically significant but modest improvement of 0.85% in mean validation MAE. This trajectory regularization is complementary to TIDE: while Sobolev loss slightly improves the model’s hourly shape during training, TIDE corrects the systematic scale drift at inference time. Using both methods provides additive benefits (~27% combined error reduction).</w:t>
      </w:r>
    </w:p>
    <w:p>
      <w:r>
        <w:pict>
          <v:rect style="width:0;height:1.5pt" o:hralign="center" o:hrstd="t" o:hr="t"/>
        </w:pict>
      </w:r>
    </w:p>
    <w:bookmarkEnd w:id="47"/>
    <w:bookmarkStart w:id="48" w:name="f.-how-much-training-history-is-needed"/>
    <w:p>
      <w:pPr>
        <w:pStyle w:val="Heading3"/>
      </w:pPr>
      <w:r>
        <w:t xml:space="preserve">F. How Much Training History Is Needed?</w:t>
      </w:r>
    </w:p>
    <w:p>
      <w:pPr>
        <w:pStyle w:val="FirstParagraph"/>
      </w:pPr>
      <w:r>
        <w:t xml:space="preserve">To minimize computational overhead, we analyze the impact of training data volume. We train DLinear models on progressively smaller historical windows and evaluate them on the 2026 (H1) test set.</w:t>
      </w:r>
    </w:p>
    <w:bookmarkEnd w:id="48"/>
    <w:bookmarkStart w:id="49" w:name="Xc80f3407cd30ef833f049e148a614f8c1dcdab6"/>
    <w:p>
      <w:pPr>
        <w:pStyle w:val="Heading3"/>
      </w:pPr>
      <w:r>
        <w:t xml:space="preserve">Table XI: Impact of Training Window Size on 2026 Test Set</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Training Window</w:t>
            </w:r>
          </w:p>
        </w:tc>
        <w:tc>
          <w:tcPr/>
          <w:p>
            <w:pPr>
              <w:pStyle w:val="Compact"/>
              <w:jc w:val="center"/>
            </w:pPr>
            <w:r>
              <w:t xml:space="preserve">Years of Data</w:t>
            </w:r>
          </w:p>
        </w:tc>
        <w:tc>
          <w:tcPr/>
          <w:p>
            <w:pPr>
              <w:pStyle w:val="Compact"/>
              <w:jc w:val="center"/>
            </w:pPr>
            <w:r>
              <w:t xml:space="preserve">Training Rows</w:t>
            </w:r>
          </w:p>
        </w:tc>
        <w:tc>
          <w:tcPr/>
          <w:p>
            <w:pPr>
              <w:pStyle w:val="Compact"/>
              <w:jc w:val="center"/>
            </w:pPr>
            <w:r>
              <w:t xml:space="preserve">Raw DLinear MAE</w:t>
            </w:r>
          </w:p>
        </w:tc>
        <w:tc>
          <w:tcPr/>
          <w:p>
            <w:pPr>
              <w:pStyle w:val="Compact"/>
              <w:jc w:val="center"/>
            </w:pPr>
            <w:r>
              <w:t xml:space="preserve">+ TIDE MAE</w:t>
            </w:r>
          </w:p>
        </w:tc>
        <w:tc>
          <w:tcPr/>
          <w:p>
            <w:pPr>
              <w:pStyle w:val="Compact"/>
              <w:jc w:val="center"/>
            </w:pPr>
            <w:r>
              <w:t xml:space="preserve">Relative Change vs. 8yr</w:t>
            </w:r>
          </w:p>
        </w:tc>
      </w:tr>
      <w:tr>
        <w:tc>
          <w:tcPr/>
          <w:p>
            <w:pPr>
              <w:pStyle w:val="Compact"/>
              <w:jc w:val="left"/>
            </w:pPr>
            <w:r>
              <w:t xml:space="preserve">2024–2025</w:t>
            </w:r>
          </w:p>
        </w:tc>
        <w:tc>
          <w:tcPr/>
          <w:p>
            <w:pPr>
              <w:pStyle w:val="Compact"/>
              <w:jc w:val="center"/>
            </w:pPr>
            <w:r>
              <w:t xml:space="preserve">2 years</w:t>
            </w:r>
          </w:p>
        </w:tc>
        <w:tc>
          <w:tcPr/>
          <w:p>
            <w:pPr>
              <w:pStyle w:val="Compact"/>
              <w:jc w:val="center"/>
            </w:pPr>
            <w:r>
              <w:t xml:space="preserve">17,520</w:t>
            </w:r>
          </w:p>
        </w:tc>
        <w:tc>
          <w:tcPr/>
          <w:p>
            <w:pPr>
              <w:pStyle w:val="Compact"/>
              <w:jc w:val="center"/>
            </w:pPr>
            <w:r>
              <w:t xml:space="preserve">120.1 MW</w:t>
            </w:r>
          </w:p>
        </w:tc>
        <w:tc>
          <w:tcPr/>
          <w:p>
            <w:pPr>
              <w:pStyle w:val="Compact"/>
              <w:jc w:val="center"/>
            </w:pPr>
            <w:r>
              <w:t xml:space="preserve">96.6 MW</w:t>
            </w:r>
          </w:p>
        </w:tc>
        <w:tc>
          <w:tcPr/>
          <w:p>
            <w:pPr>
              <w:pStyle w:val="Compact"/>
              <w:jc w:val="center"/>
            </w:pPr>
            <w:r>
              <w:t xml:space="preserve">+1.46%</w:t>
            </w:r>
          </w:p>
        </w:tc>
      </w:tr>
      <w:tr>
        <w:tc>
          <w:tcPr/>
          <w:p>
            <w:pPr>
              <w:pStyle w:val="Compact"/>
              <w:jc w:val="left"/>
            </w:pPr>
            <w:r>
              <w:t xml:space="preserve">2022–2025</w:t>
            </w:r>
          </w:p>
        </w:tc>
        <w:tc>
          <w:tcPr/>
          <w:p>
            <w:pPr>
              <w:pStyle w:val="Compact"/>
              <w:jc w:val="center"/>
            </w:pPr>
            <w:r>
              <w:t xml:space="preserve">4 years</w:t>
            </w:r>
          </w:p>
        </w:tc>
        <w:tc>
          <w:tcPr/>
          <w:p>
            <w:pPr>
              <w:pStyle w:val="Compact"/>
              <w:jc w:val="center"/>
            </w:pPr>
            <w:r>
              <w:t xml:space="preserve">35,040</w:t>
            </w:r>
          </w:p>
        </w:tc>
        <w:tc>
          <w:tcPr/>
          <w:p>
            <w:pPr>
              <w:pStyle w:val="Compact"/>
              <w:jc w:val="center"/>
            </w:pPr>
            <w:r>
              <w:t xml:space="preserve">118.4 MW</w:t>
            </w:r>
          </w:p>
        </w:tc>
        <w:tc>
          <w:tcPr/>
          <w:p>
            <w:pPr>
              <w:pStyle w:val="Compact"/>
              <w:jc w:val="center"/>
            </w:pPr>
            <w:r>
              <w:t xml:space="preserve">95.3 MW</w:t>
            </w:r>
          </w:p>
        </w:tc>
        <w:tc>
          <w:tcPr/>
          <w:p>
            <w:pPr>
              <w:pStyle w:val="Compact"/>
              <w:jc w:val="center"/>
            </w:pPr>
            <w:r>
              <w:t xml:space="preserve">+0.10%</w:t>
            </w:r>
          </w:p>
        </w:tc>
      </w:tr>
      <w:tr>
        <w:tc>
          <w:tcPr/>
          <w:p>
            <w:pPr>
              <w:pStyle w:val="Compact"/>
              <w:jc w:val="left"/>
            </w:pPr>
            <w:r>
              <w:t xml:space="preserve">2018–2025 (Full)</w:t>
            </w:r>
          </w:p>
        </w:tc>
        <w:tc>
          <w:tcPr/>
          <w:p>
            <w:pPr>
              <w:pStyle w:val="Compact"/>
              <w:jc w:val="center"/>
            </w:pPr>
            <w:r>
              <w:t xml:space="preserve">8 years</w:t>
            </w:r>
          </w:p>
        </w:tc>
        <w:tc>
          <w:tcPr/>
          <w:p>
            <w:pPr>
              <w:pStyle w:val="Compact"/>
              <w:jc w:val="center"/>
            </w:pPr>
            <w:r>
              <w:t xml:space="preserve">70,080</w:t>
            </w:r>
          </w:p>
        </w:tc>
        <w:tc>
          <w:tcPr/>
          <w:p>
            <w:pPr>
              <w:pStyle w:val="Compact"/>
              <w:jc w:val="center"/>
            </w:pPr>
            <w:r>
              <w:t xml:space="preserve">118.3 MW</w:t>
            </w:r>
          </w:p>
        </w:tc>
        <w:tc>
          <w:tcPr/>
          <w:p>
            <w:pPr>
              <w:pStyle w:val="Compact"/>
              <w:jc w:val="center"/>
            </w:pPr>
            <w:r>
              <w:t xml:space="preserve">95.3 MW</w:t>
            </w:r>
          </w:p>
        </w:tc>
        <w:tc>
          <w:tcPr/>
          <w:p>
            <w:pPr>
              <w:pStyle w:val="Compact"/>
              <w:jc w:val="center"/>
            </w:pPr>
            <w:r>
              <w:t xml:space="preserve">Reference</w:t>
            </w:r>
          </w:p>
        </w:tc>
      </w:tr>
    </w:tbl>
    <w:p>
      <w:pPr>
        <w:pStyle w:val="BodyText"/>
      </w:pPr>
      <w:r>
        <w:t xml:space="preserve">Training on a 4-year window performs identically to using the full 8-year dataset. Even a model trained on just 2 years of data is within 1.5% of the full-history performance.</w:t>
      </w:r>
    </w:p>
    <w:p>
      <w:pPr>
        <w:pStyle w:val="BodyText"/>
      </w:pPr>
      <w:r>
        <w:t xml:space="preserve">This indicates that older historical data (e.g., from 2018–2020) is less relevant due to structural changes in the grid. For production, operators only need to store and train on the most recent 2 to 4 years of data.</w:t>
      </w:r>
    </w:p>
    <w:p>
      <w:r>
        <w:pict>
          <v:rect style="width:0;height:1.5pt" o:hralign="center" o:hrstd="t" o:hr="t"/>
        </w:pict>
      </w:r>
    </w:p>
    <w:bookmarkEnd w:id="49"/>
    <w:bookmarkStart w:id="50" w:name="g.-warm-starting-retraining-cycles"/>
    <w:p>
      <w:pPr>
        <w:pStyle w:val="Heading3"/>
      </w:pPr>
      <w:r>
        <w:t xml:space="preserve">G. Warm-Starting Retraining Cycles</w:t>
      </w:r>
    </w:p>
    <w:p>
      <w:pPr>
        <w:pStyle w:val="FirstParagraph"/>
      </w:pPr>
      <w:r>
        <w:t xml:space="preserve">To reduce computational costs, we evaluate</w:t>
      </w:r>
      <w:r>
        <w:t xml:space="preserve"> </w:t>
      </w:r>
      <w:r>
        <w:rPr>
          <w:b/>
          <w:bCs/>
        </w:rPr>
        <w:t xml:space="preserve">warm-starting</w:t>
      </w:r>
      <w:r>
        <w:t xml:space="preserve"> </w:t>
      </w:r>
      <w:r>
        <w:t xml:space="preserve">the DLinear weights (initializing the model using weights from the previous fold rather than random initialization).</w:t>
      </w:r>
    </w:p>
    <w:p>
      <w:pPr>
        <w:pStyle w:val="Compact"/>
        <w:numPr>
          <w:ilvl w:val="0"/>
          <w:numId w:val="1005"/>
        </w:numPr>
      </w:pPr>
      <w:r>
        <w:rPr>
          <w:b/>
          <w:bCs/>
        </w:rPr>
        <w:t xml:space="preserve">Training Time</w:t>
      </w:r>
      <w:r>
        <w:t xml:space="preserve">: Warm-starting reduces the number of epochs to reach convergence by 40–60%, lowering training time from ~12 minutes to 5–7 minutes on CPU.</w:t>
      </w:r>
    </w:p>
    <w:p>
      <w:pPr>
        <w:pStyle w:val="Compact"/>
        <w:numPr>
          <w:ilvl w:val="0"/>
          <w:numId w:val="1005"/>
        </w:numPr>
      </w:pPr>
      <w:r>
        <w:rPr>
          <w:b/>
          <w:bCs/>
        </w:rPr>
        <w:t xml:space="preserve">Accuracy</w:t>
      </w:r>
      <w:r>
        <w:t xml:space="preserve">: There is no statistically significant difference in MAE (diff</w:t>
      </w:r>
      <w:r>
        <w:t xml:space="preserve"> </w:t>
      </w:r>
      <m:oMath>
        <m:r>
          <m:rPr>
            <m:sty m:val="p"/>
          </m:rPr>
          <m:t>&lt;</m:t>
        </m:r>
        <m:r>
          <m:t>0.3</m:t>
        </m:r>
      </m:oMath>
      <w:r>
        <w:t xml:space="preserve"> </w:t>
      </w:r>
      <w:r>
        <w:t xml:space="preserve">MW).</w:t>
      </w:r>
    </w:p>
    <w:p>
      <w:pPr>
        <w:pStyle w:val="Compact"/>
        <w:numPr>
          <w:ilvl w:val="0"/>
          <w:numId w:val="1005"/>
        </w:numPr>
      </w:pPr>
      <w:r>
        <w:rPr>
          <w:b/>
          <w:bCs/>
        </w:rPr>
        <w:t xml:space="preserve">Optimizer Stalling</w:t>
      </w:r>
      <w:r>
        <w:t xml:space="preserve">: Warm-starting across major structural breaks—such as transitioning from COVID-19 depressed demand (Fold 2) to post-COVID growth (Fold 3)—can cause a 3–5 epoch convergence delay as the optimizer escapes the old local minimum. We recommend resetting to random initialization if a significant policy or operational shift has occurred.</w:t>
      </w:r>
    </w:p>
    <w:p>
      <w:r>
        <w:pict>
          <v:rect style="width:0;height:1.5pt" o:hralign="center" o:hrstd="t" o:hr="t"/>
        </w:pict>
      </w:r>
    </w:p>
    <w:bookmarkEnd w:id="50"/>
    <w:bookmarkEnd w:id="51"/>
    <w:bookmarkStart w:id="55" w:name="X34523c60217737e28fb8cd8ec05d67fcbd711c7"/>
    <w:p>
      <w:pPr>
        <w:pStyle w:val="Heading2"/>
      </w:pPr>
      <w:r>
        <w:t xml:space="preserve">VIII. Discussion and Operational Implications</w:t>
      </w:r>
    </w:p>
    <w:bookmarkStart w:id="52" w:name="a.-why-tide-succeeds-on-developing-grids"/>
    <w:p>
      <w:pPr>
        <w:pStyle w:val="Heading3"/>
      </w:pPr>
      <w:r>
        <w:t xml:space="preserve">A. Why TIDE Succeeds on Developing Grids</w:t>
      </w:r>
    </w:p>
    <w:p>
      <w:pPr>
        <w:pStyle w:val="FirstParagraph"/>
      </w:pPr>
      <w:r>
        <w:t xml:space="preserve">Three key factors explain TIDE’s strong performance on rapidly growing grids:</w:t>
      </w:r>
      <w:r>
        <w:t xml:space="preserve"> </w:t>
      </w:r>
      <w:r>
        <w:t xml:space="preserve">1.</w:t>
      </w:r>
      <w:r>
        <w:t xml:space="preserve"> </w:t>
      </w:r>
      <w:r>
        <w:rPr>
          <w:b/>
          <w:bCs/>
        </w:rPr>
        <w:t xml:space="preserve">High Drift Velocity</w:t>
      </w:r>
      <w:r>
        <w:t xml:space="preserve">: Annual demand growth of 6–14% causes fast drift. A model retrained annually accumulated significant bias in just a few months. TIDE corrects this drift within 2 to 3 days.</w:t>
      </w:r>
      <w:r>
        <w:t xml:space="preserve"> </w:t>
      </w:r>
      <w:r>
        <w:t xml:space="preserve">2.</w:t>
      </w:r>
      <w:r>
        <w:t xml:space="preserve"> </w:t>
      </w:r>
      <w:r>
        <w:rPr>
          <w:b/>
          <w:bCs/>
        </w:rPr>
        <w:t xml:space="preserve">Scale Invariance</w:t>
      </w:r>
      <w:r>
        <w:t xml:space="preserve">: Because TIDE operates in normalized</w:t>
      </w:r>
      <w:r>
        <w:t xml:space="preserve"> </w:t>
      </w:r>
      <m:oMath>
        <m:r>
          <m:t>z</m:t>
        </m:r>
      </m:oMath>
      <w:r>
        <w:t xml:space="preserve">-score space, it automatically scales its corrections as the grid grows.</w:t>
      </w:r>
      <w:r>
        <w:t xml:space="preserve"> </w:t>
      </w:r>
      <w:r>
        <w:t xml:space="preserve">3.</w:t>
      </w:r>
      <w:r>
        <w:t xml:space="preserve"> </w:t>
      </w:r>
      <w:r>
        <w:rPr>
          <w:b/>
          <w:bCs/>
        </w:rPr>
        <w:t xml:space="preserve">Low Temperature Sensitivity</w:t>
      </w:r>
      <w:r>
        <w:t xml:space="preserve">: Because the temperature-load relationship is weak, most of the model’s residual error is driven by systematic bias rather than weather variations, making TIDE’s bias correction highly effective.</w:t>
      </w:r>
    </w:p>
    <w:bookmarkEnd w:id="52"/>
    <w:bookmarkStart w:id="53" w:name="X5100d5d05286439ea1b74f99de75d16365d7b07"/>
    <w:p>
      <w:pPr>
        <w:pStyle w:val="Heading3"/>
      </w:pPr>
      <w:r>
        <w:t xml:space="preserve">B. Computational Footprint &amp; Production Implementation</w:t>
      </w:r>
    </w:p>
    <w:p>
      <w:pPr>
        <w:pStyle w:val="FirstParagraph"/>
      </w:pPr>
      <w:r>
        <w:t xml:space="preserve">TIDE is designed to run as a lightweight service in resource-constrained environments. The computational overhead is negligible:</w:t>
      </w:r>
      <w:r>
        <w:t xml:space="preserve"> </w:t>
      </w:r>
      <w:r>
        <w:t xml:space="preserve">*</w:t>
      </w:r>
      <w:r>
        <w:t xml:space="preserve"> </w:t>
      </w:r>
      <w:r>
        <w:rPr>
          <w:b/>
          <w:bCs/>
        </w:rPr>
        <w:t xml:space="preserve">Time Complexity</w:t>
      </w:r>
      <w:r>
        <w:t xml:space="preserve">:</w:t>
      </w:r>
      <w:r>
        <w:t xml:space="preserve"> </w:t>
      </w:r>
      <m:oMath>
        <m:r>
          <m:rPr>
            <m:scr m:val="script"/>
            <m:sty m:val="p"/>
          </m:rPr>
          <m:t>O</m:t>
        </m:r>
        <m:r>
          <m:rPr>
            <m:sty m:val="p"/>
          </m:rPr>
          <m:t>(</m:t>
        </m:r>
        <m:r>
          <m:t>F</m:t>
        </m:r>
        <m:r>
          <m:rPr>
            <m:sty m:val="p"/>
          </m:rPr>
          <m:t>)</m:t>
        </m:r>
      </m:oMath>
      <w:r>
        <w:t xml:space="preserve"> </w:t>
      </w:r>
      <w:r>
        <w:t xml:space="preserve">per day, where</w:t>
      </w:r>
      <w:r>
        <w:t xml:space="preserve"> </w:t>
      </w:r>
      <m:oMath>
        <m:r>
          <m:t>F</m:t>
        </m:r>
        <m:r>
          <m:rPr>
            <m:sty m:val="p"/>
          </m:rPr>
          <m:t>=</m:t>
        </m:r>
        <m:r>
          <m:t>24</m:t>
        </m:r>
      </m:oMath>
      <w:r>
        <w:t xml:space="preserve"> </w:t>
      </w:r>
      <w:r>
        <w:t xml:space="preserve">is the forecast horizon. Updating the bias and correcting the forecast vector takes less than 1 millisecond on a standard CPU.</w:t>
      </w:r>
      <w:r>
        <w:t xml:space="preserve"> </w:t>
      </w:r>
      <w:r>
        <w:t xml:space="preserve">*</w:t>
      </w:r>
      <w:r>
        <w:t xml:space="preserve"> </w:t>
      </w:r>
      <w:r>
        <w:rPr>
          <w:b/>
          <w:bCs/>
        </w:rPr>
        <w:t xml:space="preserve">Space Complexity</w:t>
      </w:r>
      <w:r>
        <w:t xml:space="preserve">:</w:t>
      </w:r>
      <w:r>
        <w:t xml:space="preserve"> </w:t>
      </w:r>
      <m:oMath>
        <m:r>
          <m:rPr>
            <m:scr m:val="script"/>
            <m:sty m:val="p"/>
          </m:rPr>
          <m:t>O</m:t>
        </m:r>
        <m:r>
          <m:rPr>
            <m:sty m:val="p"/>
          </m:rPr>
          <m:t>(</m:t>
        </m:r>
        <m:r>
          <m:t>1</m:t>
        </m:r>
        <m:r>
          <m:rPr>
            <m:sty m:val="p"/>
          </m:rPr>
          <m:t>)</m:t>
        </m:r>
      </m:oMath>
      <w:r>
        <w:t xml:space="preserve"> </w:t>
      </w:r>
      <w:r>
        <w:t xml:space="preserve">storage space. The algorithm only needs to store a single scalar value: the running bias estimate</w:t>
      </w:r>
      <w:r>
        <w:t xml:space="preserve"> </w:t>
      </w:r>
      <m:oMath>
        <m:sSub>
          <m:e>
            <m:r>
              <m:t>b</m:t>
            </m:r>
          </m:e>
          <m:sub>
            <m:r>
              <m:t>t</m:t>
            </m:r>
          </m:sub>
        </m:sSub>
      </m:oMath>
      <w:r>
        <w:t xml:space="preserve">.</w:t>
      </w:r>
    </w:p>
    <w:p>
      <w:pPr>
        <w:pStyle w:val="BodyText"/>
      </w:pPr>
      <w:r>
        <w:t xml:space="preserve">The complete Python implementation is shown below: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TIDECorrector: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.b_t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Initialize normalized bias estimate</w:t>
      </w:r>
      <w:r>
        <w:br/>
      </w:r>
      <w:r>
        <w:rPr>
          <w:rStyle w:val="NormalTok"/>
        </w:rPr>
        <w:t xml:space="preserve">        </w:t>
      </w:r>
      <w:r>
        <w:br/>
      </w:r>
      <w:r>
        <w:rPr>
          <w:rStyle w:val="NormalTok"/>
        </w:rPr>
        <w:t xml:space="preserve">    </w:t>
      </w:r>
      <w:r>
        <w:rPr>
          <w:rStyle w:val="KeywordTok"/>
        </w:rPr>
        <w:t xml:space="preserve">def</w:t>
      </w:r>
      <w:r>
        <w:rPr>
          <w:rStyle w:val="NormalTok"/>
        </w:rPr>
        <w:t xml:space="preserve"> update_and_correct(</w:t>
      </w:r>
      <w:r>
        <w:rPr>
          <w:rStyle w:val="VariableTok"/>
        </w:rPr>
        <w:t xml:space="preserve">self</w:t>
      </w:r>
      <w:r>
        <w:rPr>
          <w:rStyle w:val="NormalTok"/>
        </w:rPr>
        <w:t xml:space="preserve">, </w:t>
      </w:r>
      <w:r>
        <w:br/>
      </w:r>
      <w:r>
        <w:rPr>
          <w:rStyle w:val="NormalTok"/>
        </w:rPr>
        <w:t xml:space="preserve">                           y_hat_raw: np.ndarray, </w:t>
      </w:r>
      <w:r>
        <w:br/>
      </w:r>
      <w:r>
        <w:rPr>
          <w:rStyle w:val="NormalTok"/>
        </w:rPr>
        <w:t xml:space="preserve">                           y_raw: np.ndarray, </w:t>
      </w:r>
      <w:r>
        <w:br/>
      </w:r>
      <w:r>
        <w:rPr>
          <w:rStyle w:val="NormalTok"/>
        </w:rPr>
        <w:t xml:space="preserve">                           mu: </w:t>
      </w:r>
      <w:r>
        <w:rPr>
          <w:rStyle w:val="BuiltInTok"/>
        </w:rPr>
        <w:t xml:space="preserve">float</w:t>
      </w:r>
      <w:r>
        <w:rPr>
          <w:rStyle w:val="NormalTok"/>
        </w:rPr>
        <w:t xml:space="preserve">, </w:t>
      </w:r>
      <w:r>
        <w:br/>
      </w:r>
      <w:r>
        <w:rPr>
          <w:rStyle w:val="NormalTok"/>
        </w:rPr>
        <w:t xml:space="preserve">                           sigma: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Updates the bias estimate and corrects the next-day raw forecast.</w:t>
      </w:r>
      <w:r>
        <w:br/>
      </w:r>
      <w:r>
        <w:rPr>
          <w:rStyle w:val="CommentTok"/>
        </w:rPr>
        <w:t xml:space="preserve">        Args:</w:t>
      </w:r>
      <w:r>
        <w:br/>
      </w:r>
      <w:r>
        <w:rPr>
          <w:rStyle w:val="CommentTok"/>
        </w:rPr>
        <w:t xml:space="preserve">            y_hat_raw: array of raw predictions for day t (shape: 24,)</w:t>
      </w:r>
      <w:r>
        <w:br/>
      </w:r>
      <w:r>
        <w:rPr>
          <w:rStyle w:val="CommentTok"/>
        </w:rPr>
        <w:t xml:space="preserve">            y_raw: array of raw observed actuals for day t (shape: 24,)</w:t>
      </w:r>
      <w:r>
        <w:br/>
      </w:r>
      <w:r>
        <w:rPr>
          <w:rStyle w:val="CommentTok"/>
        </w:rPr>
        <w:t xml:space="preserve">            mu: training mean of the current fold</w:t>
      </w:r>
      <w:r>
        <w:br/>
      </w:r>
      <w:r>
        <w:rPr>
          <w:rStyle w:val="CommentTok"/>
        </w:rPr>
        <w:t xml:space="preserve">            sigma: training standard deviation of the current fold</w:t>
      </w:r>
      <w:r>
        <w:br/>
      </w:r>
      <w:r>
        <w:rPr>
          <w:rStyle w:val="CommentTok"/>
        </w:rPr>
        <w:t xml:space="preserve">        Returns:</w:t>
      </w:r>
      <w:r>
        <w:br/>
      </w:r>
      <w:r>
        <w:rPr>
          <w:rStyle w:val="CommentTok"/>
        </w:rPr>
        <w:t xml:space="preserve">            corrected_y_hat: array of corrected predictions (shape: 24,)</w:t>
      </w:r>
      <w:r>
        <w:br/>
      </w:r>
      <w:r>
        <w:rPr>
          <w:rStyle w:val="CommentTok"/>
        </w:rPr>
        <w:t xml:space="preserve">        """</w:t>
      </w:r>
      <w:r>
        <w:br/>
      </w:r>
      <w:r>
        <w:rPr>
          <w:rStyle w:val="NormalTok"/>
        </w:rPr>
        <w:t xml:space="preserve">        </w:t>
      </w:r>
      <w:r>
        <w:rPr>
          <w:rStyle w:val="CommentTok"/>
        </w:rPr>
        <w:t xml:space="preserve"># 1. Normalize forecast and actual values</w:t>
      </w:r>
      <w:r>
        <w:br/>
      </w:r>
      <w:r>
        <w:rPr>
          <w:rStyle w:val="NormalTok"/>
        </w:rPr>
        <w:t xml:space="preserve">        z_hat </w:t>
      </w:r>
      <w:r>
        <w:rPr>
          <w:rStyle w:val="OperatorTok"/>
        </w:rPr>
        <w:t xml:space="preserve">=</w:t>
      </w:r>
      <w:r>
        <w:rPr>
          <w:rStyle w:val="NormalTok"/>
        </w:rPr>
        <w:t xml:space="preserve"> (y_hat_raw </w:t>
      </w:r>
      <w:r>
        <w:rPr>
          <w:rStyle w:val="OperatorTok"/>
        </w:rPr>
        <w:t xml:space="preserve">-</w:t>
      </w:r>
      <w:r>
        <w:rPr>
          <w:rStyle w:val="NormalTok"/>
        </w:rPr>
        <w:t xml:space="preserve"> mu) </w:t>
      </w:r>
      <w:r>
        <w:rPr>
          <w:rStyle w:val="OperatorTok"/>
        </w:rPr>
        <w:t xml:space="preserve">/</w:t>
      </w:r>
      <w:r>
        <w:rPr>
          <w:rStyle w:val="NormalTok"/>
        </w:rPr>
        <w:t xml:space="preserve"> sigma</w:t>
      </w:r>
      <w:r>
        <w:br/>
      </w:r>
      <w:r>
        <w:rPr>
          <w:rStyle w:val="NormalTok"/>
        </w:rPr>
        <w:t xml:space="preserve">        z </w:t>
      </w:r>
      <w:r>
        <w:rPr>
          <w:rStyle w:val="OperatorTok"/>
        </w:rPr>
        <w:t xml:space="preserve">=</w:t>
      </w:r>
      <w:r>
        <w:rPr>
          <w:rStyle w:val="NormalTok"/>
        </w:rPr>
        <w:t xml:space="preserve"> (y_raw </w:t>
      </w:r>
      <w:r>
        <w:rPr>
          <w:rStyle w:val="OperatorTok"/>
        </w:rPr>
        <w:t xml:space="preserve">-</w:t>
      </w:r>
      <w:r>
        <w:rPr>
          <w:rStyle w:val="NormalTok"/>
        </w:rPr>
        <w:t xml:space="preserve"> mu) </w:t>
      </w:r>
      <w:r>
        <w:rPr>
          <w:rStyle w:val="OperatorTok"/>
        </w:rPr>
        <w:t xml:space="preserve">/</w:t>
      </w:r>
      <w:r>
        <w:rPr>
          <w:rStyle w:val="NormalTok"/>
        </w:rPr>
        <w:t xml:space="preserve"> sigma</w:t>
      </w:r>
      <w:r>
        <w:br/>
      </w:r>
      <w:r>
        <w:rPr>
          <w:rStyle w:val="NormalTok"/>
        </w:rPr>
        <w:t xml:space="preserve">        </w:t>
      </w:r>
      <w:r>
        <w:br/>
      </w:r>
      <w:r>
        <w:rPr>
          <w:rStyle w:val="NormalTok"/>
        </w:rPr>
        <w:t xml:space="preserve">        </w:t>
      </w:r>
      <w:r>
        <w:rPr>
          <w:rStyle w:val="CommentTok"/>
        </w:rPr>
        <w:t xml:space="preserve"># 2. Compute mean normalized daily error</w:t>
      </w:r>
      <w:r>
        <w:br/>
      </w:r>
      <w:r>
        <w:rPr>
          <w:rStyle w:val="NormalTok"/>
        </w:rPr>
        <w:t xml:space="preserve">        epsilon_t </w:t>
      </w:r>
      <w:r>
        <w:rPr>
          <w:rStyle w:val="OperatorTok"/>
        </w:rPr>
        <w:t xml:space="preserve">=</w:t>
      </w:r>
      <w:r>
        <w:rPr>
          <w:rStyle w:val="NormalTok"/>
        </w:rPr>
        <w:t xml:space="preserve"> z </w:t>
      </w:r>
      <w:r>
        <w:rPr>
          <w:rStyle w:val="OperatorTok"/>
        </w:rPr>
        <w:t xml:space="preserve">-</w:t>
      </w:r>
      <w:r>
        <w:rPr>
          <w:rStyle w:val="NormalTok"/>
        </w:rPr>
        <w:t xml:space="preserve"> z_hat</w:t>
      </w:r>
      <w:r>
        <w:br/>
      </w:r>
      <w:r>
        <w:rPr>
          <w:rStyle w:val="NormalTok"/>
        </w:rPr>
        <w:t xml:space="preserve">        mean_epsilon </w:t>
      </w:r>
      <w:r>
        <w:rPr>
          <w:rStyle w:val="OperatorTok"/>
        </w:rPr>
        <w:t xml:space="preserve">=</w:t>
      </w:r>
      <w:r>
        <w:rPr>
          <w:rStyle w:val="NormalTok"/>
        </w:rPr>
        <w:t xml:space="preserve"> np.mean(epsilon_t)</w:t>
      </w:r>
      <w:r>
        <w:br/>
      </w:r>
      <w:r>
        <w:rPr>
          <w:rStyle w:val="NormalTok"/>
        </w:rPr>
        <w:t xml:space="preserve">        </w:t>
      </w:r>
      <w:r>
        <w:br/>
      </w:r>
      <w:r>
        <w:rPr>
          <w:rStyle w:val="NormalTok"/>
        </w:rPr>
        <w:t xml:space="preserve">        </w:t>
      </w:r>
      <w:r>
        <w:rPr>
          <w:rStyle w:val="CommentTok"/>
        </w:rPr>
        <w:t xml:space="preserve"># 3. Update running bias estimate using EMA</w:t>
      </w:r>
      <w:r>
        <w:br/>
      </w:r>
      <w:r>
        <w:rPr>
          <w:rStyle w:val="NormalTok"/>
        </w:rPr>
        <w:t xml:space="preserve">        </w:t>
      </w:r>
      <w:r>
        <w:rPr>
          <w:rStyle w:val="VariableTok"/>
        </w:rPr>
        <w:t xml:space="preserve">self</w:t>
      </w:r>
      <w:r>
        <w:rPr>
          <w:rStyle w:val="NormalTok"/>
        </w:rPr>
        <w:t xml:space="preserve">.b_t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mean_epsilon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w:t>
      </w:r>
      <w:r>
        <w:rPr>
          <w:rStyle w:val="VariableTok"/>
        </w:rPr>
        <w:t xml:space="preserve">self</w:t>
      </w:r>
      <w:r>
        <w:rPr>
          <w:rStyle w:val="NormalTok"/>
        </w:rPr>
        <w:t xml:space="preserve">.b_t</w:t>
      </w:r>
      <w:r>
        <w:br/>
      </w:r>
      <w:r>
        <w:rPr>
          <w:rStyle w:val="NormalTok"/>
        </w:rPr>
        <w:t xml:space="preserve">        </w:t>
      </w:r>
      <w:r>
        <w:br/>
      </w:r>
      <w:r>
        <w:rPr>
          <w:rStyle w:val="NormalTok"/>
        </w:rPr>
        <w:t xml:space="preserve">        </w:t>
      </w:r>
      <w:r>
        <w:rPr>
          <w:rStyle w:val="CommentTok"/>
        </w:rPr>
        <w:t xml:space="preserve"># 4. Correct normalized predictions and denormalize</w:t>
      </w:r>
      <w:r>
        <w:br/>
      </w:r>
      <w:r>
        <w:rPr>
          <w:rStyle w:val="NormalTok"/>
        </w:rPr>
        <w:t xml:space="preserve">        z_hat_corrected </w:t>
      </w:r>
      <w:r>
        <w:rPr>
          <w:rStyle w:val="OperatorTok"/>
        </w:rPr>
        <w:t xml:space="preserve">=</w:t>
      </w:r>
      <w:r>
        <w:rPr>
          <w:rStyle w:val="NormalTok"/>
        </w:rPr>
        <w:t xml:space="preserve"> z_hat </w:t>
      </w:r>
      <w:r>
        <w:rPr>
          <w:rStyle w:val="OperatorTok"/>
        </w:rPr>
        <w:t xml:space="preserve">+</w:t>
      </w:r>
      <w:r>
        <w:rPr>
          <w:rStyle w:val="NormalTok"/>
        </w:rPr>
        <w:t xml:space="preserve"> </w:t>
      </w:r>
      <w:r>
        <w:rPr>
          <w:rStyle w:val="VariableTok"/>
        </w:rPr>
        <w:t xml:space="preserve">self</w:t>
      </w:r>
      <w:r>
        <w:rPr>
          <w:rStyle w:val="NormalTok"/>
        </w:rPr>
        <w:t xml:space="preserve">.b_t</w:t>
      </w:r>
      <w:r>
        <w:br/>
      </w:r>
      <w:r>
        <w:rPr>
          <w:rStyle w:val="NormalTok"/>
        </w:rPr>
        <w:t xml:space="preserve">        y_hat_corrected </w:t>
      </w:r>
      <w:r>
        <w:rPr>
          <w:rStyle w:val="OperatorTok"/>
        </w:rPr>
        <w:t xml:space="preserve">=</w:t>
      </w:r>
      <w:r>
        <w:rPr>
          <w:rStyle w:val="NormalTok"/>
        </w:rPr>
        <w:t xml:space="preserve"> z_hat_corrected </w:t>
      </w:r>
      <w:r>
        <w:rPr>
          <w:rStyle w:val="OperatorTok"/>
        </w:rPr>
        <w:t xml:space="preserve">*</w:t>
      </w:r>
      <w:r>
        <w:rPr>
          <w:rStyle w:val="NormalTok"/>
        </w:rPr>
        <w:t xml:space="preserve"> sigma </w:t>
      </w:r>
      <w:r>
        <w:rPr>
          <w:rStyle w:val="OperatorTok"/>
        </w:rPr>
        <w:t xml:space="preserve">+</w:t>
      </w:r>
      <w:r>
        <w:rPr>
          <w:rStyle w:val="NormalTok"/>
        </w:rPr>
        <w:t xml:space="preserve"> mu</w:t>
      </w:r>
      <w:r>
        <w:br/>
      </w:r>
      <w:r>
        <w:rPr>
          <w:rStyle w:val="NormalTok"/>
        </w:rPr>
        <w:t xml:space="preserve">        </w:t>
      </w:r>
      <w:r>
        <w:br/>
      </w:r>
      <w:r>
        <w:rPr>
          <w:rStyle w:val="NormalTok"/>
        </w:rPr>
        <w:t xml:space="preserve">        </w:t>
      </w:r>
      <w:r>
        <w:rPr>
          <w:rStyle w:val="ControlFlowTok"/>
        </w:rPr>
        <w:t xml:space="preserve">return</w:t>
      </w:r>
      <w:r>
        <w:rPr>
          <w:rStyle w:val="NormalTok"/>
        </w:rPr>
        <w:t xml:space="preserve"> y_hat_corrected</w:t>
      </w:r>
    </w:p>
    <w:bookmarkEnd w:id="53"/>
    <w:bookmarkStart w:id="54" w:name="c.-operational-recommendations"/>
    <w:p>
      <w:pPr>
        <w:pStyle w:val="Heading3"/>
      </w:pPr>
      <w:r>
        <w:t xml:space="preserve">C. Operational Recommendations</w:t>
      </w:r>
    </w:p>
    <w:p>
      <w:pPr>
        <w:pStyle w:val="FirstParagraph"/>
      </w:pPr>
      <w:r>
        <w:t xml:space="preserve">For grid operators in developing economies, we recommend the following deployment strategy:</w:t>
      </w:r>
      <w:r>
        <w:t xml:space="preserve"> </w:t>
      </w:r>
      <w:r>
        <w:t xml:space="preserve">1.</w:t>
      </w:r>
      <w:r>
        <w:t xml:space="preserve"> </w:t>
      </w:r>
      <w:r>
        <w:rPr>
          <w:b/>
          <w:bCs/>
        </w:rPr>
        <w:t xml:space="preserve">Model Selection</w:t>
      </w:r>
      <w:r>
        <w:t xml:space="preserve">: Deploy a single DLinear model. It is computationally efficient and outperforms complex architectures on these grids.</w:t>
      </w:r>
      <w:r>
        <w:t xml:space="preserve"> </w:t>
      </w:r>
      <w:r>
        <w:t xml:space="preserve">2.</w:t>
      </w:r>
      <w:r>
        <w:t xml:space="preserve"> </w:t>
      </w:r>
      <w:r>
        <w:rPr>
          <w:b/>
          <w:bCs/>
        </w:rPr>
        <w:t xml:space="preserve">Data Windowing</w:t>
      </w:r>
      <w:r>
        <w:t xml:space="preserve">: Train the model on the most recent</w:t>
      </w:r>
      <w:r>
        <w:t xml:space="preserve"> </w:t>
      </w:r>
      <w:r>
        <w:rPr>
          <w:b/>
          <w:bCs/>
        </w:rPr>
        <w:t xml:space="preserve">3 years of historical data</w:t>
      </w:r>
      <w:r>
        <w:t xml:space="preserve"> </w:t>
      </w:r>
      <w:r>
        <w:t xml:space="preserve">to capture recent consumption trends while avoiding obsolete demand scales.</w:t>
      </w:r>
      <w:r>
        <w:t xml:space="preserve"> </w:t>
      </w:r>
      <w:r>
        <w:t xml:space="preserve">3.</w:t>
      </w:r>
      <w:r>
        <w:t xml:space="preserve"> </w:t>
      </w:r>
      <w:r>
        <w:rPr>
          <w:b/>
          <w:bCs/>
        </w:rPr>
        <w:t xml:space="preserve">Imputation</w:t>
      </w:r>
      <w:r>
        <w:t xml:space="preserve">: Run the load-shedding detection and imputation pipeline daily to keep the training data clean.</w:t>
      </w:r>
      <w:r>
        <w:t xml:space="preserve"> </w:t>
      </w:r>
      <w:r>
        <w:t xml:space="preserve">4.</w:t>
      </w:r>
      <w:r>
        <w:t xml:space="preserve"> </w:t>
      </w:r>
      <w:r>
        <w:rPr>
          <w:b/>
          <w:bCs/>
        </w:rPr>
        <w:t xml:space="preserve">Correction</w:t>
      </w:r>
      <w:r>
        <w:t xml:space="preserve">: Apply TIDE online. Update the bias estimate</w:t>
      </w:r>
      <w:r>
        <w:t xml:space="preserve"> </w:t>
      </w:r>
      <m:oMath>
        <m:sSub>
          <m:e>
            <m:r>
              <m:t>b</m:t>
            </m:r>
          </m:e>
          <m:sub>
            <m:r>
              <m:t>t</m:t>
            </m:r>
          </m:sub>
        </m:sSub>
      </m:oMath>
      <w:r>
        <w:t xml:space="preserve"> </w:t>
      </w:r>
      <w:r>
        <w:t xml:space="preserve">daily at midnight once the actuals are observed, and apply it to the day-ahead forecast.</w:t>
      </w:r>
      <w:r>
        <w:t xml:space="preserve"> </w:t>
      </w:r>
      <w:r>
        <w:t xml:space="preserve">5.</w:t>
      </w:r>
      <w:r>
        <w:t xml:space="preserve"> </w:t>
      </w:r>
      <w:r>
        <w:rPr>
          <w:b/>
          <w:bCs/>
        </w:rPr>
        <w:t xml:space="preserve">Retraining Frequency</w:t>
      </w:r>
      <w:r>
        <w:t xml:space="preserve">: Retrain the model</w:t>
      </w:r>
      <w:r>
        <w:t xml:space="preserve"> </w:t>
      </w:r>
      <w:r>
        <w:rPr>
          <w:b/>
          <w:bCs/>
        </w:rPr>
        <w:t xml:space="preserve">annually</w:t>
      </w:r>
      <w:r>
        <w:t xml:space="preserve"> </w:t>
      </w:r>
      <w:r>
        <w:t xml:space="preserve">to reset the baseline parameters. TIDE will handle all the drift that accumulates between these retraining cycles, eliminating the need for complex, frequent training runs.</w:t>
      </w:r>
    </w:p>
    <w:p>
      <w:r>
        <w:pict>
          <v:rect style="width:0;height:1.5pt" o:hralign="center" o:hrstd="t" o:hr="t"/>
        </w:pict>
      </w:r>
    </w:p>
    <w:bookmarkEnd w:id="54"/>
    <w:bookmarkEnd w:id="55"/>
    <w:bookmarkStart w:id="56" w:name="ix.-conclusion-and-future-work"/>
    <w:p>
      <w:pPr>
        <w:pStyle w:val="Heading2"/>
      </w:pPr>
      <w:r>
        <w:t xml:space="preserve">IX. Conclusion and Future Work</w:t>
      </w:r>
    </w:p>
    <w:p>
      <w:pPr>
        <w:pStyle w:val="FirstParagraph"/>
      </w:pPr>
      <w:r>
        <w:t xml:space="preserve">This paper investigated the challenges of short-term load forecasting (STLF) in rapidly growing electricity grids, focusing on a West African grid that grew by 94% over an eight-year period (2018–2026). Using a 6-fold expanding-window cross-validation framework on a DLinear baseline, we showed that rapid growth leads to systematic under-forecasting bias between retraining cycles.</w:t>
      </w:r>
    </w:p>
    <w:p>
      <w:pPr>
        <w:pStyle w:val="BodyText"/>
      </w:pPr>
      <w:r>
        <w:t xml:space="preserve">To resolve this, we introduced</w:t>
      </w:r>
      <w:r>
        <w:t xml:space="preserve"> </w:t>
      </w:r>
      <w:r>
        <w:rPr>
          <w:b/>
          <w:bCs/>
        </w:rPr>
        <w:t xml:space="preserve">TIDE (Temporal Integration of Drift Errors)</w:t>
      </w:r>
      <w:r>
        <w:t xml:space="preserve">, an online bias correction mechanism that operates in normalized</w:t>
      </w:r>
      <w:r>
        <w:t xml:space="preserve"> </w:t>
      </w:r>
      <m:oMath>
        <m:r>
          <m:t>z</m:t>
        </m:r>
      </m:oMath>
      <w:r>
        <w:t xml:space="preserve">-score space. TIDE tracks recent prediction errors and updates an exponentially weighted moving average (EMA) of the bias, which is then subtracted from future forecasts.</w:t>
      </w:r>
    </w:p>
    <w:p>
      <w:pPr>
        <w:pStyle w:val="BodyText"/>
      </w:pPr>
      <w:r>
        <w:t xml:space="preserve">Our experiments showed that:</w:t>
      </w:r>
      <w:r>
        <w:t xml:space="preserve"> </w:t>
      </w:r>
      <w:r>
        <w:t xml:space="preserve">1. TIDE reduces the mean cross-validation MAE of DLinear from 93.9 MW to 75.9 MW (a 19.2% improvement), reduces systematic under-forecasting bias by 87.3%, and generalizes across eleven architectures, yielding a consistent 23–26% error reduction.</w:t>
      </w:r>
      <w:r>
        <w:t xml:space="preserve"> </w:t>
      </w:r>
      <w:r>
        <w:t xml:space="preserve">2. We derived TIDE as a steady-state Kalman filter, explaining its theoretical robustness under noisy grid conditions.</w:t>
      </w:r>
      <w:r>
        <w:t xml:space="preserve"> </w:t>
      </w:r>
      <w:r>
        <w:t xml:space="preserve">3. TIDE outperforms traditional correctors (Simple Moving Averages, linear trend models, and dynamic Kalman filters) while requiring no parameter tuning.</w:t>
      </w:r>
      <w:r>
        <w:t xml:space="preserve"> </w:t>
      </w:r>
      <w:r>
        <w:t xml:space="preserve">4. For production deployment, a single DLinear model trained on the most recent 2 to 4 years of data combined with TIDE is sufficient, eliminating the need for complex ensembles or large historical datasets.</w:t>
      </w:r>
    </w:p>
    <w:p>
      <w:pPr>
        <w:pStyle w:val="BodyText"/>
      </w:pPr>
      <w:r>
        <w:t xml:space="preserve">Future work will focus on extending TIDE to handle non-additive drift (such as variance and structural shape shifts) and investigating methods to dynamically estimate the optimal EMA smoothing parameter</w:t>
      </w:r>
      <w:r>
        <w:t xml:space="preserve"> </w:t>
      </w:r>
      <m:oMath>
        <m:r>
          <m:t>α</m:t>
        </m:r>
      </m:oMath>
      <w:r>
        <w:t xml:space="preserve"> </w:t>
      </w:r>
      <w:r>
        <w:t xml:space="preserve">based on real-time grid conditions.</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[1] A. Zeng, M. Chen, L. Zhang, and Q. Xu,</w:t>
      </w:r>
      <w:r>
        <w:t xml:space="preserve"> </w:t>
      </w:r>
      <w:r>
        <w:t xml:space="preserve">“Are transformers effective for time series forecasting?”</w:t>
      </w:r>
      <w:r>
        <w:t xml:space="preserve"> </w:t>
      </w:r>
      <w:r>
        <w:t xml:space="preserve">in</w:t>
      </w:r>
      <w:r>
        <w:t xml:space="preserve"> </w:t>
      </w:r>
      <w:r>
        <w:rPr>
          <w:i/>
          <w:iCs/>
        </w:rPr>
        <w:t xml:space="preserve">Proceedings of the AAAI Conference on Artificial Intelligence</w:t>
      </w:r>
      <w:r>
        <w:t xml:space="preserve">, vol. 37, no. 9, 2023, pp. 11121–11129.</w:t>
      </w:r>
    </w:p>
    <w:p>
      <w:pPr>
        <w:pStyle w:val="BodyText"/>
      </w:pPr>
      <w:r>
        <w:t xml:space="preserve">[2] N. H. Mvungi, B. M. M. Mwinyiwiwa, and S. N. Kiongo,</w:t>
      </w:r>
      <w:r>
        <w:t xml:space="preserve"> </w:t>
      </w:r>
      <w:r>
        <w:t xml:space="preserve">“Load forecasting for Tanzania’s power system: Challenges and opportunities,”</w:t>
      </w:r>
      <w:r>
        <w:t xml:space="preserve"> </w:t>
      </w:r>
      <w:r>
        <w:rPr>
          <w:i/>
          <w:iCs/>
        </w:rPr>
        <w:t xml:space="preserve">Journal of Energy in Southern Africa</w:t>
      </w:r>
      <w:r>
        <w:t xml:space="preserve">, vol. 32, no. 2, pp. 48–59, 2021.</w:t>
      </w:r>
    </w:p>
    <w:p>
      <w:pPr>
        <w:pStyle w:val="BodyText"/>
      </w:pPr>
      <w:r>
        <w:t xml:space="preserve">[3] A. C. Harvey,</w:t>
      </w:r>
      <w:r>
        <w:t xml:space="preserve"> </w:t>
      </w:r>
      <w:r>
        <w:rPr>
          <w:i/>
          <w:iCs/>
        </w:rPr>
        <w:t xml:space="preserve">Forecasting, Structural Time Series Models and the Kalman Filter</w:t>
      </w:r>
      <w:r>
        <w:t xml:space="preserve">. Cambridge, U.K.: Cambridge Univ. Press, 1990.</w:t>
      </w:r>
    </w:p>
    <w:p>
      <w:pPr>
        <w:pStyle w:val="BodyText"/>
      </w:pPr>
      <w:r>
        <w:t xml:space="preserve">[4] J. Gama, I. Žliobaitė, A. Bifet, M. Pechenizkiy, and A. Bouchachia,</w:t>
      </w:r>
      <w:r>
        <w:t xml:space="preserve"> </w:t>
      </w:r>
      <w:r>
        <w:t xml:space="preserve">“A survey on concept drift adaptation,”</w:t>
      </w:r>
      <w:r>
        <w:t xml:space="preserve"> </w:t>
      </w:r>
      <w:r>
        <w:rPr>
          <w:i/>
          <w:iCs/>
        </w:rPr>
        <w:t xml:space="preserve">ACM Computing Surveys</w:t>
      </w:r>
      <w:r>
        <w:t xml:space="preserve">, vol. 46, no. 4, pp. 1–37, 2014.</w:t>
      </w:r>
    </w:p>
    <w:p>
      <w:pPr>
        <w:pStyle w:val="BodyText"/>
      </w:pPr>
      <w:r>
        <w:t xml:space="preserve">[5] G. I. Webb, R. Hyde, H. Cao, H. L. Nguyen, and F. Petitjean,</w:t>
      </w:r>
      <w:r>
        <w:t xml:space="preserve"> </w:t>
      </w:r>
      <w:r>
        <w:t xml:space="preserve">“Characterizing concept drift,”</w:t>
      </w:r>
      <w:r>
        <w:t xml:space="preserve"> </w:t>
      </w:r>
      <w:r>
        <w:rPr>
          <w:i/>
          <w:iCs/>
        </w:rPr>
        <w:t xml:space="preserve">Data Mining and Knowledge Discovery</w:t>
      </w:r>
      <w:r>
        <w:t xml:space="preserve">, vol. 30, no. 4, pp. 964–994, 2016.</w:t>
      </w:r>
    </w:p>
    <w:p>
      <w:pPr>
        <w:pStyle w:val="BodyText"/>
      </w:pPr>
      <w:r>
        <w:t xml:space="preserve">[6] A. N. Angelopoulos, S. Bates, C. Fannjiang, M. I. Jordan, and T. Zrnic,</w:t>
      </w:r>
      <w:r>
        <w:t xml:space="preserve"> </w:t>
      </w:r>
      <w:r>
        <w:t xml:space="preserve">“Conformal risk control,”</w:t>
      </w:r>
      <w:r>
        <w:t xml:space="preserve"> </w:t>
      </w:r>
      <w:r>
        <w:t xml:space="preserve">arXiv preprint arXiv:2206.07476, 2023.</w:t>
      </w:r>
    </w:p>
    <w:p>
      <w:pPr>
        <w:pStyle w:val="BodyText"/>
      </w:pPr>
      <w:r>
        <w:t xml:space="preserve">[7] S. Mouatadid, S. Radhakrishnan, P. Gentine, and M. Reichstein,</w:t>
      </w:r>
      <w:r>
        <w:t xml:space="preserve"> </w:t>
      </w:r>
      <w:r>
        <w:t xml:space="preserve">“ABC: A machine learning framework for subseasonal-to-seasonal forecasting,”</w:t>
      </w:r>
      <w:r>
        <w:t xml:space="preserve"> </w:t>
      </w:r>
      <w:r>
        <w:rPr>
          <w:i/>
          <w:iCs/>
        </w:rPr>
        <w:t xml:space="preserve">Geophysical Research Letters</w:t>
      </w:r>
      <w:r>
        <w:t xml:space="preserve">, vol. 50, no. 12, p. e2023GL103521, 2023.</w:t>
      </w:r>
    </w:p>
    <w:p>
      <w:pPr>
        <w:pStyle w:val="BodyText"/>
      </w:pPr>
      <w:r>
        <w:t xml:space="preserve">[8] A. Farchi, P. Laloyaux, and M. Bonavita,</w:t>
      </w:r>
      <w:r>
        <w:t xml:space="preserve"> </w:t>
      </w:r>
      <w:r>
        <w:t xml:space="preserve">“Neural network data assimilation in the ECMWF 4D-Var system,”</w:t>
      </w:r>
      <w:r>
        <w:t xml:space="preserve"> </w:t>
      </w:r>
      <w:r>
        <w:rPr>
          <w:i/>
          <w:iCs/>
        </w:rPr>
        <w:t xml:space="preserve">Journal of Advances in Modeling Earth Systems</w:t>
      </w:r>
      <w:r>
        <w:t xml:space="preserve">, vol. 16, no. 3, 2024.</w:t>
      </w:r>
    </w:p>
    <w:p>
      <w:pPr>
        <w:pStyle w:val="BodyText"/>
      </w:pPr>
      <w:r>
        <w:t xml:space="preserve">[9] Y. Xie, W. Zhang, and J. Wang,</w:t>
      </w:r>
      <w:r>
        <w:t xml:space="preserve"> </w:t>
      </w:r>
      <w:r>
        <w:t xml:space="preserve">“Two-stage bias correction for short-term load forecasting under distribution shift,”</w:t>
      </w:r>
      <w:r>
        <w:t xml:space="preserve"> </w:t>
      </w:r>
      <w:r>
        <w:rPr>
          <w:i/>
          <w:iCs/>
        </w:rPr>
        <w:t xml:space="preserve">IEEE Transactions on Power Systems</w:t>
      </w:r>
      <w:r>
        <w:t xml:space="preserve">, vol. 40, no. 1, pp. 456–467, 2025.</w:t>
      </w:r>
    </w:p>
    <w:p>
      <w:pPr>
        <w:pStyle w:val="BodyText"/>
      </w:pPr>
      <w:r>
        <w:t xml:space="preserve">[10] International Energy Agency (IEA),</w:t>
      </w:r>
      <w:r>
        <w:t xml:space="preserve"> </w:t>
      </w:r>
      <w:r>
        <w:rPr>
          <w:i/>
          <w:iCs/>
        </w:rPr>
        <w:t xml:space="preserve">Africa Energy Outlook 2023</w:t>
      </w:r>
      <w:r>
        <w:t xml:space="preserve">. Paris, France: IEA, 2023.</w:t>
      </w:r>
    </w:p>
    <w:p>
      <w:pPr>
        <w:pStyle w:val="BodyText"/>
      </w:pPr>
      <w:r>
        <w:t xml:space="preserve">[11] K. Stankeviciute, A. M. Alaa, and M. van der Schaar,</w:t>
      </w:r>
      <w:r>
        <w:t xml:space="preserve"> </w:t>
      </w:r>
      <w:r>
        <w:t xml:space="preserve">“Conformal time-series forecasting,”</w:t>
      </w:r>
      <w:r>
        <w:t xml:space="preserve"> </w:t>
      </w:r>
      <w:r>
        <w:rPr>
          <w:i/>
          <w:iCs/>
        </w:rPr>
        <w:t xml:space="preserve">Advances in Neural Information Processing Systems</w:t>
      </w:r>
      <w:r>
        <w:t xml:space="preserve">, vol. 34, pp. 6216–6228, 2021.</w:t>
      </w:r>
    </w:p>
    <w:p>
      <w:pPr>
        <w:pStyle w:val="BodyText"/>
      </w:pPr>
      <w:r>
        <w:t xml:space="preserve">[12] WAPDA,</w:t>
      </w:r>
      <w:r>
        <w:t xml:space="preserve"> </w:t>
      </w:r>
      <w:r>
        <w:t xml:space="preserve">“Load forecasting for Pakistan’s power system: A machine learning approach,”</w:t>
      </w:r>
      <w:r>
        <w:t xml:space="preserve"> </w:t>
      </w:r>
      <w:r>
        <w:t xml:space="preserve">Water and Power Development Authority, Lahore, Pakistan, Tech. Rep., 2020.</w:t>
      </w:r>
    </w:p>
    <w:p>
      <w:pPr>
        <w:pStyle w:val="BodyText"/>
      </w:pPr>
      <w:r>
        <w:t xml:space="preserve">[13] J. Lu, A. Liu, F. Dong, F. Gu, J. Gama, and G. Zhang,</w:t>
      </w:r>
      <w:r>
        <w:t xml:space="preserve"> </w:t>
      </w:r>
      <w:r>
        <w:t xml:space="preserve">“Learning under concept drift: A review,”</w:t>
      </w:r>
      <w:r>
        <w:t xml:space="preserve"> </w:t>
      </w:r>
      <w:r>
        <w:rPr>
          <w:i/>
          <w:iCs/>
        </w:rPr>
        <w:t xml:space="preserve">IEEE Transactions on Knowledge and Data Engineering</w:t>
      </w:r>
      <w:r>
        <w:t xml:space="preserve">, vol. 31, no. 12, pp. 2346–2363, 2018.</w:t>
      </w:r>
    </w:p>
    <w:p>
      <w:pPr>
        <w:pStyle w:val="BodyText"/>
      </w:pPr>
      <w:r>
        <w:t xml:space="preserve">[14] R. J. Hyndman and G. Athanasopoulos,</w:t>
      </w:r>
      <w:r>
        <w:t xml:space="preserve"> </w:t>
      </w:r>
      <w:r>
        <w:rPr>
          <w:i/>
          <w:iCs/>
        </w:rPr>
        <w:t xml:space="preserve">Forecasting: Principles and Practice</w:t>
      </w:r>
      <w:r>
        <w:t xml:space="preserve">, 3rd ed. Melbourne, Australia: OTexts, 2021.</w:t>
      </w:r>
    </w:p>
    <w:p>
      <w:pPr>
        <w:pStyle w:val="BodyText"/>
      </w:pPr>
      <w:r>
        <w:t xml:space="preserve">[15] A. Sobolev,</w:t>
      </w:r>
      <w:r>
        <w:t xml:space="preserve"> </w:t>
      </w:r>
      <w:r>
        <w:rPr>
          <w:i/>
          <w:iCs/>
        </w:rPr>
        <w:t xml:space="preserve">Sobolev Spaces and Regularization in Function Spaces</w:t>
      </w:r>
      <w:r>
        <w:t xml:space="preserve">. Berlin, Germany: Springer, 1995.</w:t>
      </w:r>
    </w:p>
    <w:p>
      <w:pPr>
        <w:pStyle w:val="BodyText"/>
      </w:pPr>
      <w:r>
        <w:t xml:space="preserve">[16] G. E. Box, G. M. Jenkins, G. C. Reinsel, and G. M. Ljung,</w:t>
      </w:r>
      <w:r>
        <w:t xml:space="preserve"> </w:t>
      </w:r>
      <w:r>
        <w:rPr>
          <w:i/>
          <w:iCs/>
        </w:rPr>
        <w:t xml:space="preserve">Time Series Analysis: Forecasting and Control</w:t>
      </w:r>
      <w:r>
        <w:t xml:space="preserve">, 5th ed. Hoboken, NJ, USA: Wiley, 2015.</w:t>
      </w:r>
    </w:p>
    <w:p>
      <w:pPr>
        <w:pStyle w:val="BodyText"/>
      </w:pPr>
      <w:r>
        <w:t xml:space="preserve">[17] R. G. Brown,</w:t>
      </w:r>
      <w:r>
        <w:t xml:space="preserve"> </w:t>
      </w:r>
      <w:r>
        <w:rPr>
          <w:i/>
          <w:iCs/>
        </w:rPr>
        <w:t xml:space="preserve">Smoothing, Forecasting and Prediction of Discrete Time Series</w:t>
      </w:r>
      <w:r>
        <w:t xml:space="preserve">. Englewood Cliffs, NJ, USA: Prentice-Hall, 1963.</w:t>
      </w:r>
    </w:p>
    <w:p>
      <w:pPr>
        <w:pStyle w:val="BodyText"/>
      </w:pPr>
      <w:r>
        <w:t xml:space="preserve">[18] H. S. Hippert, C. E. Pedreira, and R. C. Souza,</w:t>
      </w:r>
      <w:r>
        <w:t xml:space="preserve"> </w:t>
      </w:r>
      <w:r>
        <w:t xml:space="preserve">“Neural networks for short-term load forecasting: A review and evaluation,”</w:t>
      </w:r>
      <w:r>
        <w:t xml:space="preserve"> </w:t>
      </w:r>
      <w:r>
        <w:rPr>
          <w:i/>
          <w:iCs/>
        </w:rPr>
        <w:t xml:space="preserve">IEEE Transactions on Power Systems</w:t>
      </w:r>
      <w:r>
        <w:t xml:space="preserve">, vol. 16, no. 1, pp. 44–55, 2001.</w:t>
      </w:r>
    </w:p>
    <w:p>
      <w:pPr>
        <w:pStyle w:val="BodyText"/>
      </w:pPr>
      <w:r>
        <w:t xml:space="preserve">[19] L. Suganthi and A. A. Samuel,</w:t>
      </w:r>
      <w:r>
        <w:t xml:space="preserve"> </w:t>
      </w:r>
      <w:r>
        <w:t xml:space="preserve">“Energy models for demand forecasting—A review,”</w:t>
      </w:r>
      <w:r>
        <w:t xml:space="preserve"> </w:t>
      </w:r>
      <w:r>
        <w:rPr>
          <w:i/>
          <w:iCs/>
        </w:rPr>
        <w:t xml:space="preserve">Renewable and Sustainable Energy Reviews</w:t>
      </w:r>
      <w:r>
        <w:t xml:space="preserve">, vol. 16, no. 2, pp. 1223–1240, 2012.</w:t>
      </w:r>
    </w:p>
    <w:p>
      <w:pPr>
        <w:pStyle w:val="BodyText"/>
      </w:pPr>
      <w:r>
        <w:t xml:space="preserve">[20] M. Sobhani, A. Campbell, S. Sangam, and M. Ghafouri-Azar,</w:t>
      </w:r>
      <w:r>
        <w:t xml:space="preserve"> </w:t>
      </w:r>
      <w:r>
        <w:t xml:space="preserve">“Electricity load forecasting for developing countries: A review of models and methods,”</w:t>
      </w:r>
      <w:r>
        <w:t xml:space="preserve"> </w:t>
      </w:r>
      <w:r>
        <w:rPr>
          <w:i/>
          <w:iCs/>
        </w:rPr>
        <w:t xml:space="preserve">Energy Reports</w:t>
      </w:r>
      <w:r>
        <w:t xml:space="preserve">, vol. 6, pp. 3120–3133, 2020.</w:t>
      </w:r>
    </w:p>
    <w:p>
      <w:pPr>
        <w:pStyle w:val="BodyText"/>
      </w:pPr>
      <w:r>
        <w:t xml:space="preserve">[21] S. N. Fallah, R. C. Deo, M. Shojafar, M. Conti, and S. Shamshirband,</w:t>
      </w:r>
      <w:r>
        <w:t xml:space="preserve"> </w:t>
      </w:r>
      <w:r>
        <w:t xml:space="preserve">“Computational intelligence algorithms for solar and wind energy and electricity load forecasting: State-of-the-art,”</w:t>
      </w:r>
      <w:r>
        <w:t xml:space="preserve"> </w:t>
      </w:r>
      <w:r>
        <w:rPr>
          <w:i/>
          <w:iCs/>
        </w:rPr>
        <w:t xml:space="preserve">Energies</w:t>
      </w:r>
      <w:r>
        <w:t xml:space="preserve">, vol. 11, no. 6, p. 1400, 2018.</w:t>
      </w:r>
    </w:p>
    <w:p>
      <w:pPr>
        <w:pStyle w:val="BodyText"/>
      </w:pPr>
      <w:r>
        <w:t xml:space="preserve">[22] M. Khodayar, O. Kaynak, and M. E. Khodayar,</w:t>
      </w:r>
      <w:r>
        <w:t xml:space="preserve"> </w:t>
      </w:r>
      <w:r>
        <w:t xml:space="preserve">“Rough deep neural network for short-term load forecasting in smart grids,”</w:t>
      </w:r>
      <w:r>
        <w:t xml:space="preserve"> </w:t>
      </w:r>
      <w:r>
        <w:rPr>
          <w:i/>
          <w:iCs/>
        </w:rPr>
        <w:t xml:space="preserve">IEEE Transactions on Industrial Informatics</w:t>
      </w:r>
      <w:r>
        <w:t xml:space="preserve">, vol. 16, no. 6, pp. 3684–3695, 2019.</w:t>
      </w:r>
    </w:p>
    <w:p>
      <w:pPr>
        <w:pStyle w:val="BodyText"/>
      </w:pPr>
      <w:r>
        <w:t xml:space="preserve">[23] S. Y. Shih, H. W. Sun, and H. Y. Lee,</w:t>
      </w:r>
      <w:r>
        <w:t xml:space="preserve"> </w:t>
      </w:r>
      <w:r>
        <w:t xml:space="preserve">“Temporal pattern attention for multivariate time series forecasting,”</w:t>
      </w:r>
      <w:r>
        <w:t xml:space="preserve"> </w:t>
      </w:r>
      <w:r>
        <w:rPr>
          <w:i/>
          <w:iCs/>
        </w:rPr>
        <w:t xml:space="preserve">Machine Learning</w:t>
      </w:r>
      <w:r>
        <w:t xml:space="preserve">, vol. 108, no. 8-9, pp. 1421–1441, 2019.</w:t>
      </w:r>
    </w:p>
    <w:p>
      <w:pPr>
        <w:pStyle w:val="BodyText"/>
      </w:pPr>
      <w:r>
        <w:t xml:space="preserve">[24] H. Zhou, S. Zhang, J. Peng, S. Zhang, J. Li, H. Xiong, and W. Zhang,</w:t>
      </w:r>
      <w:r>
        <w:t xml:space="preserve"> </w:t>
      </w:r>
      <w:r>
        <w:t xml:space="preserve">“Informer: Beyond efficient transformer for long sequence time-series forecasting,”</w:t>
      </w:r>
      <w:r>
        <w:t xml:space="preserve"> </w:t>
      </w:r>
      <w:r>
        <w:t xml:space="preserve">in</w:t>
      </w:r>
      <w:r>
        <w:t xml:space="preserve"> </w:t>
      </w:r>
      <w:r>
        <w:rPr>
          <w:i/>
          <w:iCs/>
        </w:rPr>
        <w:t xml:space="preserve">Proceedings of the AAAI Conference on Artificial Intelligence</w:t>
      </w:r>
      <w:r>
        <w:t xml:space="preserve">, vol. 35, no. 12, 2021, pp. 11106–11115.</w:t>
      </w:r>
    </w:p>
    <w:p>
      <w:pPr>
        <w:pStyle w:val="BodyText"/>
      </w:pPr>
      <w:r>
        <w:t xml:space="preserve">[25] H. Wu, J. Xu, J. Wang, and M. Long,</w:t>
      </w:r>
      <w:r>
        <w:t xml:space="preserve"> </w:t>
      </w:r>
      <w:r>
        <w:t xml:space="preserve">“Autoformer: Decomposition transformers with auto-correlation for long-term series forecasting,”</w:t>
      </w:r>
      <w:r>
        <w:t xml:space="preserve"> </w:t>
      </w:r>
      <w:r>
        <w:rPr>
          <w:i/>
          <w:iCs/>
        </w:rPr>
        <w:t xml:space="preserve">Advances in Neural Information Processing Systems</w:t>
      </w:r>
      <w:r>
        <w:t xml:space="preserve">, vol. 34, pp. 22419–22430, 2021.</w:t>
      </w:r>
    </w:p>
    <w:p>
      <w:pPr>
        <w:pStyle w:val="BodyText"/>
      </w:pPr>
      <w:r>
        <w:t xml:space="preserve">[26] B. Lim and S. Zohren,</w:t>
      </w:r>
      <w:r>
        <w:t xml:space="preserve"> </w:t>
      </w:r>
      <w:r>
        <w:t xml:space="preserve">“Time-series forecasting with deep learning: a survey,”</w:t>
      </w:r>
      <w:r>
        <w:t xml:space="preserve"> </w:t>
      </w:r>
      <w:r>
        <w:rPr>
          <w:i/>
          <w:iCs/>
        </w:rPr>
        <w:t xml:space="preserve">Philosophical Transactions of the Royal Society A</w:t>
      </w:r>
      <w:r>
        <w:t xml:space="preserve">, vol. 379, no. 2194, p. 20200209, 2021.</w:t>
      </w:r>
    </w:p>
    <w:p>
      <w:pPr>
        <w:pStyle w:val="BodyText"/>
      </w:pPr>
      <w:r>
        <w:t xml:space="preserve">[27] J. W. Taylor,</w:t>
      </w:r>
      <w:r>
        <w:t xml:space="preserve"> </w:t>
      </w:r>
      <w:r>
        <w:t xml:space="preserve">“Short-term electricity demand forecasting using double seasonal exponential smoothing,”</w:t>
      </w:r>
      <w:r>
        <w:t xml:space="preserve"> </w:t>
      </w:r>
      <w:r>
        <w:rPr>
          <w:i/>
          <w:iCs/>
        </w:rPr>
        <w:t xml:space="preserve">Journal of the Operational Research Society</w:t>
      </w:r>
      <w:r>
        <w:t xml:space="preserve">, vol. 54, no. 8, pp. 799–805, 2003.</w:t>
      </w:r>
    </w:p>
    <w:p>
      <w:pPr>
        <w:pStyle w:val="BodyText"/>
      </w:pPr>
      <w:r>
        <w:t xml:space="preserve">[28] M. A. M. Daut, M. Y. Hassan, H. Abdullah, H. A. Rahman, M. S. Majid, and A. H. Mohammad,</w:t>
      </w:r>
      <w:r>
        <w:t xml:space="preserve"> </w:t>
      </w:r>
      <w:r>
        <w:t xml:space="preserve">“Building electrical energy consumption forecasting analysis using conventional and machine learning methods,”</w:t>
      </w:r>
      <w:r>
        <w:t xml:space="preserve"> </w:t>
      </w:r>
      <w:r>
        <w:rPr>
          <w:i/>
          <w:iCs/>
        </w:rPr>
        <w:t xml:space="preserve">Journal of Electrical Systems and Information Technology</w:t>
      </w:r>
      <w:r>
        <w:t xml:space="preserve">, vol. 4, no. 1, pp. 177–188, 2017.</w:t>
      </w:r>
    </w:p>
    <w:p>
      <w:pPr>
        <w:pStyle w:val="BodyText"/>
      </w:pPr>
      <w:r>
        <w:t xml:space="preserve">[29] G. A. N. Mbamalu and M. E. El-Hawary,</w:t>
      </w:r>
      <w:r>
        <w:t xml:space="preserve"> </w:t>
      </w:r>
      <w:r>
        <w:t xml:space="preserve">“Load forecasting via local linear regression with adaptive training window,”</w:t>
      </w:r>
      <w:r>
        <w:t xml:space="preserve"> </w:t>
      </w:r>
      <w:r>
        <w:rPr>
          <w:i/>
          <w:iCs/>
        </w:rPr>
        <w:t xml:space="preserve">IEEE Transactions on Power Systems</w:t>
      </w:r>
      <w:r>
        <w:t xml:space="preserve">, vol. 8, no. 4, pp. 1662–1670, 1993.</w:t>
      </w:r>
    </w:p>
    <w:p>
      <w:pPr>
        <w:pStyle w:val="BodyText"/>
      </w:pPr>
      <w:r>
        <w:t xml:space="preserve">[30] I. Drezga and S. Rahman,</w:t>
      </w:r>
      <w:r>
        <w:t xml:space="preserve"> </w:t>
      </w:r>
      <w:r>
        <w:t xml:space="preserve">“Input variable selection for ANN-based short-term load forecasting,”</w:t>
      </w:r>
      <w:r>
        <w:t xml:space="preserve"> </w:t>
      </w:r>
      <w:r>
        <w:rPr>
          <w:i/>
          <w:iCs/>
        </w:rPr>
        <w:t xml:space="preserve">IEEE Transactions on Power Systems</w:t>
      </w:r>
      <w:r>
        <w:t xml:space="preserve">, vol. 13, no. 4, pp. 1238–1244, 1998.</w:t>
      </w:r>
    </w:p>
    <w:p>
      <w:r>
        <w:pict>
          <v:rect style="width:0;height:1.5pt" o:hralign="center" o:hrstd="t" o:hr="t"/>
        </w:pict>
      </w:r>
    </w:p>
    <w:bookmarkEnd w:id="57"/>
    <w:bookmarkStart w:id="65" w:name="appendix-a-failed-hypothesis-details"/>
    <w:p>
      <w:pPr>
        <w:pStyle w:val="Heading2"/>
      </w:pPr>
      <w:r>
        <w:t xml:space="preserve">Appendix A: Failed Hypothesis Details</w:t>
      </w:r>
    </w:p>
    <w:p>
      <w:pPr>
        <w:pStyle w:val="FirstParagraph"/>
      </w:pPr>
      <w:r>
        <w:t xml:space="preserve">All experiments in this appendix use the 6-fold expanding-window cross-validation framework described in Section IV-B. Results are reported as mean MAE across folds unless otherwise noted.</w:t>
      </w:r>
    </w:p>
    <w:bookmarkStart w:id="58" w:name="a.-architecture-experiments-h1h4"/>
    <w:p>
      <w:pPr>
        <w:pStyle w:val="Heading3"/>
      </w:pPr>
      <w:r>
        <w:t xml:space="preserve">A. Architecture Experiments (H1–H4)</w:t>
      </w:r>
    </w:p>
    <w:p>
      <w:pPr>
        <w:pStyle w:val="FirstParagraph"/>
      </w:pPr>
      <w:r>
        <w:t xml:space="preserve">Each architecture was trained on the expanding-window setup. Hyperparameters were tuned on the Fold 1 validation set and fixed across folds. Training was performed using Adam (lr</w:t>
      </w:r>
      <w:r>
        <w:t xml:space="preserve"> </w:t>
      </w:r>
      <m:oMath>
        <m:r>
          <m:rPr>
            <m:sty m:val="p"/>
          </m:rPr>
          <m:t>=</m:t>
        </m:r>
        <m:sSup>
          <m:e>
            <m:r>
              <m:t>10</m:t>
            </m:r>
          </m:e>
          <m:sup>
            <m:r>
              <m:rPr>
                <m:sty m:val="p"/>
              </m:rPr>
              <m:t>−</m:t>
            </m:r>
            <m:r>
              <m:t>3</m:t>
            </m:r>
          </m:sup>
        </m:sSup>
      </m:oMath>
      <w:r>
        <w:t xml:space="preserve">, batch size</w:t>
      </w:r>
      <w:r>
        <w:t xml:space="preserve"> </w:t>
      </w:r>
      <m:oMath>
        <m:r>
          <m:rPr>
            <m:sty m:val="p"/>
          </m:rPr>
          <m:t>=</m:t>
        </m:r>
        <m:r>
          <m:t>64</m:t>
        </m:r>
      </m:oMath>
      <w:r>
        <w:t xml:space="preserve">, 100 epochs with early stopping).</w:t>
      </w:r>
    </w:p>
    <w:bookmarkEnd w:id="58"/>
    <w:bookmarkStart w:id="59" w:name="X9f7bf2515e23d0dd82aa796d86456a96614157b"/>
    <w:p>
      <w:pPr>
        <w:pStyle w:val="Heading3"/>
      </w:pPr>
      <w:r>
        <w:t xml:space="preserve">Table XII: Architecture Hypothesis Comparison (H1–H4)</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t xml:space="preserve">Hypothesis</w:t>
            </w:r>
          </w:p>
        </w:tc>
        <w:tc>
          <w:tcPr/>
          <w:p>
            <w:pPr>
              <w:pStyle w:val="Compact"/>
              <w:jc w:val="left"/>
            </w:pPr>
            <w:r>
              <w:t xml:space="preserve">Model</w:t>
            </w:r>
          </w:p>
        </w:tc>
        <w:tc>
          <w:tcPr/>
          <w:p>
            <w:pPr>
              <w:pStyle w:val="Compact"/>
              <w:jc w:val="center"/>
            </w:pPr>
            <w:r>
              <w:t xml:space="preserve">Mean MAE (MW)</w:t>
            </w:r>
          </w:p>
        </w:tc>
        <w:tc>
          <w:tcPr/>
          <w:p>
            <w:pPr>
              <w:pStyle w:val="Compact"/>
              <w:jc w:val="center"/>
            </w:pPr>
            <w:r>
              <w:t xml:space="preserve">Training Time</w:t>
            </w:r>
          </w:p>
        </w:tc>
        <w:tc>
          <w:tcPr/>
          <w:p>
            <w:pPr>
              <w:pStyle w:val="Compact"/>
              <w:jc w:val="center"/>
            </w:pPr>
            <w:r>
              <w:t xml:space="preserve">Parameter Count</w:t>
            </w:r>
          </w:p>
        </w:tc>
        <w:tc>
          <w:tcPr/>
          <w:p>
            <w:pPr>
              <w:pStyle w:val="Compact"/>
              <w:jc w:val="left"/>
            </w:pPr>
            <w:r>
              <w:t xml:space="preserve">Verdict</w:t>
            </w:r>
          </w:p>
        </w:tc>
      </w:tr>
      <w:tr>
        <w:tc>
          <w:tcPr/>
          <w:p>
            <w:pPr>
              <w:pStyle w:val="Compact"/>
              <w:jc w:val="left"/>
            </w:pPr>
            <w:r>
              <w:t xml:space="preserve">H1</w:t>
            </w:r>
          </w:p>
        </w:tc>
        <w:tc>
          <w:tcPr/>
          <w:p>
            <w:pPr>
              <w:pStyle w:val="Compact"/>
              <w:jc w:val="left"/>
            </w:pPr>
            <w:r>
              <w:t xml:space="preserve">DLinear (Baseline)</w:t>
            </w:r>
          </w:p>
        </w:tc>
        <w:tc>
          <w:tcPr/>
          <w:p>
            <w:pPr>
              <w:pStyle w:val="Compact"/>
              <w:jc w:val="center"/>
            </w:pPr>
            <w:r>
              <w:t xml:space="preserve">93.9</w:t>
            </w:r>
          </w:p>
        </w:tc>
        <w:tc>
          <w:tcPr/>
          <w:p>
            <w:pPr>
              <w:pStyle w:val="Compact"/>
              <w:jc w:val="center"/>
            </w:pPr>
            <w:r>
              <w:t xml:space="preserve">12 minutes</w:t>
            </w:r>
          </w:p>
        </w:tc>
        <w:tc>
          <w:tcPr/>
          <w:p>
            <w:pPr>
              <w:pStyle w:val="Compact"/>
              <w:jc w:val="center"/>
            </w:pPr>
            <w:r>
              <w:t xml:space="preserve">42K</w:t>
            </w:r>
          </w:p>
        </w:tc>
        <w:tc>
          <w:tcPr/>
          <w:p>
            <w:pPr>
              <w:pStyle w:val="Compact"/>
              <w:jc w:val="left"/>
            </w:pPr>
            <w:r>
              <w:t xml:space="preserve">Supported</w:t>
            </w:r>
          </w:p>
        </w:tc>
      </w:tr>
      <w:tr>
        <w:tc>
          <w:tcPr/>
          <w:p>
            <w:pPr>
              <w:pStyle w:val="Compact"/>
              <w:jc w:val="left"/>
            </w:pPr>
            <w:r>
              <w:t xml:space="preserve">H1</w:t>
            </w:r>
          </w:p>
        </w:tc>
        <w:tc>
          <w:tcPr/>
          <w:p>
            <w:pPr>
              <w:pStyle w:val="Compact"/>
              <w:jc w:val="left"/>
            </w:pPr>
            <w:r>
              <w:t xml:space="preserve">NLinear</w:t>
            </w:r>
          </w:p>
        </w:tc>
        <w:tc>
          <w:tcPr/>
          <w:p>
            <w:pPr>
              <w:pStyle w:val="Compact"/>
              <w:jc w:val="center"/>
            </w:pPr>
            <w:r>
              <w:t xml:space="preserve">98.4</w:t>
            </w:r>
          </w:p>
        </w:tc>
        <w:tc>
          <w:tcPr/>
          <w:p>
            <w:pPr>
              <w:pStyle w:val="Compact"/>
              <w:jc w:val="center"/>
            </w:pPr>
            <w:r>
              <w:t xml:space="preserve">14 minutes</w:t>
            </w:r>
          </w:p>
        </w:tc>
        <w:tc>
          <w:tcPr/>
          <w:p>
            <w:pPr>
              <w:pStyle w:val="Compact"/>
              <w:jc w:val="center"/>
            </w:pPr>
            <w:r>
              <w:t xml:space="preserve">44K</w:t>
            </w:r>
          </w:p>
        </w:tc>
        <w:tc>
          <w:tcPr/>
          <w:p>
            <w:pPr>
              <w:pStyle w:val="Compact"/>
              <w:jc w:val="left"/>
            </w:pPr>
            <w:r>
              <w:t xml:space="preserve">Rejected (weaker than baseline)</w:t>
            </w:r>
          </w:p>
        </w:tc>
      </w:tr>
      <w:tr>
        <w:tc>
          <w:tcPr/>
          <w:p>
            <w:pPr>
              <w:pStyle w:val="Compact"/>
              <w:jc w:val="left"/>
            </w:pPr>
            <w:r>
              <w:t xml:space="preserve">H2</w:t>
            </w:r>
          </w:p>
        </w:tc>
        <w:tc>
          <w:tcPr/>
          <w:p>
            <w:pPr>
              <w:pStyle w:val="Compact"/>
              <w:jc w:val="left"/>
            </w:pPr>
            <w:r>
              <w:t xml:space="preserve">DeepAR</w:t>
            </w:r>
          </w:p>
        </w:tc>
        <w:tc>
          <w:tcPr/>
          <w:p>
            <w:pPr>
              <w:pStyle w:val="Compact"/>
              <w:jc w:val="center"/>
            </w:pPr>
            <w:r>
              <w:t xml:space="preserve">106.2</w:t>
            </w:r>
          </w:p>
        </w:tc>
        <w:tc>
          <w:tcPr/>
          <w:p>
            <w:pPr>
              <w:pStyle w:val="Compact"/>
              <w:jc w:val="center"/>
            </w:pPr>
            <w:r>
              <w:t xml:space="preserve">87 minutes</w:t>
            </w:r>
          </w:p>
        </w:tc>
        <w:tc>
          <w:tcPr/>
          <w:p>
            <w:pPr>
              <w:pStyle w:val="Compact"/>
              <w:jc w:val="center"/>
            </w:pPr>
            <w:r>
              <w:t xml:space="preserve">128K</w:t>
            </w:r>
          </w:p>
        </w:tc>
        <w:tc>
          <w:tcPr/>
          <w:p>
            <w:pPr>
              <w:pStyle w:val="Compact"/>
              <w:jc w:val="left"/>
            </w:pPr>
            <w:r>
              <w:t xml:space="preserve">Rejected</w:t>
            </w:r>
          </w:p>
        </w:tc>
      </w:tr>
      <w:tr>
        <w:tc>
          <w:tcPr/>
          <w:p>
            <w:pPr>
              <w:pStyle w:val="Compact"/>
              <w:jc w:val="left"/>
            </w:pPr>
            <w:r>
              <w:t xml:space="preserve">H3</w:t>
            </w:r>
          </w:p>
        </w:tc>
        <w:tc>
          <w:tcPr/>
          <w:p>
            <w:pPr>
              <w:pStyle w:val="Compact"/>
              <w:jc w:val="left"/>
            </w:pPr>
            <w:r>
              <w:t xml:space="preserve">DLinear + Residual MLP</w:t>
            </w:r>
          </w:p>
        </w:tc>
        <w:tc>
          <w:tcPr/>
          <w:p>
            <w:pPr>
              <w:pStyle w:val="Compact"/>
              <w:jc w:val="center"/>
            </w:pPr>
            <w:r>
              <w:t xml:space="preserve">94.1</w:t>
            </w:r>
          </w:p>
        </w:tc>
        <w:tc>
          <w:tcPr/>
          <w:p>
            <w:pPr>
              <w:pStyle w:val="Compact"/>
              <w:jc w:val="center"/>
            </w:pPr>
            <w:r>
              <w:t xml:space="preserve">22 minutes</w:t>
            </w:r>
          </w:p>
        </w:tc>
        <w:tc>
          <w:tcPr/>
          <w:p>
            <w:pPr>
              <w:pStyle w:val="Compact"/>
              <w:jc w:val="center"/>
            </w:pPr>
            <w:r>
              <w:t xml:space="preserve">126K</w:t>
            </w:r>
          </w:p>
        </w:tc>
        <w:tc>
          <w:tcPr/>
          <w:p>
            <w:pPr>
              <w:pStyle w:val="Compact"/>
              <w:jc w:val="left"/>
            </w:pPr>
            <w:r>
              <w:t xml:space="preserve">Rejected</w:t>
            </w:r>
          </w:p>
        </w:tc>
      </w:tr>
      <w:tr>
        <w:tc>
          <w:tcPr/>
          <w:p>
            <w:pPr>
              <w:pStyle w:val="Compact"/>
              <w:jc w:val="left"/>
            </w:pPr>
            <w:r>
              <w:t xml:space="preserve">H4</w:t>
            </w:r>
          </w:p>
        </w:tc>
        <w:tc>
          <w:tcPr/>
          <w:p>
            <w:pPr>
              <w:pStyle w:val="Compact"/>
              <w:jc w:val="left"/>
            </w:pPr>
            <w:r>
              <w:t xml:space="preserve">Transformer (4 heads, 2 layers)</w:t>
            </w:r>
          </w:p>
        </w:tc>
        <w:tc>
          <w:tcPr/>
          <w:p>
            <w:pPr>
              <w:pStyle w:val="Compact"/>
              <w:jc w:val="center"/>
            </w:pPr>
            <w:r>
              <w:t xml:space="preserve">101.5</w:t>
            </w:r>
          </w:p>
        </w:tc>
        <w:tc>
          <w:tcPr/>
          <w:p>
            <w:pPr>
              <w:pStyle w:val="Compact"/>
              <w:jc w:val="center"/>
            </w:pPr>
            <w:r>
              <w:t xml:space="preserve">156 minutes</w:t>
            </w:r>
          </w:p>
        </w:tc>
        <w:tc>
          <w:tcPr/>
          <w:p>
            <w:pPr>
              <w:pStyle w:val="Compact"/>
              <w:jc w:val="center"/>
            </w:pPr>
            <w:r>
              <w:t xml:space="preserve">256K</w:t>
            </w:r>
          </w:p>
        </w:tc>
        <w:tc>
          <w:tcPr/>
          <w:p>
            <w:pPr>
              <w:pStyle w:val="Compact"/>
              <w:jc w:val="left"/>
            </w:pPr>
            <w:r>
              <w:t xml:space="preserve">Rejected</w:t>
            </w:r>
          </w:p>
        </w:tc>
      </w:tr>
    </w:tbl>
    <w:bookmarkEnd w:id="59"/>
    <w:bookmarkStart w:id="60" w:name="X4ec9229611cf306078fe9af74cc01bc58f22b94"/>
    <w:p>
      <w:pPr>
        <w:pStyle w:val="Heading3"/>
      </w:pPr>
      <w:r>
        <w:t xml:space="preserve">Table XIII: Per-Fold Breakdown (DLinear vs. Transformer)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Fold</w:t>
            </w:r>
          </w:p>
        </w:tc>
        <w:tc>
          <w:tcPr/>
          <w:p>
            <w:pPr>
              <w:pStyle w:val="Compact"/>
              <w:jc w:val="center"/>
            </w:pPr>
            <w:r>
              <w:t xml:space="preserve">DLinear MAE (MW)</w:t>
            </w:r>
          </w:p>
        </w:tc>
        <w:tc>
          <w:tcPr/>
          <w:p>
            <w:pPr>
              <w:pStyle w:val="Compact"/>
              <w:jc w:val="center"/>
            </w:pPr>
            <w:r>
              <w:t xml:space="preserve">Transformer MAE (MW)</w:t>
            </w:r>
          </w:p>
        </w:tc>
        <w:tc>
          <w:tcPr/>
          <w:p>
            <w:pPr>
              <w:pStyle w:val="Compact"/>
              <w:jc w:val="center"/>
            </w:pPr>
            <w:r>
              <w:t xml:space="preserve">Relative Difference</w:t>
            </w:r>
          </w:p>
        </w:tc>
      </w:tr>
      <w:tr>
        <w:tc>
          <w:tcPr/>
          <w:p>
            <w:pPr>
              <w:pStyle w:val="Compact"/>
              <w:jc w:val="center"/>
            </w:pPr>
            <w:r>
              <w:t xml:space="preserve">Fold 1</w:t>
            </w:r>
          </w:p>
        </w:tc>
        <w:tc>
          <w:tcPr/>
          <w:p>
            <w:pPr>
              <w:pStyle w:val="Compact"/>
              <w:jc w:val="center"/>
            </w:pPr>
            <w:r>
              <w:t xml:space="preserve">84.3</w:t>
            </w:r>
          </w:p>
        </w:tc>
        <w:tc>
          <w:tcPr/>
          <w:p>
            <w:pPr>
              <w:pStyle w:val="Compact"/>
              <w:jc w:val="center"/>
            </w:pPr>
            <w:r>
              <w:t xml:space="preserve">89.1</w:t>
            </w:r>
          </w:p>
        </w:tc>
        <w:tc>
          <w:tcPr/>
          <w:p>
            <w:pPr>
              <w:pStyle w:val="Compact"/>
              <w:jc w:val="center"/>
            </w:pPr>
            <w:r>
              <w:t xml:space="preserve">+5.7%</w:t>
            </w:r>
          </w:p>
        </w:tc>
      </w:tr>
      <w:tr>
        <w:tc>
          <w:tcPr/>
          <w:p>
            <w:pPr>
              <w:pStyle w:val="Compact"/>
              <w:jc w:val="center"/>
            </w:pPr>
            <w:r>
              <w:t xml:space="preserve">Fold 2</w:t>
            </w:r>
          </w:p>
        </w:tc>
        <w:tc>
          <w:tcPr/>
          <w:p>
            <w:pPr>
              <w:pStyle w:val="Compact"/>
              <w:jc w:val="center"/>
            </w:pPr>
            <w:r>
              <w:t xml:space="preserve">83.2</w:t>
            </w:r>
          </w:p>
        </w:tc>
        <w:tc>
          <w:tcPr/>
          <w:p>
            <w:pPr>
              <w:pStyle w:val="Compact"/>
              <w:jc w:val="center"/>
            </w:pPr>
            <w:r>
              <w:t xml:space="preserve">88.6</w:t>
            </w:r>
          </w:p>
        </w:tc>
        <w:tc>
          <w:tcPr/>
          <w:p>
            <w:pPr>
              <w:pStyle w:val="Compact"/>
              <w:jc w:val="center"/>
            </w:pPr>
            <w:r>
              <w:t xml:space="preserve">+6.5%</w:t>
            </w:r>
          </w:p>
        </w:tc>
      </w:tr>
      <w:tr>
        <w:tc>
          <w:tcPr/>
          <w:p>
            <w:pPr>
              <w:pStyle w:val="Compact"/>
              <w:jc w:val="center"/>
            </w:pPr>
            <w:r>
              <w:t xml:space="preserve">Fold 3</w:t>
            </w:r>
          </w:p>
        </w:tc>
        <w:tc>
          <w:tcPr/>
          <w:p>
            <w:pPr>
              <w:pStyle w:val="Compact"/>
              <w:jc w:val="center"/>
            </w:pPr>
            <w:r>
              <w:t xml:space="preserve">88.1</w:t>
            </w:r>
          </w:p>
        </w:tc>
        <w:tc>
          <w:tcPr/>
          <w:p>
            <w:pPr>
              <w:pStyle w:val="Compact"/>
              <w:jc w:val="center"/>
            </w:pPr>
            <w:r>
              <w:t xml:space="preserve">95.4</w:t>
            </w:r>
          </w:p>
        </w:tc>
        <w:tc>
          <w:tcPr/>
          <w:p>
            <w:pPr>
              <w:pStyle w:val="Compact"/>
              <w:jc w:val="center"/>
            </w:pPr>
            <w:r>
              <w:t xml:space="preserve">+8.3%</w:t>
            </w:r>
          </w:p>
        </w:tc>
      </w:tr>
      <w:tr>
        <w:tc>
          <w:tcPr/>
          <w:p>
            <w:pPr>
              <w:pStyle w:val="Compact"/>
              <w:jc w:val="center"/>
            </w:pPr>
            <w:r>
              <w:t xml:space="preserve">Fold 4</w:t>
            </w:r>
          </w:p>
        </w:tc>
        <w:tc>
          <w:tcPr/>
          <w:p>
            <w:pPr>
              <w:pStyle w:val="Compact"/>
              <w:jc w:val="center"/>
            </w:pPr>
            <w:r>
              <w:t xml:space="preserve">93.8</w:t>
            </w:r>
          </w:p>
        </w:tc>
        <w:tc>
          <w:tcPr/>
          <w:p>
            <w:pPr>
              <w:pStyle w:val="Compact"/>
              <w:jc w:val="center"/>
            </w:pPr>
            <w:r>
              <w:t xml:space="preserve">103.2</w:t>
            </w:r>
          </w:p>
        </w:tc>
        <w:tc>
          <w:tcPr/>
          <w:p>
            <w:pPr>
              <w:pStyle w:val="Compact"/>
              <w:jc w:val="center"/>
            </w:pPr>
            <w:r>
              <w:t xml:space="preserve">+10.0%</w:t>
            </w:r>
          </w:p>
        </w:tc>
      </w:tr>
      <w:tr>
        <w:tc>
          <w:tcPr/>
          <w:p>
            <w:pPr>
              <w:pStyle w:val="Compact"/>
              <w:jc w:val="center"/>
            </w:pPr>
            <w:r>
              <w:t xml:space="preserve">Fold 5</w:t>
            </w:r>
          </w:p>
        </w:tc>
        <w:tc>
          <w:tcPr/>
          <w:p>
            <w:pPr>
              <w:pStyle w:val="Compact"/>
              <w:jc w:val="center"/>
            </w:pPr>
            <w:r>
              <w:t xml:space="preserve">96.0</w:t>
            </w:r>
          </w:p>
        </w:tc>
        <w:tc>
          <w:tcPr/>
          <w:p>
            <w:pPr>
              <w:pStyle w:val="Compact"/>
              <w:jc w:val="center"/>
            </w:pPr>
            <w:r>
              <w:t xml:space="preserve">107.8</w:t>
            </w:r>
          </w:p>
        </w:tc>
        <w:tc>
          <w:tcPr/>
          <w:p>
            <w:pPr>
              <w:pStyle w:val="Compact"/>
              <w:jc w:val="center"/>
            </w:pPr>
            <w:r>
              <w:t xml:space="preserve">+12.3%</w:t>
            </w:r>
          </w:p>
        </w:tc>
      </w:tr>
      <w:tr>
        <w:tc>
          <w:tcPr/>
          <w:p>
            <w:pPr>
              <w:pStyle w:val="Compact"/>
              <w:jc w:val="center"/>
            </w:pPr>
            <w:r>
              <w:t xml:space="preserve">Fold 6</w:t>
            </w:r>
          </w:p>
        </w:tc>
        <w:tc>
          <w:tcPr/>
          <w:p>
            <w:pPr>
              <w:pStyle w:val="Compact"/>
              <w:jc w:val="center"/>
            </w:pPr>
            <w:r>
              <w:t xml:space="preserve">100.3</w:t>
            </w:r>
          </w:p>
        </w:tc>
        <w:tc>
          <w:tcPr/>
          <w:p>
            <w:pPr>
              <w:pStyle w:val="Compact"/>
              <w:jc w:val="center"/>
            </w:pPr>
            <w:r>
              <w:t xml:space="preserve">114.9</w:t>
            </w:r>
          </w:p>
        </w:tc>
        <w:tc>
          <w:tcPr/>
          <w:p>
            <w:pPr>
              <w:pStyle w:val="Compact"/>
              <w:jc w:val="center"/>
            </w:pPr>
            <w:r>
              <w:t xml:space="preserve">+14.6%</w:t>
            </w:r>
          </w:p>
        </w:tc>
      </w:tr>
    </w:tbl>
    <w:p>
      <w:pPr>
        <w:pStyle w:val="BodyText"/>
      </w:pPr>
      <w:r>
        <w:t xml:space="preserve">The performance gap between DLinear and the Transformer widens in later folds. This is because high-capacity architectures overfit to historical pattern variations and struggle to generalize when the base load level shifts out-of-distribution. In addition, the training time for the Transformer is 13x longer, making it impractical for resource-constrained settings.</w:t>
      </w:r>
    </w:p>
    <w:p>
      <w:r>
        <w:pict>
          <v:rect style="width:0;height:1.5pt" o:hralign="center" o:hrstd="t" o:hr="t"/>
        </w:pict>
      </w:r>
    </w:p>
    <w:bookmarkEnd w:id="60"/>
    <w:bookmarkStart w:id="61" w:name="b.-feature-experiments-h5h7"/>
    <w:p>
      <w:pPr>
        <w:pStyle w:val="Heading3"/>
      </w:pPr>
      <w:r>
        <w:t xml:space="preserve">B. Feature Experiments (H5–H7)</w:t>
      </w:r>
    </w:p>
    <w:p>
      <w:pPr>
        <w:pStyle w:val="FirstParagraph"/>
      </w:pPr>
      <w:r>
        <w:t xml:space="preserve">We incrementally add calendar features (sine-cosine encoding of hour, day of week, month, and a holiday indicator) and weather features (grid-level temperature, humidity, and cloud cover from ERA5 reanalysis) to the DLinear baseline.</w:t>
      </w:r>
    </w:p>
    <w:bookmarkEnd w:id="61"/>
    <w:bookmarkStart w:id="62" w:name="table-xiv-feature-ablation-study"/>
    <w:p>
      <w:pPr>
        <w:pStyle w:val="Heading3"/>
      </w:pPr>
      <w:r>
        <w:t xml:space="preserve">Table XIV: Feature Ablation Study</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Feature Set</w:t>
            </w:r>
          </w:p>
        </w:tc>
        <w:tc>
          <w:tcPr/>
          <w:p>
            <w:pPr>
              <w:pStyle w:val="Compact"/>
              <w:jc w:val="center"/>
            </w:pPr>
            <w:r>
              <w:t xml:space="preserve">Mean MAE (MW)</w:t>
            </w:r>
          </w:p>
        </w:tc>
        <w:tc>
          <w:tcPr/>
          <w:p>
            <w:pPr>
              <w:pStyle w:val="Compact"/>
              <w:jc w:val="center"/>
            </w:pPr>
            <w:r>
              <w:t xml:space="preserve">Change vs. Baseline</w:t>
            </w:r>
          </w:p>
        </w:tc>
        <w:tc>
          <w:tcPr/>
          <w:p>
            <w:pPr>
              <w:pStyle w:val="Compact"/>
              <w:jc w:val="center"/>
            </w:pPr>
            <w:r>
              <w:t xml:space="preserve">Consistency (Folds Improved)</w:t>
            </w:r>
          </w:p>
        </w:tc>
      </w:tr>
      <w:tr>
        <w:tc>
          <w:tcPr/>
          <w:p>
            <w:pPr>
              <w:pStyle w:val="Compact"/>
              <w:jc w:val="left"/>
            </w:pPr>
            <w:r>
              <w:t xml:space="preserve">DLinear only (no features)</w:t>
            </w:r>
          </w:p>
        </w:tc>
        <w:tc>
          <w:tcPr/>
          <w:p>
            <w:pPr>
              <w:pStyle w:val="Compact"/>
              <w:jc w:val="center"/>
            </w:pPr>
            <w:r>
              <w:t xml:space="preserve">93.9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 Calendar (H5)</w:t>
            </w:r>
          </w:p>
        </w:tc>
        <w:tc>
          <w:tcPr/>
          <w:p>
            <w:pPr>
              <w:pStyle w:val="Compact"/>
              <w:jc w:val="center"/>
            </w:pPr>
            <w:r>
              <w:t xml:space="preserve">86.4</w:t>
            </w:r>
          </w:p>
        </w:tc>
        <w:tc>
          <w:tcPr/>
          <w:p>
            <w:pPr>
              <w:pStyle w:val="Compact"/>
              <w:jc w:val="center"/>
            </w:pPr>
            <w:r>
              <w:t xml:space="preserve">-8.0%</w:t>
            </w:r>
          </w:p>
        </w:tc>
        <w:tc>
          <w:tcPr/>
          <w:p>
            <w:pPr>
              <w:pStyle w:val="Compact"/>
              <w:jc w:val="center"/>
            </w:pPr>
            <w:r>
              <w:t xml:space="preserve">6 / 6 folds</w:t>
            </w:r>
          </w:p>
        </w:tc>
      </w:tr>
      <w:tr>
        <w:tc>
          <w:tcPr/>
          <w:p>
            <w:pPr>
              <w:pStyle w:val="Compact"/>
              <w:jc w:val="left"/>
            </w:pPr>
            <w:r>
              <w:t xml:space="preserve">+ Temperature (H7)</w:t>
            </w:r>
          </w:p>
        </w:tc>
        <w:tc>
          <w:tcPr/>
          <w:p>
            <w:pPr>
              <w:pStyle w:val="Compact"/>
              <w:jc w:val="center"/>
            </w:pPr>
            <w:r>
              <w:t xml:space="preserve">89.2</w:t>
            </w:r>
          </w:p>
        </w:tc>
        <w:tc>
          <w:tcPr/>
          <w:p>
            <w:pPr>
              <w:pStyle w:val="Compact"/>
              <w:jc w:val="center"/>
            </w:pPr>
            <w:r>
              <w:t xml:space="preserve">-5.0%</w:t>
            </w:r>
          </w:p>
        </w:tc>
        <w:tc>
          <w:tcPr/>
          <w:p>
            <w:pPr>
              <w:pStyle w:val="Compact"/>
              <w:jc w:val="center"/>
            </w:pPr>
            <w:r>
              <w:t xml:space="preserve">6 / 6 folds</w:t>
            </w:r>
          </w:p>
        </w:tc>
      </w:tr>
      <w:tr>
        <w:tc>
          <w:tcPr/>
          <w:p>
            <w:pPr>
              <w:pStyle w:val="Compact"/>
              <w:jc w:val="left"/>
            </w:pPr>
            <w:r>
              <w:t xml:space="preserve">+ Humidity</w:t>
            </w:r>
          </w:p>
        </w:tc>
        <w:tc>
          <w:tcPr/>
          <w:p>
            <w:pPr>
              <w:pStyle w:val="Compact"/>
              <w:jc w:val="center"/>
            </w:pPr>
            <w:r>
              <w:t xml:space="preserve">92.8</w:t>
            </w:r>
          </w:p>
        </w:tc>
        <w:tc>
          <w:tcPr/>
          <w:p>
            <w:pPr>
              <w:pStyle w:val="Compact"/>
              <w:jc w:val="center"/>
            </w:pPr>
            <w:r>
              <w:t xml:space="preserve">-1.2%</w:t>
            </w:r>
          </w:p>
        </w:tc>
        <w:tc>
          <w:tcPr/>
          <w:p>
            <w:pPr>
              <w:pStyle w:val="Compact"/>
              <w:jc w:val="center"/>
            </w:pPr>
            <w:r>
              <w:t xml:space="preserve">4 / 6 folds</w:t>
            </w:r>
          </w:p>
        </w:tc>
      </w:tr>
      <w:tr>
        <w:tc>
          <w:tcPr/>
          <w:p>
            <w:pPr>
              <w:pStyle w:val="Compact"/>
              <w:jc w:val="left"/>
            </w:pPr>
            <w:r>
              <w:t xml:space="preserve">+ Cloud Cover</w:t>
            </w:r>
          </w:p>
        </w:tc>
        <w:tc>
          <w:tcPr/>
          <w:p>
            <w:pPr>
              <w:pStyle w:val="Compact"/>
              <w:jc w:val="center"/>
            </w:pPr>
            <w:r>
              <w:t xml:space="preserve">93.5</w:t>
            </w:r>
          </w:p>
        </w:tc>
        <w:tc>
          <w:tcPr/>
          <w:p>
            <w:pPr>
              <w:pStyle w:val="Compact"/>
              <w:jc w:val="center"/>
            </w:pPr>
            <w:r>
              <w:t xml:space="preserve">-0.4%</w:t>
            </w:r>
          </w:p>
        </w:tc>
        <w:tc>
          <w:tcPr/>
          <w:p>
            <w:pPr>
              <w:pStyle w:val="Compact"/>
              <w:jc w:val="center"/>
            </w:pPr>
            <w:r>
              <w:t xml:space="preserve">3 / 6 folds</w:t>
            </w:r>
          </w:p>
        </w:tc>
      </w:tr>
      <w:tr>
        <w:tc>
          <w:tcPr/>
          <w:p>
            <w:pPr>
              <w:pStyle w:val="Compact"/>
              <w:jc w:val="left"/>
            </w:pPr>
            <w:r>
              <w:t xml:space="preserve">+ All Weather (H6)</w:t>
            </w:r>
          </w:p>
        </w:tc>
        <w:tc>
          <w:tcPr/>
          <w:p>
            <w:pPr>
              <w:pStyle w:val="Compact"/>
              <w:jc w:val="center"/>
            </w:pPr>
            <w:r>
              <w:t xml:space="preserve">88.3</w:t>
            </w:r>
          </w:p>
        </w:tc>
        <w:tc>
          <w:tcPr/>
          <w:p>
            <w:pPr>
              <w:pStyle w:val="Compact"/>
              <w:jc w:val="center"/>
            </w:pPr>
            <w:r>
              <w:t xml:space="preserve">-6.0%</w:t>
            </w:r>
          </w:p>
        </w:tc>
        <w:tc>
          <w:tcPr/>
          <w:p>
            <w:pPr>
              <w:pStyle w:val="Compact"/>
              <w:jc w:val="center"/>
            </w:pPr>
            <w:r>
              <w:t xml:space="preserve">4 / 6 folds</w:t>
            </w:r>
          </w:p>
        </w:tc>
      </w:tr>
      <w:tr>
        <w:tc>
          <w:tcPr/>
          <w:p>
            <w:pPr>
              <w:pStyle w:val="Compact"/>
              <w:jc w:val="left"/>
            </w:pPr>
            <w:r>
              <w:t xml:space="preserve">+ Calendar + All Weather</w:t>
            </w:r>
          </w:p>
        </w:tc>
        <w:tc>
          <w:tcPr/>
          <w:p>
            <w:pPr>
              <w:pStyle w:val="Compact"/>
              <w:jc w:val="center"/>
            </w:pPr>
            <w:r>
              <w:t xml:space="preserve">84.7</w:t>
            </w:r>
          </w:p>
        </w:tc>
        <w:tc>
          <w:tcPr/>
          <w:p>
            <w:pPr>
              <w:pStyle w:val="Compact"/>
              <w:jc w:val="center"/>
            </w:pPr>
            <w:r>
              <w:t xml:space="preserve">-9.8%</w:t>
            </w:r>
          </w:p>
        </w:tc>
        <w:tc>
          <w:tcPr/>
          <w:p>
            <w:pPr>
              <w:pStyle w:val="Compact"/>
              <w:jc w:val="center"/>
            </w:pPr>
            <w:r>
              <w:t xml:space="preserve">6 / 6 folds</w:t>
            </w:r>
          </w:p>
        </w:tc>
      </w:tr>
    </w:tbl>
    <w:p>
      <w:pPr>
        <w:pStyle w:val="BodyText"/>
      </w:pPr>
      <w:r>
        <w:t xml:space="preserve">Adding temperature reduces the MAE by 5.0%, which is smaller than the 10–15% improvements typically reported for temperate climates. This is consistent with findings in tropical regions [2], where load is less weather-sensitive. Additional weather features (humidity and cloud cover) provide marginal, inconsistent benefits across folds and increase the risk of overfitting.</w:t>
      </w:r>
    </w:p>
    <w:p>
      <w:r>
        <w:pict>
          <v:rect style="width:0;height:1.5pt" o:hralign="center" o:hrstd="t" o:hr="t"/>
        </w:pict>
      </w:r>
    </w:p>
    <w:bookmarkEnd w:id="62"/>
    <w:bookmarkStart w:id="63" w:name="c.-advanced-methods-h11h12"/>
    <w:p>
      <w:pPr>
        <w:pStyle w:val="Heading3"/>
      </w:pPr>
      <w:r>
        <w:t xml:space="preserve">C. Advanced Methods (H11–H12)</w:t>
      </w:r>
    </w:p>
    <w:p>
      <w:pPr>
        <w:pStyle w:val="Compact"/>
        <w:numPr>
          <w:ilvl w:val="0"/>
          <w:numId w:val="1006"/>
        </w:numPr>
      </w:pPr>
      <w:r>
        <w:rPr>
          <w:b/>
          <w:bCs/>
        </w:rPr>
        <w:t xml:space="preserve">Foundation Models (H11)</w:t>
      </w:r>
      <w:r>
        <w:t xml:space="preserve">: We evaluate Amazon Chronos (tiny, small, and base variants) in a zero-shot configuration, providing the most recent 512 hours of load history as context.</w:t>
      </w:r>
    </w:p>
    <w:p>
      <w:pPr>
        <w:pStyle w:val="Compact"/>
        <w:numPr>
          <w:ilvl w:val="0"/>
          <w:numId w:val="1006"/>
        </w:numPr>
      </w:pPr>
      <w:r>
        <w:rPr>
          <w:b/>
          <w:bCs/>
        </w:rPr>
        <w:t xml:space="preserve">Continual Learning (H12)</w:t>
      </w:r>
      <w:r>
        <w:t xml:space="preserve">: We test online gradient updates (updating weights daily using SGD on the observed actual) and Elastic Weight Consolidation (EWC) with importance parameter</w:t>
      </w:r>
      <w:r>
        <w:t xml:space="preserve"> </w:t>
      </w:r>
      <m:oMath>
        <m:sSub>
          <m:e>
            <m:r>
              <m:t>λ</m:t>
            </m:r>
          </m:e>
          <m:sub>
            <m:r>
              <m:t>e</m:t>
            </m:r>
            <m:r>
              <m:t>w</m:t>
            </m:r>
            <m:r>
              <m:t>c</m:t>
            </m:r>
          </m:sub>
        </m:sSub>
        <m:r>
          <m:rPr>
            <m:sty m:val="p"/>
          </m:rPr>
          <m:t>=</m:t>
        </m:r>
        <m:r>
          <m:t>100</m:t>
        </m:r>
      </m:oMath>
      <w:r>
        <w:t xml:space="preserve">.</w:t>
      </w:r>
    </w:p>
    <w:bookmarkEnd w:id="63"/>
    <w:bookmarkStart w:id="64" w:name="table-xv-advanced-methods-comparison"/>
    <w:p>
      <w:pPr>
        <w:pStyle w:val="Heading3"/>
      </w:pPr>
      <w:r>
        <w:t xml:space="preserve">Table XV: Advanced Methods Comparison</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Model / Approach</w:t>
            </w:r>
          </w:p>
        </w:tc>
        <w:tc>
          <w:tcPr/>
          <w:p>
            <w:pPr>
              <w:pStyle w:val="Compact"/>
              <w:jc w:val="center"/>
            </w:pPr>
            <w:r>
              <w:t xml:space="preserve">Mean MAE (MW)</w:t>
            </w:r>
          </w:p>
        </w:tc>
        <w:tc>
          <w:tcPr/>
          <w:p>
            <w:pPr>
              <w:pStyle w:val="Compact"/>
              <w:jc w:val="left"/>
            </w:pPr>
            <w:r>
              <w:t xml:space="preserve">Operational Notes</w:t>
            </w:r>
          </w:p>
        </w:tc>
      </w:tr>
      <w:tr>
        <w:tc>
          <w:tcPr/>
          <w:p>
            <w:pPr>
              <w:pStyle w:val="Compact"/>
              <w:jc w:val="left"/>
            </w:pPr>
            <w:r>
              <w:t xml:space="preserve">Seasonal Naive (Reference)</w:t>
            </w:r>
          </w:p>
        </w:tc>
        <w:tc>
          <w:tcPr/>
          <w:p>
            <w:pPr>
              <w:pStyle w:val="Compact"/>
              <w:jc w:val="center"/>
            </w:pPr>
            <w:r>
              <w:t xml:space="preserve">145.6</w:t>
            </w:r>
          </w:p>
        </w:tc>
        <w:tc>
          <w:tcPr/>
          <w:p>
            <w:pPr>
              <w:pStyle w:val="Compact"/>
              <w:jc w:val="left"/>
            </w:pPr>
            <w:r>
              <w:t xml:space="preserve">No training</w:t>
            </w:r>
          </w:p>
        </w:tc>
      </w:tr>
      <w:tr>
        <w:tc>
          <w:tcPr/>
          <w:p>
            <w:pPr>
              <w:pStyle w:val="Compact"/>
              <w:jc w:val="left"/>
            </w:pPr>
            <w:r>
              <w:t xml:space="preserve">Chronos (Tiny)</w:t>
            </w:r>
          </w:p>
        </w:tc>
        <w:tc>
          <w:tcPr/>
          <w:p>
            <w:pPr>
              <w:pStyle w:val="Compact"/>
              <w:jc w:val="center"/>
            </w:pPr>
            <w:r>
              <w:t xml:space="preserve">172.0</w:t>
            </w:r>
          </w:p>
        </w:tc>
        <w:tc>
          <w:tcPr/>
          <w:p>
            <w:pPr>
              <w:pStyle w:val="Compact"/>
              <w:jc w:val="left"/>
            </w:pPr>
            <w:r>
              <w:t xml:space="preserve">Out-of-distribution scale failure</w:t>
            </w:r>
          </w:p>
        </w:tc>
      </w:tr>
      <w:tr>
        <w:tc>
          <w:tcPr/>
          <w:p>
            <w:pPr>
              <w:pStyle w:val="Compact"/>
              <w:jc w:val="left"/>
            </w:pPr>
            <w:r>
              <w:t xml:space="preserve">Chronos (Small)</w:t>
            </w:r>
          </w:p>
        </w:tc>
        <w:tc>
          <w:tcPr/>
          <w:p>
            <w:pPr>
              <w:pStyle w:val="Compact"/>
              <w:jc w:val="center"/>
            </w:pPr>
            <w:r>
              <w:t xml:space="preserve">168.0</w:t>
            </w:r>
          </w:p>
        </w:tc>
        <w:tc>
          <w:tcPr/>
          <w:p>
            <w:pPr>
              <w:pStyle w:val="Compact"/>
              <w:jc w:val="left"/>
            </w:pPr>
            <w:r>
              <w:t xml:space="preserve">Out-of-distribution scale failure</w:t>
            </w:r>
          </w:p>
        </w:tc>
      </w:tr>
      <w:tr>
        <w:tc>
          <w:tcPr/>
          <w:p>
            <w:pPr>
              <w:pStyle w:val="Compact"/>
              <w:jc w:val="left"/>
            </w:pPr>
            <w:r>
              <w:t xml:space="preserve">Chronos (Base)</w:t>
            </w:r>
          </w:p>
        </w:tc>
        <w:tc>
          <w:tcPr/>
          <w:p>
            <w:pPr>
              <w:pStyle w:val="Compact"/>
              <w:jc w:val="center"/>
            </w:pPr>
            <w:r>
              <w:t xml:space="preserve">165.0</w:t>
            </w:r>
          </w:p>
        </w:tc>
        <w:tc>
          <w:tcPr/>
          <w:p>
            <w:pPr>
              <w:pStyle w:val="Compact"/>
              <w:jc w:val="left"/>
            </w:pPr>
            <w:r>
              <w:t xml:space="preserve">Out-of-distribution scale failure</w:t>
            </w:r>
          </w:p>
        </w:tc>
      </w:tr>
      <w:tr>
        <w:tc>
          <w:tcPr/>
          <w:p>
            <w:pPr>
              <w:pStyle w:val="Compact"/>
              <w:jc w:val="left"/>
            </w:pPr>
            <w:r>
              <w:t xml:space="preserve">DLinear (Trained Baseline)</w:t>
            </w:r>
          </w:p>
        </w:tc>
        <w:tc>
          <w:tcPr/>
          <w:p>
            <w:pPr>
              <w:pStyle w:val="Compact"/>
              <w:jc w:val="center"/>
            </w:pPr>
            <w:r>
              <w:t xml:space="preserve">93.9</w:t>
            </w:r>
          </w:p>
        </w:tc>
        <w:tc>
          <w:tcPr/>
          <w:p>
            <w:pPr>
              <w:pStyle w:val="Compact"/>
              <w:jc w:val="left"/>
            </w:pPr>
            <w:r>
              <w:t xml:space="preserve">In-domain training</w:t>
            </w:r>
          </w:p>
        </w:tc>
      </w:tr>
      <w:tr>
        <w:tc>
          <w:tcPr/>
          <w:p>
            <w:pPr>
              <w:pStyle w:val="Compact"/>
              <w:jc w:val="left"/>
            </w:pPr>
            <w:r>
              <w:t xml:space="preserve">Online Gradient Descent (Daily)</w:t>
            </w:r>
          </w:p>
        </w:tc>
        <w:tc>
          <w:tcPr/>
          <w:p>
            <w:pPr>
              <w:pStyle w:val="Compact"/>
              <w:jc w:val="center"/>
            </w:pPr>
            <w:r>
              <w:t xml:space="preserve">Diverged</w:t>
            </w:r>
          </w:p>
        </w:tc>
        <w:tc>
          <w:tcPr/>
          <w:p>
            <w:pPr>
              <w:pStyle w:val="Compact"/>
              <w:jc w:val="left"/>
            </w:pPr>
            <w:r>
              <w:t xml:space="preserve">Model weights diverged within 3 days</w:t>
            </w:r>
          </w:p>
        </w:tc>
      </w:tr>
      <w:tr>
        <w:tc>
          <w:tcPr/>
          <w:p>
            <w:pPr>
              <w:pStyle w:val="Compact"/>
              <w:jc w:val="left"/>
            </w:pPr>
            <w:r>
              <w:t xml:space="preserve">Elastic Weight Consolidation (EWC)</w:t>
            </w:r>
          </w:p>
        </w:tc>
        <w:tc>
          <w:tcPr/>
          <w:p>
            <w:pPr>
              <w:pStyle w:val="Compact"/>
              <w:jc w:val="center"/>
            </w:pPr>
            <w:r>
              <w:t xml:space="preserve">118.0</w:t>
            </w:r>
          </w:p>
        </w:tc>
        <w:tc>
          <w:tcPr/>
          <w:p>
            <w:pPr>
              <w:pStyle w:val="Compact"/>
              <w:jc w:val="left"/>
            </w:pPr>
            <w:r>
              <w:t xml:space="preserve">Regularization prevents trend learning</w:t>
            </w:r>
          </w:p>
        </w:tc>
      </w:tr>
    </w:tbl>
    <w:p>
      <w:pPr>
        <w:pStyle w:val="Compact"/>
        <w:numPr>
          <w:ilvl w:val="0"/>
          <w:numId w:val="1007"/>
        </w:numPr>
      </w:pPr>
      <w:r>
        <w:rPr>
          <w:b/>
          <w:bCs/>
        </w:rPr>
        <w:t xml:space="preserve">Chronos Failure Analysis</w:t>
      </w:r>
      <w:r>
        <w:t xml:space="preserve">: The foundation models capture diurnal patterns accurately but fail to scale their predictions, systematically underestimating the load by over 1,000 MW. They cannot extrapolate the rapid growth trend from their context window.</w:t>
      </w:r>
    </w:p>
    <w:p>
      <w:pPr>
        <w:pStyle w:val="Compact"/>
        <w:numPr>
          <w:ilvl w:val="0"/>
          <w:numId w:val="1007"/>
        </w:numPr>
      </w:pPr>
      <w:r>
        <w:rPr>
          <w:b/>
          <w:bCs/>
        </w:rPr>
        <w:t xml:space="preserve">Continual Learning Failure Analysis</w:t>
      </w:r>
      <w:r>
        <w:t xml:space="preserve">: Daily online updates diverge due to noise and metering errors in the load data. EWC limits weight updates so severely that the model cannot adapt to the growth trend, resulting in 26% higher errors than the static baseline.</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2026-06-10T15:38:38Z</dcterms:created>
  <dcterms:modified xsi:type="dcterms:W3CDTF">2026-06-10T15:38:38Z</dcterms:modified>
</cp:coreProperties>
</file>

<file path=docProps/custom.xml><?xml version="1.0" encoding="utf-8"?>
<Properties xmlns="http://schemas.openxmlformats.org/officeDocument/2006/custom-properties" xmlns:vt="http://schemas.openxmlformats.org/officeDocument/2006/docPropsVTypes"/>
</file>