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0 — Bootstrap Calibration and Entry into the QEC-Operable Regime</w:t>
      </w:r>
    </w:p>
    <w:p>
      <w:pPr>
        <w:spacing w:after="200"/>
        <w:jc w:val="center"/>
      </w:pPr>
      <w:r>
        <w:rPr>
          <w:color w:val="2F6FDB"/>
          <w:sz w:val="20"/>
        </w:rPr>
        <w:t>━━━━━━━━━━━━━━━━━━━━━━━━━━━━━━━━━━━━━━━━━━━━</w:t>
      </w:r>
    </w:p>
    <w:p>
      <w:pPr>
        <w:pStyle w:val="Subtitle"/>
        <w:jc w:val="center"/>
      </w:pPr>
      <w:r>
        <w:t>Automatic construction of the baseline policy, response scales and causal calibration graph</w:t>
      </w:r>
    </w:p>
    <w:p>
      <w:pPr>
        <w:jc w:val="center"/>
      </w:pPr>
      <w:r>
        <w:rPr>
          <w:rFonts w:ascii="Aptos" w:hAnsi="Aptos"/>
          <w:i/>
          <w:color w:val="4A5568"/>
          <w:sz w:val="20"/>
        </w:rPr>
        <w:t>Stage 0 of the staged physics-informed calibration architecture</w:t>
      </w:r>
    </w:p>
    <w:p>
      <w:pPr>
        <w:jc w:val="center"/>
      </w:pPr>
      <w:r>
        <w:rPr>
          <w:rFonts w:ascii="Aptos" w:hAnsi="Aptos"/>
          <w:color w:val="4A5568"/>
          <w:sz w:val="18"/>
        </w:rPr>
        <w:t>Revision 2.0 — 31 July 2026</w:t>
      </w:r>
    </w:p>
    <w:tbl>
      <w:tblPr>
        <w:tblW w:type="auto" w:w="0"/>
        <w:jc w:val="center"/>
        <w:tblLayout w:type="autofit"/>
        <w:tblLook w:firstColumn="1" w:firstRow="1" w:lastColumn="0" w:lastRow="0" w:noHBand="0" w:noVBand="1" w:val="04A0"/>
      </w:tblPr>
      <w:tblGrid>
        <w:gridCol w:w="9638"/>
      </w:tblGrid>
      <w:tr>
        <w:tc>
          <w:tcPr>
            <w:tcW w:type="dxa" w:w="9638"/>
            <w:shd w:fill="F2F4F7"/>
            <w:tcBorders>
              <w:top w:sz="8" w:val="single" w:color="1F2D3D"/>
              <w:left w:sz="8" w:val="single" w:color="1F2D3D"/>
              <w:bottom w:sz="4" w:val="single" w:color="D0D5DD"/>
              <w:right w:sz="4" w:val="single" w:color="D0D5DD"/>
            </w:tcBorders>
          </w:tcPr>
          <w:p>
            <w:r>
              <w:rPr>
                <w:rFonts w:ascii="Aptos" w:hAnsi="Aptos"/>
                <w:b/>
                <w:color w:val="1F2D3D"/>
                <w:sz w:val="20"/>
              </w:rPr>
              <w:t>Design status</w:t>
            </w:r>
          </w:p>
          <w:p>
            <w:pPr>
              <w:spacing w:after="20"/>
            </w:pPr>
            <w:r>
              <w:t>This is a proposed theoretical and computational architecture. Demonstrated results from the cited literature are identified explicitly; all system-level performance targets are hypotheses and acceptance gates, not claims of completed experimental performance.</w:t>
            </w:r>
          </w:p>
        </w:tc>
      </w:tr>
    </w:tbl>
    <w:p>
      <w:pPr>
        <w:spacing w:after="0"/>
      </w:pPr>
    </w:p>
    <w:p>
      <w:pPr>
        <w:pStyle w:val="Heading1"/>
        <w:keepNext/>
      </w:pPr>
      <w:r>
        <w:t>Abstract</w:t>
      </w:r>
    </w:p>
    <w:p>
      <w:r>
        <w:rPr>
          <w:i w:val="0"/>
        </w:rPr>
        <w:t>Stage 0 converts a device that is merely controllable at the hardware level into a validated operating point at which repeated QEC produces informative detector events. It is deliberately not performed by the detector-driven RL controller, because QEC detectors are uninformative when state preparation, readout, resonance frequencies or entangling gates are grossly incorrect. The stage encodes established calibration knowledge as an executable dependency graph, applies bounded experiments and uncertainty-aware fits, validates each node before dependent nodes are enabled, and constructs the detector–control factor graph and sensitivity normalization needed by all later stages. This revision specifies the exact calibration sequence, numerical responsibilities, data structures, failure handling and exit tests. The minimum viable implementation is already fully automatic and must reach a QEC-operable basin much faster and with less damage than RL recovery from a spoiled policy; the ideal implementation adds joint block calibration, continual graph invalidation and pulse-level model assistance.</w:t>
      </w:r>
    </w:p>
    <w:p>
      <w:pPr>
        <w:jc w:val="center"/>
      </w:pPr>
      <w:r>
        <w:drawing>
          <wp:inline xmlns:a="http://schemas.openxmlformats.org/drawingml/2006/main" xmlns:pic="http://schemas.openxmlformats.org/drawingml/2006/picture">
            <wp:extent cx="6120000" cy="1187051"/>
            <wp:docPr id="1" name="Picture 1"/>
            <wp:cNvGraphicFramePr>
              <a:graphicFrameLocks noChangeAspect="1"/>
            </wp:cNvGraphicFramePr>
            <a:graphic>
              <a:graphicData uri="http://schemas.openxmlformats.org/drawingml/2006/picture">
                <pic:pic>
                  <pic:nvPicPr>
                    <pic:cNvPr id="0" name="stage0_contract.png"/>
                    <pic:cNvPicPr/>
                  </pic:nvPicPr>
                  <pic:blipFill>
                    <a:blip r:embed="rId11"/>
                    <a:stretch>
                      <a:fillRect/>
                    </a:stretch>
                  </pic:blipFill>
                  <pic:spPr>
                    <a:xfrm>
                      <a:off x="0" y="0"/>
                      <a:ext cx="6120000" cy="1187051"/>
                    </a:xfrm>
                    <a:prstGeom prst="rect"/>
                  </pic:spPr>
                </pic:pic>
              </a:graphicData>
            </a:graphic>
          </wp:inline>
        </w:drawing>
      </w:r>
    </w:p>
    <w:p>
      <w:pPr>
        <w:pStyle w:val="CaptionCustom"/>
        <w:jc w:val="center"/>
      </w:pPr>
      <w:r>
        <w:t>Figure 1. Stage 0 is the only stage that assumes dedicated characterization experiments as part of normal operation. Its output makes native-QEC-only operation possible in later stages.</w:t>
      </w:r>
    </w:p>
    <w:p>
      <w:pPr>
        <w:pStyle w:val="Heading1"/>
        <w:keepNext/>
      </w:pPr>
      <w:r>
        <w:t>Stage contract: exact inputs, exact outputs and validity conditions</w:t>
      </w:r>
    </w:p>
    <w:p>
      <w:r>
        <w:rPr>
          <w:i w:val="0"/>
        </w:rPr>
        <w:t>The stage owns all operations required before native QEC detector statistics can be interpreted as a local calibration objective. It must never pass a policy to Stage 1 merely because individual calibration routines returned numerical values; every output carries uncertainty, provenance and independent validation.</w:t>
      </w:r>
    </w:p>
    <w:p>
      <w:pPr>
        <w:pStyle w:val="Heading2"/>
        <w:keepNext/>
      </w:pPr>
      <w:r>
        <w:t>Inputs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Input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Source</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device_topology</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Qubit, coupler, resonator and control-line graph; channel identifiers; connectivity; supported pulse primitives; sample clocks and latency. A versioned machine-readable object, not a diagram.</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Hardware description or simulator configuration.</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hardware_limits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Absolute amplitude, frequency, flux, phase, slew-rate, duty-cycle, thermal and leakage limits, including interlocks and forbidden combinations.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Manufacturer/controller specification and conservative engineering bounds.</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coarse_priors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Initial frequency bands, resonator bands, approximate coherence ranges, coupling signs and previous validated values with timestamps and uncertainty.</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Fabrication data, previous run or broad physical priors.</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calibration_recipe_graph</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Nodes, dependencies, experiment generators, fitted parameters, acceptance tests and invalidation rules.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Version-controlled calibration library.</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target_qec_circuit</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Compiled stabilizer schedule, detector definitions, logical basis and intended device region.</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QEC compiler and experiment specification.</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resource_budget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Maximum shots, wall time, allowable device heating, number of retries and diagnostic interruption budget.</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Supervisor or experiment operator.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random_seed_and_run_id</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Seed for reproducible simulation/optimization and a globally unique audit identifier.</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Experiment orchestration layer.</w:t>
            </w:r>
          </w:p>
        </w:tc>
      </w:tr>
    </w:tbl>
    <w:p>
      <w:pPr>
        <w:spacing w:after="0"/>
      </w:pPr>
    </w:p>
    <w:p>
      <w:pPr>
        <w:pStyle w:val="Heading2"/>
        <w:keepNext/>
      </w:pPr>
      <w:r>
        <w:t>Outputs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Output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Consumer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baseline_policy u0</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Complete control-vector values with units, valid ranges, covariance and calibration timestamp.</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1, 5, 6 and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qec_operable_circuit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A compiled detector-generating QEC circuit whose state preparation, reset, readout and gates pass predefined viability thresholds.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1 telemetry.</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parameter_registry</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One record per tunable parameter: physical meaning, channel, unit, scale, owning calibration node, local region and safe update rules.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All later stages.</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detector_control_graph</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Sparse mapping from detector nodes to gates and from gates to control parameters, including uncertain or broad-impact edges.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1, 2 and 6.</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sensitivity_scales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Perturbation scale σ0 or local Jacobian information that equalizes the observable effect of parameter exploration.</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2, 5 and 6.</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safety_envelope</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Hard bounds, rate limits, joint constraints, rollback policy and emergency safe policy.</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5 and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calibration_provenance</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Experiments, raw summaries, fitted models, confidence intervals, validation results and node versions.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7 and offline audit.</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bootstrap_health_report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Passed, degraded or failed status with the first invalid dependency and recommended amendment.</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Supervisor and operator.</w:t>
            </w:r>
          </w:p>
        </w:tc>
      </w:tr>
    </w:tbl>
    <w:p>
      <w:pPr>
        <w:spacing w:after="0"/>
      </w:pPr>
    </w:p>
    <w:p>
      <w:pPr>
        <w:pStyle w:val="Heading2"/>
        <w:keepNext/>
      </w:pPr>
      <w:r>
        <w:t>Contractual assumptions</w:t>
      </w:r>
    </w:p>
    <w:p>
      <w:pPr>
        <w:pStyle w:val="ListBullet"/>
        <w:ind w:left="397" w:hanging="170"/>
      </w:pPr>
      <w:r>
        <w:t>Dedicated characterization experiments are allowed and expected in Stage 0. The later claim of native-QEC-only operation begins only after this stage has passed.</w:t>
      </w:r>
    </w:p>
    <w:p>
      <w:pPr>
        <w:pStyle w:val="ListBullet"/>
        <w:ind w:left="397" w:hanging="170"/>
      </w:pPr>
      <w:r>
        <w:t>The control hardware exposes a safe way to set bounded pulse parameters and retrieve timestamped measurements.</w:t>
      </w:r>
    </w:p>
    <w:p>
      <w:pPr>
        <w:pStyle w:val="ListBullet"/>
        <w:ind w:left="397" w:hanging="170"/>
      </w:pPr>
      <w:r>
        <w:t>The target device region is not undergoing changes faster than the shortest calibration experiment. If it is, the stage must diagnose instability rather than force a fit.</w:t>
      </w:r>
    </w:p>
    <w:p>
      <w:pPr>
        <w:pStyle w:val="ListBullet"/>
        <w:ind w:left="397" w:hanging="170"/>
      </w:pPr>
      <w:r>
        <w:t>The target QEC circuit and detector definitions are available before the detector–control graph is constructed.</w:t>
      </w:r>
    </w:p>
    <w:p>
      <w:pPr>
        <w:pStyle w:val="ListBullet"/>
        <w:ind w:left="397" w:hanging="170"/>
      </w:pPr>
      <w:r>
        <w:t>No later stage may silently alter the meaning or unit of a registered parameter.</w:t>
      </w:r>
    </w:p>
    <w:p>
      <w:pPr>
        <w:pStyle w:val="Heading1"/>
        <w:keepNext/>
      </w:pPr>
      <w:r>
        <w:t>1. Why a separate bootstrap stage is physically necessary</w:t>
      </w:r>
    </w:p>
    <w:p>
      <w:r>
        <w:rPr>
          <w:i w:val="0"/>
        </w:rPr>
        <w:t>The detector objective used by the RL controller presupposes that a recognisable QEC circuit is being executed. If the readout threshold is wrong, a qubit drive is far from resonance, reset fails, or a coupler pulse transfers population outside the computational subspace, detector events can saturate near one half and cease to contain directional information. The controller then observes that the circuit is poor but not which prerequisite must be repaired. This is not merely an optimization difficulty: the measurement map can be non-identifiable because many gross failures produce the same nearly random detector pattern.</w:t>
      </w:r>
    </w:p>
    <w:p>
      <w:r>
        <w:rPr>
          <w:i w:val="0"/>
        </w:rPr>
        <w:t>Stage 0 therefore follows the physical dependency of the apparatus. Readout resonators and qubit transitions must first be located; state preparation and readout must be sufficiently reliable to evaluate gate experiments; single-qubit rotations must be established before entangling-gate phase and crosstalk corrections are meaningful; and only then can the complete syndrome-extraction circuit be validated. The dependency graph turns this laboratory knowledge into an executable, auditable object.</w:t>
      </w:r>
    </w:p>
    <w:p>
      <w:pPr>
        <w:pStyle w:val="Heading1"/>
        <w:keepNext/>
      </w:pPr>
      <w:r>
        <w:t>2. Minimal QEC and control background</w:t>
      </w:r>
    </w:p>
    <w:p>
      <w:r>
        <w:rPr>
          <w:i w:val="0"/>
        </w:rPr>
        <w:t>A control policy is a vector containing every analogue parameter used by the pulse compiler: drive frequency, envelope amplitude, duration, quadrature coefficient, virtual phase, flux or coupler bias, transfer-function coefficients, readout threshold and any context-dependent correction. The abstract QEC circuit is fixed at the gate level, but these parameters determine the physical waveforms that implement it. Stage 0 does not optimize logical error directly. It establishes a policy for which the gate sequence, detector construction and local error signatures are sufficiently valid that later stages can use detector events as a proxy objective.</w:t>
      </w:r>
    </w:p>
    <w:p>
      <w:r>
        <w:rPr>
          <w:i w:val="0"/>
        </w:rPr>
        <w:t>A calibration node is one bounded inverse problem. It specifies a set of control variables, an experiment that is informative about those variables, a likelihood or fit model, a proposal algorithm, and a validation experiment. Nodes are connected by directed edges whenever the validity of one calibration depends on another. For example, a Rabi-amplitude node depends on a usable readout and an approximate drive frequency; a two-qubit phase node depends on both single-qubit frame calibrations and a coarse coupler interaction.</w:t>
      </w:r>
    </w:p>
    <w:p>
      <w:pPr>
        <w:pStyle w:val="Heading1"/>
        <w:keepNext/>
      </w:pPr>
      <w:r>
        <w:t>3. Executable calibration graph</w:t>
      </w:r>
    </w:p>
    <w:p>
      <w:pPr>
        <w:pStyle w:val="Heading2"/>
        <w:keepNext/>
      </w:pPr>
      <w:r>
        <w:t>3.1 Node schema</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CalibrationNode:</w:t>
            </w:r>
          </w:p>
          <w:p>
            <w:pPr>
              <w:pStyle w:val="CodeBlock"/>
              <w:ind w:left="85" w:right="85"/>
            </w:pPr>
            <w:r>
              <w:t xml:space="preserve">    node_id: str</w:t>
            </w:r>
          </w:p>
          <w:p>
            <w:pPr>
              <w:pStyle w:val="CodeBlock"/>
              <w:ind w:left="85" w:right="85"/>
            </w:pPr>
            <w:r>
              <w:t xml:space="preserve">    owned_parameters: list[ParameterID]</w:t>
            </w:r>
          </w:p>
          <w:p>
            <w:pPr>
              <w:pStyle w:val="CodeBlock"/>
              <w:ind w:left="85" w:right="85"/>
            </w:pPr>
            <w:r>
              <w:t xml:space="preserve">    prerequisites: list[NodeID]</w:t>
            </w:r>
          </w:p>
          <w:p>
            <w:pPr>
              <w:pStyle w:val="CodeBlock"/>
              <w:ind w:left="85" w:right="85"/>
            </w:pPr>
            <w:r>
              <w:t xml:space="preserve">    experiment_generator: Callable[Context, CandidateSet]</w:t>
            </w:r>
          </w:p>
          <w:p>
            <w:pPr>
              <w:pStyle w:val="CodeBlock"/>
              <w:ind w:left="85" w:right="85"/>
            </w:pPr>
            <w:r>
              <w:t xml:space="preserve">    likelihood_or_fit: ModelSpec</w:t>
            </w:r>
          </w:p>
          <w:p>
            <w:pPr>
              <w:pStyle w:val="CodeBlock"/>
              <w:ind w:left="85" w:right="85"/>
            </w:pPr>
            <w:r>
              <w:t xml:space="preserve">    proposal_method: OptimizerSpec</w:t>
            </w:r>
          </w:p>
          <w:p>
            <w:pPr>
              <w:pStyle w:val="CodeBlock"/>
              <w:ind w:left="85" w:right="85"/>
            </w:pPr>
            <w:r>
              <w:t xml:space="preserve">    acceptance_tests: list[TestSpec]</w:t>
            </w:r>
          </w:p>
          <w:p>
            <w:pPr>
              <w:pStyle w:val="CodeBlock"/>
              <w:ind w:left="85" w:right="85"/>
            </w:pPr>
            <w:r>
              <w:t xml:space="preserve">    rollback_policy: RollbackSpec</w:t>
            </w:r>
          </w:p>
          <w:p>
            <w:pPr>
              <w:pStyle w:val="CodeBlock"/>
              <w:ind w:left="85" w:right="85"/>
            </w:pPr>
            <w:r>
              <w:t xml:space="preserve">    invalidates_on_change: list[NodeID]</w:t>
            </w:r>
          </w:p>
          <w:p>
            <w:pPr>
              <w:pStyle w:val="CodeBlock"/>
              <w:ind w:left="85" w:right="85"/>
            </w:pPr>
            <w:r>
              <w:t xml:space="preserve">    maximum_attempts: int</w:t>
            </w:r>
          </w:p>
          <w:p>
            <w:pPr>
              <w:pStyle w:val="CodeBlock"/>
              <w:ind w:left="85" w:right="85"/>
            </w:pPr>
            <w:r>
              <w:t xml:space="preserve">    resource_budget: Budget</w:t>
            </w:r>
          </w:p>
          <w:p>
            <w:pPr>
              <w:pStyle w:val="CodeBlock"/>
              <w:ind w:left="85" w:right="85"/>
            </w:pPr>
            <w:r>
              <w:t xml:space="preserve">    version: str</w:t>
            </w:r>
          </w:p>
        </w:tc>
      </w:tr>
    </w:tbl>
    <w:p>
      <w:pPr>
        <w:spacing w:after="0"/>
      </w:pPr>
    </w:p>
    <w:p>
      <w:r>
        <w:rPr>
          <w:i w:val="0"/>
        </w:rPr>
        <w:t>The owned-parameter rule is important. Two nodes must not silently update the same parameter unless they are explicitly represented as a joint calibration block. Otherwise, later invalidation and reproducibility become impossible. Each node records both the candidate values tested and the exact controls actually emitted by the hardware, because quantization or pulse-compilation constraints can change the applied value.</w:t>
      </w:r>
    </w:p>
    <w:p>
      <w:pPr>
        <w:pStyle w:val="Heading2"/>
        <w:keepNext/>
      </w:pPr>
      <w:r>
        <w:t>3.2 Dependency traversal</w:t>
      </w:r>
    </w:p>
    <w:p>
      <w:r>
        <w:rPr>
          <w:i w:val="0"/>
        </w:rPr>
        <w:t>The scheduler begins with nodes whose prerequisites are satisfied and whose current calibration is invalid or stale. Independent nodes may run in parallel only if their pulse and thermal footprints do not interfere. After a node passes, its dependents become eligible. If a parameter changes by more than a declared dependency tolerance, all downstream nodes listed in invalidates_on_change are marked stale and revalidated. This prevents a common failure in automated stacks: a later calibration is treated as valid even though an upstream frequency or frame has moved.</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while unresolved_required_nodes:</w:t>
            </w:r>
          </w:p>
          <w:p>
            <w:pPr>
              <w:pStyle w:val="CodeBlock"/>
              <w:ind w:left="85" w:right="85"/>
            </w:pPr>
            <w:r>
              <w:t xml:space="preserve">    ready = nodes_with_valid_prerequisites()</w:t>
            </w:r>
          </w:p>
          <w:p>
            <w:pPr>
              <w:pStyle w:val="CodeBlock"/>
              <w:ind w:left="85" w:right="85"/>
            </w:pPr>
            <w:r>
              <w:t xml:space="preserve">    ready = remove_hardware_conflicts(ready)</w:t>
            </w:r>
          </w:p>
          <w:p>
            <w:pPr>
              <w:pStyle w:val="CodeBlock"/>
              <w:ind w:left="85" w:right="85"/>
            </w:pPr>
            <w:r>
              <w:t xml:space="preserve">    for node in schedule_parallel_batches(ready):</w:t>
            </w:r>
          </w:p>
          <w:p>
            <w:pPr>
              <w:pStyle w:val="CodeBlock"/>
              <w:ind w:left="85" w:right="85"/>
            </w:pPr>
            <w:r>
              <w:t xml:space="preserve">        result = execute_fit_validate(node)</w:t>
            </w:r>
          </w:p>
          <w:p>
            <w:pPr>
              <w:pStyle w:val="CodeBlock"/>
              <w:ind w:left="85" w:right="85"/>
            </w:pPr>
            <w:r>
              <w:t xml:space="preserve">        if result.passed:</w:t>
            </w:r>
          </w:p>
          <w:p>
            <w:pPr>
              <w:pStyle w:val="CodeBlock"/>
              <w:ind w:left="85" w:right="85"/>
            </w:pPr>
            <w:r>
              <w:t xml:space="preserve">            commit(result)</w:t>
            </w:r>
          </w:p>
          <w:p>
            <w:pPr>
              <w:pStyle w:val="CodeBlock"/>
              <w:ind w:left="85" w:right="85"/>
            </w:pPr>
            <w:r>
              <w:t xml:space="preserve">            invalidate_dependents_if_required(result)</w:t>
            </w:r>
          </w:p>
          <w:p>
            <w:pPr>
              <w:pStyle w:val="CodeBlock"/>
              <w:ind w:left="85" w:right="85"/>
            </w:pPr>
            <w:r>
              <w:t xml:space="preserve">        else:</w:t>
            </w:r>
          </w:p>
          <w:p>
            <w:pPr>
              <w:pStyle w:val="CodeBlock"/>
              <w:ind w:left="85" w:right="85"/>
            </w:pPr>
            <w:r>
              <w:t xml:space="preserve">            amend_or_escalate(node, result)</w:t>
            </w:r>
          </w:p>
          <w:p>
            <w:pPr>
              <w:pStyle w:val="CodeBlock"/>
              <w:ind w:left="85" w:right="85"/>
            </w:pPr>
            <w:r>
              <w:t xml:space="preserve">    if no_progress_is_possible():</w:t>
            </w:r>
          </w:p>
          <w:p>
            <w:pPr>
              <w:pStyle w:val="CodeBlock"/>
              <w:ind w:left="85" w:right="85"/>
            </w:pPr>
            <w:r>
              <w:t xml:space="preserve">        return BootstrapFailure(first_blocking_dependency, diagnostics)</w:t>
            </w:r>
          </w:p>
        </w:tc>
      </w:tr>
    </w:tbl>
    <w:p>
      <w:pPr>
        <w:spacing w:after="0"/>
      </w:pPr>
    </w:p>
    <w:p>
      <w:pPr>
        <w:pStyle w:val="Heading1"/>
        <w:keepNext/>
      </w:pPr>
      <w:r>
        <w:t>4. Step-by-step calibration procedure</w:t>
      </w:r>
    </w:p>
    <w:p>
      <w:pPr>
        <w:pStyle w:val="Heading2"/>
        <w:keepNext/>
      </w:pPr>
      <w:r>
        <w:t>4.1 Hardware and timing self-test</w:t>
      </w:r>
    </w:p>
    <w:p>
      <w:r>
        <w:rPr>
          <w:i w:val="0"/>
        </w:rPr>
        <w:t>Verify channel routing, trigger alignment, waveform upload, digitizer saturation, measurement latency and controller clock consistency. Apply only manufacturer-safe diagnostic pulses. Output a timing model and reject any channel with missing or inconsistent telemetry.</w:t>
      </w:r>
    </w:p>
    <w:p>
      <w:pPr>
        <w:pStyle w:val="Heading2"/>
        <w:keepNext/>
      </w:pPr>
      <w:r>
        <w:t>4.2 Readout-resonator discovery</w:t>
      </w:r>
    </w:p>
    <w:p>
      <w:r>
        <w:rPr>
          <w:i w:val="0"/>
        </w:rPr>
        <w:t>Sweep probe frequency within the allowed band, fit complex transmission or reflection response, identify candidate resonances, and repeat with the associated qubit approximately excited when possible. Use robust multi-peak fitting and posterior model comparison rather than selecting the largest spectral feature blindly.</w:t>
      </w:r>
    </w:p>
    <w:p>
      <w:pPr>
        <w:pStyle w:val="Heading2"/>
        <w:keepNext/>
      </w:pPr>
      <w:r>
        <w:t>4.3 Readout discrimination and reset</w:t>
      </w:r>
    </w:p>
    <w:p>
      <w:r>
        <w:rPr>
          <w:i w:val="0"/>
        </w:rPr>
        <w:t>Acquire labelled or approximately labelled ground/excited distributions, fit a confusion model, choose threshold or classifier, measure reset fidelity and detect nonstationary drift. The output is a probabilistic readout model, not only a threshold.</w:t>
      </w:r>
    </w:p>
    <w:p>
      <w:pPr>
        <w:pStyle w:val="Heading2"/>
        <w:keepNext/>
      </w:pPr>
      <w:r>
        <w:t>4.4 Qubit spectroscopy</w:t>
      </w:r>
    </w:p>
    <w:p>
      <w:r>
        <w:rPr>
          <w:i w:val="0"/>
        </w:rPr>
        <w:t>Perform coarse then adaptive spectroscopy, fit one or more resonance models, distinguish the target transition from spurious peaks, and report credible intervals. Bidirectional or interleaved sweeps test hysteresis and drift.</w:t>
      </w:r>
    </w:p>
    <w:p>
      <w:pPr>
        <w:pStyle w:val="Heading2"/>
        <w:keepNext/>
      </w:pPr>
      <w:r>
        <w:t>4.5 Coarse single-qubit control</w:t>
      </w:r>
    </w:p>
    <w:p>
      <w:r>
        <w:rPr>
          <w:i w:val="0"/>
        </w:rPr>
        <w:t>Calibrate pulse frequency, amplitude, phase and quadrature/DRAG-like coefficient using bounded Rabi, Ramsey and error-amplification sequences. Each fit is independently validated on held-out pulse repetitions or randomized sequences.</w:t>
      </w:r>
    </w:p>
    <w:p>
      <w:pPr>
        <w:pStyle w:val="Heading2"/>
        <w:keepNext/>
      </w:pPr>
      <w:r>
        <w:t>4.6 Coarse entangling-gate control</w:t>
      </w:r>
    </w:p>
    <w:p>
      <w:r>
        <w:rPr>
          <w:i w:val="0"/>
        </w:rPr>
        <w:t>Identify the interaction region, calibrate conditional phase and leakage-sensitive parameters in small two-qubit blocks, then validate with sequences that separate coherent phase error from population loss.</w:t>
      </w:r>
    </w:p>
    <w:p>
      <w:pPr>
        <w:pStyle w:val="Heading2"/>
        <w:keepNext/>
      </w:pPr>
      <w:r>
        <w:t>4.7 Transfer-function and context correction</w:t>
      </w:r>
    </w:p>
    <w:p>
      <w:r>
        <w:rPr>
          <w:i w:val="0"/>
        </w:rPr>
        <w:t>Estimate broad-impact line distortions or settling parameters only after local gates are functional. Use several pulse contexts so a fit does not merely compensate one sequence at the expense of another.</w:t>
      </w:r>
    </w:p>
    <w:p>
      <w:pPr>
        <w:pStyle w:val="Heading2"/>
        <w:keepNext/>
      </w:pPr>
      <w:r>
        <w:t>4.8 Assemble the QEC circuit</w:t>
      </w:r>
    </w:p>
    <w:p>
      <w:r>
        <w:rPr>
          <w:i w:val="0"/>
        </w:rPr>
        <w:t>Compile the target stabilizer schedule, verify measurement ordering and detector definitions, run a small number of QEC cycles, and inspect spatial detector patterns. Detector saturation, widespread correlated failures or logical randomization trigger return to the relevant dependency node.</w:t>
      </w:r>
    </w:p>
    <w:p>
      <w:pPr>
        <w:pStyle w:val="Heading2"/>
        <w:keepNext/>
      </w:pPr>
      <w:r>
        <w:t>4.9 Sensitivity normalization</w:t>
      </w:r>
    </w:p>
    <w:p>
      <w:r>
        <w:rPr>
          <w:i w:val="0"/>
        </w:rPr>
        <w:t>For each parameter type or local block, apply safe positive and negative perturbations, measure the induced detector change and fit a local response scale. The Google supplement uses such detector sensitivity to rescale the control space [2]. The revised stage preserves both the scalar scale and the directional local Jacobian where identifiable.</w:t>
      </w:r>
    </w:p>
    <w:p>
      <w:pPr>
        <w:pStyle w:val="Heading2"/>
        <w:keepNext/>
      </w:pPr>
      <w:r>
        <w:t>4.10 Final independent validation</w:t>
      </w:r>
    </w:p>
    <w:p>
      <w:r>
        <w:rPr>
          <w:i w:val="0"/>
        </w:rPr>
        <w:t>Run a held-out QEC memory experiment at the committed policy, compare with a rollback policy and verify that all hard constraints, detector-rate limits, leakage indicators and logical sanity checks pass.</w:t>
      </w:r>
    </w:p>
    <w:p>
      <w:pPr>
        <w:pStyle w:val="Heading1"/>
        <w:keepNext/>
      </w:pPr>
      <w:r>
        <w:t>5. Statistical treatment of a calibration node</w:t>
      </w:r>
    </w:p>
    <w:p>
      <w:r>
        <w:rPr>
          <w:i w:val="0"/>
        </w:rPr>
        <w:t>For candidate control value v and measurement data y, a node defines a likelihood p(y|v,η), where η contains nuisance parameters such as contrast, offset, decoherence or readout confusion. The posterior is</w:t>
      </w:r>
    </w:p>
    <w:p>
      <w:pPr>
        <w:pStyle w:val="Equation"/>
      </w:pPr>
      <w:r>
        <w:t>p(v, η | y) ∝ p(y | v, η) p(v, η).    (1)</w:t>
      </w:r>
    </w:p>
    <w:p>
      <w:r>
        <w:rPr>
          <w:i w:val="0"/>
        </w:rPr>
        <w:t>A least-squares fit may be adequate for an initial simulator, but the production implementation should preserve uncertainty and multimodality. Resonance searches are particularly vulnerable to selecting the wrong peak. The node should therefore compare several candidate models, retain alternate peaks until validation resolves them, and use sequential design to choose the next frequency or amplitude point where the expected information gain is largest.</w:t>
      </w:r>
    </w:p>
    <w:p>
      <w:r>
        <w:rPr>
          <w:i w:val="0"/>
        </w:rPr>
        <w:t>Acceptance should be based on an independent predictive test. If y_val denotes validation data not used to fit the calibration, the node passes only if the posterior predictive distribution assigns adequate probability to y_val and if the inferred improvement exceeds a practical threshold. A small numerical change with a confidence interval spanning degradation should not be committed.</w:t>
      </w:r>
    </w:p>
    <w:p>
      <w:pPr>
        <w:pStyle w:val="Equation"/>
      </w:pPr>
      <w:r>
        <w:t>ΔQ = Q(old policy) − Q(candidate policy),  accept only if P(ΔQ &gt; Δ_min | data) ≥ 1 − α.    (2)</w:t>
      </w:r>
    </w:p>
    <w:p>
      <w:pPr>
        <w:pStyle w:val="Heading1"/>
        <w:keepNext/>
      </w:pPr>
      <w:r>
        <w:t>6. Construction of the detector–control graph</w:t>
      </w:r>
    </w:p>
    <w:p>
      <w:r>
        <w:rPr>
          <w:i w:val="0"/>
        </w:rPr>
        <w:t>The target QEC circuit defines a set of detectors and a set of physical gates. For each detector, the compiler identifies its detecting region: the circuit operations whose faults can flip that detector. Every physical gate is then expanded into its registered control parameters. The result is a bipartite graph from detector nodes to parameter nodes. Known broad-impact parameters, such as a transfer function on a shared line, connect to every gate affected by that line. Uncertain dependencies are retained with confidence weights rather than deleted.</w:t>
      </w:r>
    </w:p>
    <w:p>
      <w:r>
        <w:rPr>
          <w:i w:val="0"/>
        </w:rPr>
        <w:t>The graph is first structural, derived from the circuit and control stack. Stage 0 then augments it empirically. A safe perturbation of parameter i is applied and the detector-rate contrast is estimated. An unexpected detector response creates a candidate edge; an expected edge with no measurable response is marked weak or unobservable in the current context. The graph therefore combines causal prior knowledge with measured sensitivity.</w:t>
      </w:r>
    </w:p>
    <w:p>
      <w:pPr>
        <w:pStyle w:val="Equation"/>
      </w:pPr>
      <w:r>
        <w:t>J_ji ≈ [q_j(u0 + ε e_i) − q_j(u0 − ε e_i)] / (2ε).    (3)</w:t>
      </w:r>
    </w:p>
    <w:p>
      <w:pPr>
        <w:pStyle w:val="Heading1"/>
        <w:keepNext/>
      </w:pPr>
      <w:r>
        <w:t>7. Detailed software implementation</w:t>
      </w:r>
    </w:p>
    <w:p>
      <w:pPr>
        <w:pStyle w:val="Heading2"/>
        <w:keepNext/>
      </w:pPr>
      <w:r>
        <w:t>7.1 Core data objects</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ParameterRecord:</w:t>
            </w:r>
          </w:p>
          <w:p>
            <w:pPr>
              <w:pStyle w:val="CodeBlock"/>
              <w:ind w:left="85" w:right="85"/>
            </w:pPr>
            <w:r>
              <w:t xml:space="preserve">    id, physical_name, channel, unit, current_value</w:t>
            </w:r>
          </w:p>
          <w:p>
            <w:pPr>
              <w:pStyle w:val="CodeBlock"/>
              <w:ind w:left="85" w:right="85"/>
            </w:pPr>
            <w:r>
              <w:t xml:space="preserve">    hard_min, hard_max, max_slew, trust_radius</w:t>
            </w:r>
          </w:p>
          <w:p>
            <w:pPr>
              <w:pStyle w:val="CodeBlock"/>
              <w:ind w:left="85" w:right="85"/>
            </w:pPr>
            <w:r>
              <w:t xml:space="preserve">    owning_node, affected_gates, affected_detectors</w:t>
            </w:r>
          </w:p>
          <w:p>
            <w:pPr>
              <w:pStyle w:val="CodeBlock"/>
              <w:ind w:left="85" w:right="85"/>
            </w:pPr>
            <w:r>
              <w:t xml:space="preserve">    sensitivity_scale, local_jacobian_column</w:t>
            </w:r>
          </w:p>
          <w:p>
            <w:pPr>
              <w:pStyle w:val="CodeBlock"/>
              <w:ind w:left="85" w:right="85"/>
            </w:pPr>
            <w:r>
              <w:t xml:space="preserve">    covariance, timestamp, model_version, validity</w:t>
            </w:r>
          </w:p>
          <w:p>
            <w:pPr>
              <w:pStyle w:val="CodeBlock"/>
              <w:ind w:left="85" w:right="85"/>
            </w:pPr>
            <w:r/>
          </w:p>
          <w:p>
            <w:pPr>
              <w:pStyle w:val="CodeBlock"/>
              <w:ind w:left="85" w:right="85"/>
            </w:pPr>
            <w:r>
              <w:t>CalibrationResult:</w:t>
            </w:r>
          </w:p>
          <w:p>
            <w:pPr>
              <w:pStyle w:val="CodeBlock"/>
              <w:ind w:left="85" w:right="85"/>
            </w:pPr>
            <w:r>
              <w:t xml:space="preserve">    node_id, candidate_policy_patch, posterior_summary</w:t>
            </w:r>
          </w:p>
          <w:p>
            <w:pPr>
              <w:pStyle w:val="CodeBlock"/>
              <w:ind w:left="85" w:right="85"/>
            </w:pPr>
            <w:r>
              <w:t xml:space="preserve">    raw_data_refs, fit_diagnostics, validation_metrics</w:t>
            </w:r>
          </w:p>
          <w:p>
            <w:pPr>
              <w:pStyle w:val="CodeBlock"/>
              <w:ind w:left="85" w:right="85"/>
            </w:pPr>
            <w:r>
              <w:t xml:space="preserve">    pass_fail, rollback_snapshot, invalidated_nodes</w:t>
            </w:r>
          </w:p>
          <w:p>
            <w:pPr>
              <w:pStyle w:val="CodeBlock"/>
              <w:ind w:left="85" w:right="85"/>
            </w:pPr>
            <w:r>
              <w:t xml:space="preserve">    runtime, shot_count, warnings</w:t>
            </w:r>
          </w:p>
        </w:tc>
      </w:tr>
    </w:tbl>
    <w:p>
      <w:pPr>
        <w:spacing w:after="0"/>
      </w:pPr>
    </w:p>
    <w:p>
      <w:pPr>
        <w:pStyle w:val="Heading2"/>
        <w:keepNext/>
      </w:pPr>
      <w:r>
        <w:t>7.2 Deterministic replay</w:t>
      </w:r>
    </w:p>
    <w:p>
      <w:r>
        <w:rPr>
          <w:i w:val="0"/>
        </w:rPr>
        <w:t>Every experiment request, hardware response, fitting seed, model version and decision must be serializable. A replay mode should reconstruct the exact scheduler decisions without accessing the live device. This is required both for scientific reproducibility and for debugging a later control failure whose origin lies in a stale bootstrap parameter.</w:t>
      </w:r>
    </w:p>
    <w:p>
      <w:pPr>
        <w:pStyle w:val="Heading2"/>
        <w:keepNext/>
      </w:pPr>
      <w:r>
        <w:t>7.3 Numerical and systems separation</w:t>
      </w:r>
    </w:p>
    <w:p>
      <w:r>
        <w:rPr>
          <w:i w:val="0"/>
        </w:rPr>
        <w:t>Hardware adapters should expose raw controls and measurements but contain no scientific fitting logic. Calibration models should be pure functions of recorded data and configuration. The scheduler should decide which node runs next but should not know how a spectroscopy likelihood is evaluated. This separation permits the same scientific tests to run against a synthetic simulator, archived hardware data and a live controller.</w:t>
      </w:r>
    </w:p>
    <w:p>
      <w:pPr>
        <w:pStyle w:val="Heading1"/>
        <w:keepNext/>
      </w:pPr>
      <w:r>
        <w:t>8. Minimum viable, ideal and speculative implementations</w:t>
      </w:r>
    </w:p>
    <w:tbl>
      <w:tblPr>
        <w:tblW w:type="auto" w:w="0"/>
        <w:jc w:val="center"/>
        <w:tblLayout w:type="fixed"/>
        <w:tblLook w:firstColumn="1" w:firstRow="1" w:lastColumn="0" w:lastRow="0" w:noHBand="0" w:noVBand="1" w:val="04A0"/>
      </w:tblPr>
      <w:tblGrid>
        <w:gridCol w:w="2381"/>
        <w:gridCol w:w="6917"/>
      </w:tblGrid>
      <w:tr>
        <w:trPr>
          <w:cantSplit/>
        </w:trPr>
        <w:tc>
          <w:tcPr>
            <w:tcW w:type="dxa" w:w="4819"/>
            <w:shd w:fill="E8F5EE"/>
            <w:tcBorders>
              <w:top w:sz="4" w:val="single" w:color="D0D5DD"/>
              <w:left w:sz="4" w:val="single" w:color="D0D5DD"/>
              <w:bottom w:sz="4" w:val="single" w:color="D0D5DD"/>
              <w:right w:sz="4" w:val="single" w:color="D0D5DD"/>
            </w:tcBorders>
            <w:vAlign w:val="top"/>
          </w:tcPr>
          <w:p>
            <w:r>
              <w:rPr>
                <w:rFonts w:ascii="Aptos" w:hAnsi="Aptos"/>
                <w:b/>
                <w:color w:val="027A48"/>
                <w:sz w:val="19"/>
              </w:rPr>
              <w:t>Minimum viable implementation</w:t>
            </w:r>
          </w:p>
        </w:tc>
        <w:tc>
          <w:tcPr>
            <w:tcW w:type="dxa" w:w="4819"/>
            <w:shd w:fill="E8F5EE"/>
            <w:tcBorders>
              <w:top w:sz="4" w:val="single" w:color="D0D5DD"/>
              <w:left w:sz="4" w:val="single" w:color="D0D5DD"/>
              <w:bottom w:sz="4" w:val="single" w:color="D0D5DD"/>
              <w:right w:sz="4" w:val="single" w:color="D0D5DD"/>
            </w:tcBorders>
            <w:vAlign w:val="top"/>
          </w:tcPr>
          <w:p>
            <w:r>
              <w:t>A fully automatic dependency graph calibrates readout, spectroscopy, one effective single-qubit amplitude and detuning per selected qubit, one effective two-qubit phase parameter per edge, and a simple readout-confusion model. It then runs a small surface-code or repetition-code memory circuit, constructs the detector–control graph from the compiler, measures antithetic sensitivity scales and validates the baseline. The MVP uses robust bounded sweeps and Bayesian or bootstrap uncertainty, not hand-selected peaks. It must reach a QEC-operable policy in less than one tenth of the detector-cycle equivalent required by RL recovery from a spoiled policy in matched simulation, while using dedicated experiments whose cost is reported separately.</w:t>
            </w:r>
          </w:p>
        </w:tc>
      </w:tr>
      <w:tr>
        <w:trPr>
          <w:cantSplit/>
        </w:trPr>
        <w:tc>
          <w:tcPr>
            <w:tcW w:type="dxa" w:w="4819"/>
            <w:shd w:fill="EAF2FF"/>
            <w:tcBorders>
              <w:top w:sz="4" w:val="single" w:color="D0D5DD"/>
              <w:left w:sz="4" w:val="single" w:color="D0D5DD"/>
              <w:bottom w:sz="4" w:val="single" w:color="D0D5DD"/>
              <w:right w:sz="4" w:val="single" w:color="D0D5DD"/>
            </w:tcBorders>
            <w:vAlign w:val="top"/>
          </w:tcPr>
          <w:p>
            <w:r>
              <w:rPr>
                <w:rFonts w:ascii="Aptos" w:hAnsi="Aptos"/>
                <w:b/>
                <w:color w:val="2F6FDB"/>
                <w:sz w:val="19"/>
              </w:rPr>
              <w:t>Ideal full implementation</w:t>
            </w:r>
          </w:p>
        </w:tc>
        <w:tc>
          <w:tcPr>
            <w:tcW w:type="dxa" w:w="4819"/>
            <w:shd w:fill="EAF2FF"/>
            <w:tcBorders>
              <w:top w:sz="4" w:val="single" w:color="D0D5DD"/>
              <w:left w:sz="4" w:val="single" w:color="D0D5DD"/>
              <w:bottom w:sz="4" w:val="single" w:color="D0D5DD"/>
              <w:right w:sz="4" w:val="single" w:color="D0D5DD"/>
            </w:tcBorders>
            <w:vAlign w:val="top"/>
          </w:tcPr>
          <w:p>
            <w:r>
              <w:t>The full implementation supports joint block calibration of strongly coupled parameters, adaptive Bayesian experiment design, pulse-level leakage and crosstalk models, automatic dependency invalidation, parallel conflict-aware scheduling, online maintenance of response maps and direct integration with controller hardware. It stores a calibrated digital representation of the control stack and uses held-out multi-context validation before any node is committed.</w:t>
            </w:r>
          </w:p>
        </w:tc>
      </w:tr>
      <w:tr>
        <w:trPr>
          <w:cantSplit/>
        </w:trPr>
        <w:tc>
          <w:tcPr>
            <w:tcW w:type="dxa" w:w="4819"/>
            <w:shd w:fill="F1ECFF"/>
            <w:tcBorders>
              <w:top w:sz="4" w:val="single" w:color="D0D5DD"/>
              <w:left w:sz="4" w:val="single" w:color="D0D5DD"/>
              <w:bottom w:sz="4" w:val="single" w:color="D0D5DD"/>
              <w:right w:sz="4" w:val="single" w:color="D0D5DD"/>
            </w:tcBorders>
            <w:vAlign w:val="top"/>
          </w:tcPr>
          <w:p>
            <w:r>
              <w:rPr>
                <w:rFonts w:ascii="Aptos" w:hAnsi="Aptos"/>
                <w:b/>
                <w:color w:val="6941C6"/>
                <w:sz w:val="19"/>
              </w:rPr>
              <w:t>Plausible extension — may fail</w:t>
            </w:r>
          </w:p>
        </w:tc>
        <w:tc>
          <w:tcPr>
            <w:tcW w:type="dxa" w:w="4819"/>
            <w:shd w:fill="F1ECFF"/>
            <w:tcBorders>
              <w:top w:sz="4" w:val="single" w:color="D0D5DD"/>
              <w:left w:sz="4" w:val="single" w:color="D0D5DD"/>
              <w:bottom w:sz="4" w:val="single" w:color="D0D5DD"/>
              <w:right w:sz="4" w:val="single" w:color="D0D5DD"/>
            </w:tcBorders>
            <w:vAlign w:val="top"/>
          </w:tcPr>
          <w:p>
            <w:r>
              <w:t>A differentiable pulse-level digital twin could synthesize the bootstrap sequence and initialize every calibration from device physics. It may fail because the model omits fabrication-specific defects, transfer-chain nonlinearities or context dependence. The extension is useful as a prior and proposal generator, but real measurements and independent validation remain authoritative.</w:t>
            </w:r>
          </w:p>
        </w:tc>
      </w:tr>
    </w:tbl>
    <w:p>
      <w:pPr>
        <w:spacing w:after="0"/>
      </w:pPr>
    </w:p>
    <w:p>
      <w:pPr>
        <w:pStyle w:val="Heading1"/>
        <w:keepNext/>
      </w:pPr>
      <w:r>
        <w:t>9. Failure mechanisms and required amendments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41"/>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Failure mechanism</w:t>
            </w:r>
          </w:p>
        </w:tc>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Mechanism</w:t>
            </w:r>
          </w:p>
        </w:tc>
        <w:tc>
          <w:tcPr>
            <w:tcW w:type="dxa" w:w="4479"/>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Non-compromising amendment</w:t>
            </w:r>
          </w:p>
        </w:tc>
      </w:tr>
      <w:tr>
        <w:trPr>
          <w:cantSplit/>
        </w:trPr>
        <w:tc>
          <w:tcPr>
            <w:tcW w:type="dxa" w:w="2041"/>
            <w:tcBorders>
              <w:top w:sz="2" w:val="single" w:color="D0D5DD"/>
              <w:left w:sz="2" w:val="single" w:color="D0D5DD"/>
              <w:bottom w:sz="2" w:val="single" w:color="D0D5DD"/>
              <w:right w:sz="2" w:val="single" w:color="D0D5DD"/>
            </w:tcBorders>
            <w:vAlign w:val="top"/>
          </w:tcPr>
          <w:p>
            <w:r>
              <w:rPr>
                <w:rFonts w:ascii="Cambria" w:hAnsi="Cambria"/>
                <w:sz w:val="15"/>
              </w:rPr>
              <w:t>Wrong spectral peak selected</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Several resonances or spurious modes lie in the prior band.</w:t>
            </w:r>
          </w:p>
        </w:tc>
        <w:tc>
          <w:tcPr>
            <w:tcW w:type="dxa" w:w="4479"/>
            <w:tcBorders>
              <w:top w:sz="2" w:val="single" w:color="D0D5DD"/>
              <w:left w:sz="2" w:val="single" w:color="D0D5DD"/>
              <w:bottom w:sz="2" w:val="single" w:color="D0D5DD"/>
              <w:right w:sz="2" w:val="single" w:color="D0D5DD"/>
            </w:tcBorders>
            <w:vAlign w:val="top"/>
          </w:tcPr>
          <w:p>
            <w:r>
              <w:rPr>
                <w:rFonts w:ascii="Cambria" w:hAnsi="Cambria"/>
                <w:sz w:val="15"/>
              </w:rPr>
              <w:t>Use multi-peak posterior models, bidirectional sweeps, transition-consistency checks and held-out Rabi/Ramsey validation. Never collapse to one peak before validation.</w:t>
            </w:r>
          </w:p>
        </w:tc>
      </w:tr>
      <w:tr>
        <w:trPr>
          <w:cantSplit/>
        </w:trPr>
        <w:tc>
          <w:tcPr>
            <w:tcW w:type="dxa" w:w="2041"/>
            <w:shd w:fill="F8FAFC"/>
            <w:tcBorders>
              <w:top w:sz="2" w:val="single" w:color="D0D5DD"/>
              <w:left w:sz="2" w:val="single" w:color="D0D5DD"/>
              <w:bottom w:sz="2" w:val="single" w:color="D0D5DD"/>
              <w:right w:sz="2" w:val="single" w:color="D0D5DD"/>
            </w:tcBorders>
            <w:vAlign w:val="top"/>
          </w:tcPr>
          <w:p>
            <w:r>
              <w:rPr>
                <w:rFonts w:ascii="Cambria" w:hAnsi="Cambria"/>
                <w:sz w:val="15"/>
              </w:rPr>
              <w:t>Device drifts during a node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The fitted curve combines different underlying parameters.</w:t>
            </w:r>
          </w:p>
        </w:tc>
        <w:tc>
          <w:tcPr>
            <w:tcW w:type="dxa" w:w="4479"/>
            <w:shd w:fill="F8FAFC"/>
            <w:tcBorders>
              <w:top w:sz="2" w:val="single" w:color="D0D5DD"/>
              <w:left w:sz="2" w:val="single" w:color="D0D5DD"/>
              <w:bottom w:sz="2" w:val="single" w:color="D0D5DD"/>
              <w:right w:sz="2" w:val="single" w:color="D0D5DD"/>
            </w:tcBorders>
            <w:vAlign w:val="top"/>
          </w:tcPr>
          <w:p>
            <w:r>
              <w:rPr>
                <w:rFonts w:ascii="Cambria" w:hAnsi="Cambria"/>
                <w:sz w:val="15"/>
              </w:rPr>
              <w:t>Interleave reference points, timestamp every shot, fit a drift term, shorten the node or run a joint temporal fit. If drift exceeds identifiability, mark the device unstable and do not pass the node.</w:t>
            </w:r>
          </w:p>
        </w:tc>
      </w:tr>
      <w:tr>
        <w:trPr>
          <w:cantSplit/>
        </w:trPr>
        <w:tc>
          <w:tcPr>
            <w:tcW w:type="dxa" w:w="2041"/>
            <w:tcBorders>
              <w:top w:sz="2" w:val="single" w:color="D0D5DD"/>
              <w:left w:sz="2" w:val="single" w:color="D0D5DD"/>
              <w:bottom w:sz="2" w:val="single" w:color="D0D5DD"/>
              <w:right w:sz="2" w:val="single" w:color="D0D5DD"/>
            </w:tcBorders>
            <w:vAlign w:val="top"/>
          </w:tcPr>
          <w:p>
            <w:r>
              <w:rPr>
                <w:rFonts w:ascii="Cambria" w:hAnsi="Cambria"/>
                <w:sz w:val="15"/>
              </w:rPr>
              <w:t>Calibration order is incomplete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 downstream parameter depends on an unrepresented upstream quantity.</w:t>
            </w:r>
          </w:p>
        </w:tc>
        <w:tc>
          <w:tcPr>
            <w:tcW w:type="dxa" w:w="4479"/>
            <w:tcBorders>
              <w:top w:sz="2" w:val="single" w:color="D0D5DD"/>
              <w:left w:sz="2" w:val="single" w:color="D0D5DD"/>
              <w:bottom w:sz="2" w:val="single" w:color="D0D5DD"/>
              <w:right w:sz="2" w:val="single" w:color="D0D5DD"/>
            </w:tcBorders>
            <w:vAlign w:val="top"/>
          </w:tcPr>
          <w:p>
            <w:r>
              <w:rPr>
                <w:rFonts w:ascii="Cambria" w:hAnsi="Cambria"/>
                <w:sz w:val="15"/>
              </w:rPr>
              <w:t>Detect structured residuals, add the missing dependency, invalidate all affected nodes and replay. A passing local fit is not sufficient when held-out contexts fail.</w:t>
            </w:r>
          </w:p>
        </w:tc>
      </w:tr>
      <w:tr>
        <w:trPr>
          <w:cantSplit/>
        </w:trPr>
        <w:tc>
          <w:tcPr>
            <w:tcW w:type="dxa" w:w="2041"/>
            <w:shd w:fill="F8FAFC"/>
            <w:tcBorders>
              <w:top w:sz="2" w:val="single" w:color="D0D5DD"/>
              <w:left w:sz="2" w:val="single" w:color="D0D5DD"/>
              <w:bottom w:sz="2" w:val="single" w:color="D0D5DD"/>
              <w:right w:sz="2" w:val="single" w:color="D0D5DD"/>
            </w:tcBorders>
            <w:vAlign w:val="top"/>
          </w:tcPr>
          <w:p>
            <w:r>
              <w:rPr>
                <w:rFonts w:ascii="Cambria" w:hAnsi="Cambria"/>
                <w:sz w:val="15"/>
              </w:rPr>
              <w:t>Local calibration damages neighbours</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Crosstalk or shared lines move other gates.</w:t>
            </w:r>
          </w:p>
        </w:tc>
        <w:tc>
          <w:tcPr>
            <w:tcW w:type="dxa" w:w="4479"/>
            <w:shd w:fill="F8FAFC"/>
            <w:tcBorders>
              <w:top w:sz="2" w:val="single" w:color="D0D5DD"/>
              <w:left w:sz="2" w:val="single" w:color="D0D5DD"/>
              <w:bottom w:sz="2" w:val="single" w:color="D0D5DD"/>
              <w:right w:sz="2" w:val="single" w:color="D0D5DD"/>
            </w:tcBorders>
            <w:vAlign w:val="top"/>
          </w:tcPr>
          <w:p>
            <w:r>
              <w:rPr>
                <w:rFonts w:ascii="Cambria" w:hAnsi="Cambria"/>
                <w:sz w:val="15"/>
              </w:rPr>
              <w:t>Run neighbour sentinels concurrently, treat coupled parameters as a joint block, add graph edges and require regional validation. The amendment increases measurement cost but avoids hidden performance loss.</w:t>
            </w:r>
          </w:p>
        </w:tc>
      </w:tr>
      <w:tr>
        <w:trPr>
          <w:cantSplit/>
        </w:trPr>
        <w:tc>
          <w:tcPr>
            <w:tcW w:type="dxa" w:w="2041"/>
            <w:tcBorders>
              <w:top w:sz="2" w:val="single" w:color="D0D5DD"/>
              <w:left w:sz="2" w:val="single" w:color="D0D5DD"/>
              <w:bottom w:sz="2" w:val="single" w:color="D0D5DD"/>
              <w:right w:sz="2" w:val="single" w:color="D0D5DD"/>
            </w:tcBorders>
            <w:vAlign w:val="top"/>
          </w:tcPr>
          <w:p>
            <w:r>
              <w:rPr>
                <w:rFonts w:ascii="Cambria" w:hAnsi="Cambria"/>
                <w:sz w:val="15"/>
              </w:rPr>
              <w:t>Symmetric response gives wrong sign</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An error-amplification curve is even in the miscalibration.</w:t>
            </w:r>
          </w:p>
        </w:tc>
        <w:tc>
          <w:tcPr>
            <w:tcW w:type="dxa" w:w="4479"/>
            <w:tcBorders>
              <w:top w:sz="2" w:val="single" w:color="D0D5DD"/>
              <w:left w:sz="2" w:val="single" w:color="D0D5DD"/>
              <w:bottom w:sz="2" w:val="single" w:color="D0D5DD"/>
              <w:right w:sz="2" w:val="single" w:color="D0D5DD"/>
            </w:tcBorders>
            <w:vAlign w:val="top"/>
          </w:tcPr>
          <w:p>
            <w:r>
              <w:rPr>
                <w:rFonts w:ascii="Cambria" w:hAnsi="Cambria"/>
                <w:sz w:val="15"/>
              </w:rPr>
              <w:t>Use phase-sensitive or antithetic experiments, alternate sequence orientations and continuity priors. Do not infer sign from an even objective.</w:t>
            </w:r>
          </w:p>
        </w:tc>
      </w:tr>
      <w:tr>
        <w:trPr>
          <w:cantSplit/>
        </w:trPr>
        <w:tc>
          <w:tcPr>
            <w:tcW w:type="dxa" w:w="2041"/>
            <w:shd w:fill="F8FAFC"/>
            <w:tcBorders>
              <w:top w:sz="2" w:val="single" w:color="D0D5DD"/>
              <w:left w:sz="2" w:val="single" w:color="D0D5DD"/>
              <w:bottom w:sz="2" w:val="single" w:color="D0D5DD"/>
              <w:right w:sz="2" w:val="single" w:color="D0D5DD"/>
            </w:tcBorders>
            <w:vAlign w:val="top"/>
          </w:tcPr>
          <w:p>
            <w:r>
              <w:rPr>
                <w:rFonts w:ascii="Cambria" w:hAnsi="Cambria"/>
                <w:sz w:val="15"/>
              </w:rPr>
              <w:t>Optimizer converges to a local optimum</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Nonlinear pulse landscape contains multiple basins.</w:t>
            </w:r>
          </w:p>
        </w:tc>
        <w:tc>
          <w:tcPr>
            <w:tcW w:type="dxa" w:w="4479"/>
            <w:shd w:fill="F8FAFC"/>
            <w:tcBorders>
              <w:top w:sz="2" w:val="single" w:color="D0D5DD"/>
              <w:left w:sz="2" w:val="single" w:color="D0D5DD"/>
              <w:bottom w:sz="2" w:val="single" w:color="D0D5DD"/>
              <w:right w:sz="2" w:val="single" w:color="D0D5DD"/>
            </w:tcBorders>
            <w:vAlign w:val="top"/>
          </w:tcPr>
          <w:p>
            <w:r>
              <w:rPr>
                <w:rFonts w:ascii="Cambria" w:hAnsi="Cambria"/>
                <w:sz w:val="15"/>
              </w:rPr>
              <w:t>Use physically bounded multi-start proposals, coarse-to-fine sweeps, Bayesian optimization within the block and independent sequence validation.</w:t>
            </w:r>
          </w:p>
        </w:tc>
      </w:tr>
      <w:tr>
        <w:trPr>
          <w:cantSplit/>
        </w:trPr>
        <w:tc>
          <w:tcPr>
            <w:tcW w:type="dxa" w:w="2041"/>
            <w:tcBorders>
              <w:top w:sz="2" w:val="single" w:color="D0D5DD"/>
              <w:left w:sz="2" w:val="single" w:color="D0D5DD"/>
              <w:bottom w:sz="2" w:val="single" w:color="D0D5DD"/>
              <w:right w:sz="2" w:val="single" w:color="D0D5DD"/>
            </w:tcBorders>
            <w:vAlign w:val="top"/>
          </w:tcPr>
          <w:p>
            <w:r>
              <w:rPr>
                <w:rFonts w:ascii="Cambria" w:hAnsi="Cambria"/>
                <w:sz w:val="15"/>
              </w:rPr>
              <w:t>Readout labels are unreliable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Ground/excited training data are contaminated by preparation error.</w:t>
            </w:r>
          </w:p>
        </w:tc>
        <w:tc>
          <w:tcPr>
            <w:tcW w:type="dxa" w:w="4479"/>
            <w:tcBorders>
              <w:top w:sz="2" w:val="single" w:color="D0D5DD"/>
              <w:left w:sz="2" w:val="single" w:color="D0D5DD"/>
              <w:bottom w:sz="2" w:val="single" w:color="D0D5DD"/>
              <w:right w:sz="2" w:val="single" w:color="D0D5DD"/>
            </w:tcBorders>
            <w:vAlign w:val="top"/>
          </w:tcPr>
          <w:p>
            <w:r>
              <w:rPr>
                <w:rFonts w:ascii="Cambria" w:hAnsi="Cambria"/>
                <w:sz w:val="15"/>
              </w:rPr>
              <w:t>Fit a joint preparation-and-measurement model, use repeated reset checks and report label uncertainty. Avoid treating classifier accuracy as gate fidelity.</w:t>
            </w:r>
          </w:p>
        </w:tc>
      </w:tr>
      <w:tr>
        <w:trPr>
          <w:cantSplit/>
        </w:trPr>
        <w:tc>
          <w:tcPr>
            <w:tcW w:type="dxa" w:w="2041"/>
            <w:shd w:fill="F8FAFC"/>
            <w:tcBorders>
              <w:top w:sz="2" w:val="single" w:color="D0D5DD"/>
              <w:left w:sz="2" w:val="single" w:color="D0D5DD"/>
              <w:bottom w:sz="2" w:val="single" w:color="D0D5DD"/>
              <w:right w:sz="2" w:val="single" w:color="D0D5DD"/>
            </w:tcBorders>
            <w:vAlign w:val="top"/>
          </w:tcPr>
          <w:p>
            <w:r>
              <w:rPr>
                <w:rFonts w:ascii="Cambria" w:hAnsi="Cambria"/>
                <w:sz w:val="15"/>
              </w:rPr>
              <w:t>Safety envelope is incomplete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A candidate is individually in range but unsafe in combination.</w:t>
            </w:r>
          </w:p>
        </w:tc>
        <w:tc>
          <w:tcPr>
            <w:tcW w:type="dxa" w:w="4479"/>
            <w:shd w:fill="F8FAFC"/>
            <w:tcBorders>
              <w:top w:sz="2" w:val="single" w:color="D0D5DD"/>
              <w:left w:sz="2" w:val="single" w:color="D0D5DD"/>
              <w:bottom w:sz="2" w:val="single" w:color="D0D5DD"/>
              <w:right w:sz="2" w:val="single" w:color="D0D5DD"/>
            </w:tcBorders>
            <w:vAlign w:val="top"/>
          </w:tcPr>
          <w:p>
            <w:r>
              <w:rPr>
                <w:rFonts w:ascii="Cambria" w:hAnsi="Cambria"/>
                <w:sz w:val="15"/>
              </w:rPr>
              <w:t>Represent joint constraints, thermal duty and slew limits explicitly; perform static validation before upload; use hardware interlocks. Any unknown constraint defaults to no execution.</w:t>
            </w:r>
          </w:p>
        </w:tc>
      </w:tr>
      <w:tr>
        <w:trPr>
          <w:cantSplit/>
        </w:trPr>
        <w:tc>
          <w:tcPr>
            <w:tcW w:type="dxa" w:w="2041"/>
            <w:tcBorders>
              <w:top w:sz="2" w:val="single" w:color="D0D5DD"/>
              <w:left w:sz="2" w:val="single" w:color="D0D5DD"/>
              <w:bottom w:sz="2" w:val="single" w:color="D0D5DD"/>
              <w:right w:sz="2" w:val="single" w:color="D0D5DD"/>
            </w:tcBorders>
            <w:vAlign w:val="top"/>
          </w:tcPr>
          <w:p>
            <w:r>
              <w:rPr>
                <w:rFonts w:ascii="Cambria" w:hAnsi="Cambria"/>
                <w:sz w:val="15"/>
              </w:rPr>
              <w:t>Sensitivity map is stale or nonlinear</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The response measured at u0 does not apply after later changes.</w:t>
            </w:r>
          </w:p>
        </w:tc>
        <w:tc>
          <w:tcPr>
            <w:tcW w:type="dxa" w:w="4479"/>
            <w:tcBorders>
              <w:top w:sz="2" w:val="single" w:color="D0D5DD"/>
              <w:left w:sz="2" w:val="single" w:color="D0D5DD"/>
              <w:bottom w:sz="2" w:val="single" w:color="D0D5DD"/>
              <w:right w:sz="2" w:val="single" w:color="D0D5DD"/>
            </w:tcBorders>
            <w:vAlign w:val="top"/>
          </w:tcPr>
          <w:p>
            <w:r>
              <w:rPr>
                <w:rFonts w:ascii="Cambria" w:hAnsi="Cambria"/>
                <w:sz w:val="15"/>
              </w:rPr>
              <w:t>Store validity radius, measure curvature, re-estimate after substantial updates and let Stage 7 invalidate the map. Preserve full local response data, not only a scalar scale.</w:t>
            </w:r>
          </w:p>
        </w:tc>
      </w:tr>
      <w:tr>
        <w:trPr>
          <w:cantSplit/>
        </w:trPr>
        <w:tc>
          <w:tcPr>
            <w:tcW w:type="dxa" w:w="2041"/>
            <w:shd w:fill="F8FAFC"/>
            <w:tcBorders>
              <w:top w:sz="2" w:val="single" w:color="D0D5DD"/>
              <w:left w:sz="2" w:val="single" w:color="D0D5DD"/>
              <w:bottom w:sz="2" w:val="single" w:color="D0D5DD"/>
              <w:right w:sz="2" w:val="single" w:color="D0D5DD"/>
            </w:tcBorders>
            <w:vAlign w:val="top"/>
          </w:tcPr>
          <w:p>
            <w:r>
              <w:rPr>
                <w:rFonts w:ascii="Cambria" w:hAnsi="Cambria"/>
                <w:sz w:val="15"/>
              </w:rPr>
              <w:t>Dedicated calibration overhead is too large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Bootstrap delays access to QEC.</w:t>
            </w:r>
          </w:p>
        </w:tc>
        <w:tc>
          <w:tcPr>
            <w:tcW w:type="dxa" w:w="4479"/>
            <w:shd w:fill="F8FAFC"/>
            <w:tcBorders>
              <w:top w:sz="2" w:val="single" w:color="D0D5DD"/>
              <w:left w:sz="2" w:val="single" w:color="D0D5DD"/>
              <w:bottom w:sz="2" w:val="single" w:color="D0D5DD"/>
              <w:right w:sz="2" w:val="single" w:color="D0D5DD"/>
            </w:tcBorders>
            <w:vAlign w:val="top"/>
          </w:tcPr>
          <w:p>
            <w:r>
              <w:rPr>
                <w:rFonts w:ascii="Cambria" w:hAnsi="Cambria"/>
                <w:sz w:val="15"/>
              </w:rPr>
              <w:t>Parallelize nonconflicting nodes and use active design, but do not omit required observability experiments. This is an explicit time-cost compromise: a shorter unsafe bootstrap is not acceptable.</w:t>
            </w:r>
          </w:p>
        </w:tc>
      </w:tr>
    </w:tbl>
    <w:p>
      <w:pPr>
        <w:spacing w:after="0"/>
      </w:pPr>
    </w:p>
    <w:p>
      <w:pPr>
        <w:pStyle w:val="Heading1"/>
        <w:keepNext/>
      </w:pPr>
      <w:r>
        <w:t>10. Validation programme and acceptance gates</w:t>
      </w:r>
    </w:p>
    <w:p>
      <w:r>
        <w:rPr>
          <w:i w:val="0"/>
        </w:rPr>
        <w:t>Validation must separate three questions: whether each node estimates its parameter, whether the complete baseline supports informative detectors, and whether the automated sequence is more efficient than a model-free warm start. Synthetic tests should include known resonances, readout confusion, drift during sweeps, coupled parameters, hidden crosstalk and deliberately wrong priors. Hardware tests should repeat the complete bootstrap from several degraded but safe initial policies.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1"/>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Metric</w:t>
            </w:r>
          </w:p>
        </w:tc>
        <w:tc>
          <w:tcPr>
            <w:tcW w:type="dxa" w:w="3402"/>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MVP acceptance target</w:t>
            </w:r>
          </w:p>
        </w:tc>
        <w:tc>
          <w:tcPr>
            <w:tcW w:type="dxa" w:w="3572"/>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Ideal target</w:t>
            </w:r>
          </w:p>
        </w:tc>
      </w:tr>
      <w:tr>
        <w:trPr>
          <w:cantSplit/>
        </w:trPr>
        <w:tc>
          <w:tcPr>
            <w:tcW w:type="dxa" w:w="2381"/>
            <w:tcBorders>
              <w:top w:sz="2" w:val="single" w:color="D0D5DD"/>
              <w:left w:sz="2" w:val="single" w:color="D0D5DD"/>
              <w:bottom w:sz="2" w:val="single" w:color="D0D5DD"/>
              <w:right w:sz="2" w:val="single" w:color="D0D5DD"/>
            </w:tcBorders>
            <w:vAlign w:val="top"/>
          </w:tcPr>
          <w:p>
            <w:r>
              <w:rPr>
                <w:rFonts w:ascii="Cambria" w:hAnsi="Cambria"/>
                <w:sz w:val="16"/>
              </w:rPr>
              <w:t>Node posterior coverage</w:t>
            </w:r>
          </w:p>
        </w:tc>
        <w:tc>
          <w:tcPr>
            <w:tcW w:type="dxa" w:w="3402"/>
            <w:tcBorders>
              <w:top w:sz="2" w:val="single" w:color="D0D5DD"/>
              <w:left w:sz="2" w:val="single" w:color="D0D5DD"/>
              <w:bottom w:sz="2" w:val="single" w:color="D0D5DD"/>
              <w:right w:sz="2" w:val="single" w:color="D0D5DD"/>
            </w:tcBorders>
            <w:vAlign w:val="top"/>
          </w:tcPr>
          <w:p>
            <w:r>
              <w:rPr>
                <w:rFonts w:ascii="Cambria" w:hAnsi="Cambria"/>
                <w:sz w:val="16"/>
              </w:rPr>
              <w:t>Nominal 90% intervals contain truth in 85–95% of synthetic trials.</w:t>
            </w:r>
          </w:p>
        </w:tc>
        <w:tc>
          <w:tcPr>
            <w:tcW w:type="dxa" w:w="3572"/>
            <w:tcBorders>
              <w:top w:sz="2" w:val="single" w:color="D0D5DD"/>
              <w:left w:sz="2" w:val="single" w:color="D0D5DD"/>
              <w:bottom w:sz="2" w:val="single" w:color="D0D5DD"/>
              <w:right w:sz="2" w:val="single" w:color="D0D5DD"/>
            </w:tcBorders>
            <w:vAlign w:val="top"/>
          </w:tcPr>
          <w:p>
            <w:r>
              <w:rPr>
                <w:rFonts w:ascii="Cambria" w:hAnsi="Cambria"/>
                <w:sz w:val="16"/>
              </w:rPr>
              <w:t>Coverage calibrated across device regimes and model mixtures.</w:t>
            </w:r>
          </w:p>
        </w:tc>
      </w:tr>
      <w:tr>
        <w:trPr>
          <w:cantSplit/>
        </w:trPr>
        <w:tc>
          <w:tcPr>
            <w:tcW w:type="dxa" w:w="2381"/>
            <w:shd w:fill="F8FAFC"/>
            <w:tcBorders>
              <w:top w:sz="2" w:val="single" w:color="D0D5DD"/>
              <w:left w:sz="2" w:val="single" w:color="D0D5DD"/>
              <w:bottom w:sz="2" w:val="single" w:color="D0D5DD"/>
              <w:right w:sz="2" w:val="single" w:color="D0D5DD"/>
            </w:tcBorders>
            <w:vAlign w:val="top"/>
          </w:tcPr>
          <w:p>
            <w:r>
              <w:rPr>
                <w:rFonts w:ascii="Cambria" w:hAnsi="Cambria"/>
                <w:sz w:val="16"/>
              </w:rPr>
              <w:t>Wrong-peak rate</w:t>
            </w:r>
          </w:p>
        </w:tc>
        <w:tc>
          <w:tcPr>
            <w:tcW w:type="dxa" w:w="3402"/>
            <w:shd w:fill="F8FAFC"/>
            <w:tcBorders>
              <w:top w:sz="2" w:val="single" w:color="D0D5DD"/>
              <w:left w:sz="2" w:val="single" w:color="D0D5DD"/>
              <w:bottom w:sz="2" w:val="single" w:color="D0D5DD"/>
              <w:right w:sz="2" w:val="single" w:color="D0D5DD"/>
            </w:tcBorders>
            <w:vAlign w:val="top"/>
          </w:tcPr>
          <w:p>
            <w:r>
              <w:rPr>
                <w:rFonts w:ascii="Cambria" w:hAnsi="Cambria"/>
                <w:sz w:val="16"/>
              </w:rPr>
              <w:t>&lt;1% after held-out validation in benchmark spectra.</w:t>
            </w:r>
          </w:p>
        </w:tc>
        <w:tc>
          <w:tcPr>
            <w:tcW w:type="dxa" w:w="3572"/>
            <w:shd w:fill="F8FAFC"/>
            <w:tcBorders>
              <w:top w:sz="2" w:val="single" w:color="D0D5DD"/>
              <w:left w:sz="2" w:val="single" w:color="D0D5DD"/>
              <w:bottom w:sz="2" w:val="single" w:color="D0D5DD"/>
              <w:right w:sz="2" w:val="single" w:color="D0D5DD"/>
            </w:tcBorders>
            <w:vAlign w:val="top"/>
          </w:tcPr>
          <w:p>
            <w:r>
              <w:rPr>
                <w:rFonts w:ascii="Cambria" w:hAnsi="Cambria"/>
                <w:sz w:val="16"/>
              </w:rPr>
              <w:t>No undetected wrong peak; ambiguous cases escalate.</w:t>
            </w:r>
          </w:p>
        </w:tc>
      </w:tr>
      <w:tr>
        <w:trPr>
          <w:cantSplit/>
        </w:trPr>
        <w:tc>
          <w:tcPr>
            <w:tcW w:type="dxa" w:w="2381"/>
            <w:tcBorders>
              <w:top w:sz="2" w:val="single" w:color="D0D5DD"/>
              <w:left w:sz="2" w:val="single" w:color="D0D5DD"/>
              <w:bottom w:sz="2" w:val="single" w:color="D0D5DD"/>
              <w:right w:sz="2" w:val="single" w:color="D0D5DD"/>
            </w:tcBorders>
            <w:vAlign w:val="top"/>
          </w:tcPr>
          <w:p>
            <w:r>
              <w:rPr>
                <w:rFonts w:ascii="Cambria" w:hAnsi="Cambria"/>
                <w:sz w:val="16"/>
              </w:rPr>
              <w:t>Time to QEC viability</w:t>
            </w:r>
          </w:p>
        </w:tc>
        <w:tc>
          <w:tcPr>
            <w:tcW w:type="dxa" w:w="3402"/>
            <w:tcBorders>
              <w:top w:sz="2" w:val="single" w:color="D0D5DD"/>
              <w:left w:sz="2" w:val="single" w:color="D0D5DD"/>
              <w:bottom w:sz="2" w:val="single" w:color="D0D5DD"/>
              <w:right w:sz="2" w:val="single" w:color="D0D5DD"/>
            </w:tcBorders>
            <w:vAlign w:val="top"/>
          </w:tcPr>
          <w:p>
            <w:r>
              <w:rPr>
                <w:rFonts w:ascii="Cambria" w:hAnsi="Cambria"/>
                <w:sz w:val="16"/>
              </w:rPr>
              <w:t>&lt;0.1× RL-only equivalent detector-cycle budget on matched coarse-start benchmarks.</w:t>
            </w:r>
          </w:p>
        </w:tc>
        <w:tc>
          <w:tcPr>
            <w:tcW w:type="dxa" w:w="3572"/>
            <w:tcBorders>
              <w:top w:sz="2" w:val="single" w:color="D0D5DD"/>
              <w:left w:sz="2" w:val="single" w:color="D0D5DD"/>
              <w:bottom w:sz="2" w:val="single" w:color="D0D5DD"/>
              <w:right w:sz="2" w:val="single" w:color="D0D5DD"/>
            </w:tcBorders>
            <w:vAlign w:val="top"/>
          </w:tcPr>
          <w:p>
            <w:r>
              <w:rPr>
                <w:rFonts w:ascii="Cambria" w:hAnsi="Cambria"/>
                <w:sz w:val="16"/>
              </w:rPr>
              <w:t>Near-minimal active-design cost subject to safety.</w:t>
            </w:r>
          </w:p>
        </w:tc>
      </w:tr>
      <w:tr>
        <w:trPr>
          <w:cantSplit/>
        </w:trPr>
        <w:tc>
          <w:tcPr>
            <w:tcW w:type="dxa" w:w="2381"/>
            <w:shd w:fill="F8FAFC"/>
            <w:tcBorders>
              <w:top w:sz="2" w:val="single" w:color="D0D5DD"/>
              <w:left w:sz="2" w:val="single" w:color="D0D5DD"/>
              <w:bottom w:sz="2" w:val="single" w:color="D0D5DD"/>
              <w:right w:sz="2" w:val="single" w:color="D0D5DD"/>
            </w:tcBorders>
            <w:vAlign w:val="top"/>
          </w:tcPr>
          <w:p>
            <w:r>
              <w:rPr>
                <w:rFonts w:ascii="Cambria" w:hAnsi="Cambria"/>
                <w:sz w:val="16"/>
              </w:rPr>
              <w:t>Detector saturation</w:t>
            </w:r>
          </w:p>
        </w:tc>
        <w:tc>
          <w:tcPr>
            <w:tcW w:type="dxa" w:w="3402"/>
            <w:shd w:fill="F8FAFC"/>
            <w:tcBorders>
              <w:top w:sz="2" w:val="single" w:color="D0D5DD"/>
              <w:left w:sz="2" w:val="single" w:color="D0D5DD"/>
              <w:bottom w:sz="2" w:val="single" w:color="D0D5DD"/>
              <w:right w:sz="2" w:val="single" w:color="D0D5DD"/>
            </w:tcBorders>
            <w:vAlign w:val="top"/>
          </w:tcPr>
          <w:p>
            <w:r>
              <w:rPr>
                <w:rFonts w:ascii="Cambria" w:hAnsi="Cambria"/>
                <w:sz w:val="16"/>
              </w:rPr>
              <w:t>No required detector persistently within a predeclared saturation band.</w:t>
            </w:r>
          </w:p>
        </w:tc>
        <w:tc>
          <w:tcPr>
            <w:tcW w:type="dxa" w:w="3572"/>
            <w:shd w:fill="F8FAFC"/>
            <w:tcBorders>
              <w:top w:sz="2" w:val="single" w:color="D0D5DD"/>
              <w:left w:sz="2" w:val="single" w:color="D0D5DD"/>
              <w:bottom w:sz="2" w:val="single" w:color="D0D5DD"/>
              <w:right w:sz="2" w:val="single" w:color="D0D5DD"/>
            </w:tcBorders>
            <w:vAlign w:val="top"/>
          </w:tcPr>
          <w:p>
            <w:r>
              <w:rPr>
                <w:rFonts w:ascii="Cambria" w:hAnsi="Cambria"/>
                <w:sz w:val="16"/>
              </w:rPr>
              <w:t>All local regions satisfy observability thresholds.</w:t>
            </w:r>
          </w:p>
        </w:tc>
      </w:tr>
      <w:tr>
        <w:trPr>
          <w:cantSplit/>
        </w:trPr>
        <w:tc>
          <w:tcPr>
            <w:tcW w:type="dxa" w:w="2381"/>
            <w:tcBorders>
              <w:top w:sz="2" w:val="single" w:color="D0D5DD"/>
              <w:left w:sz="2" w:val="single" w:color="D0D5DD"/>
              <w:bottom w:sz="2" w:val="single" w:color="D0D5DD"/>
              <w:right w:sz="2" w:val="single" w:color="D0D5DD"/>
            </w:tcBorders>
            <w:vAlign w:val="top"/>
          </w:tcPr>
          <w:p>
            <w:r>
              <w:rPr>
                <w:rFonts w:ascii="Cambria" w:hAnsi="Cambria"/>
                <w:sz w:val="16"/>
              </w:rPr>
              <w:t>Graph recall</w:t>
            </w:r>
          </w:p>
        </w:tc>
        <w:tc>
          <w:tcPr>
            <w:tcW w:type="dxa" w:w="3402"/>
            <w:tcBorders>
              <w:top w:sz="2" w:val="single" w:color="D0D5DD"/>
              <w:left w:sz="2" w:val="single" w:color="D0D5DD"/>
              <w:bottom w:sz="2" w:val="single" w:color="D0D5DD"/>
              <w:right w:sz="2" w:val="single" w:color="D0D5DD"/>
            </w:tcBorders>
            <w:vAlign w:val="top"/>
          </w:tcPr>
          <w:p>
            <w:r>
              <w:rPr>
                <w:rFonts w:ascii="Cambria" w:hAnsi="Cambria"/>
                <w:sz w:val="16"/>
              </w:rPr>
              <w:t>&gt;95% of causal local edges recovered in synthetic perturbation tests.</w:t>
            </w:r>
          </w:p>
        </w:tc>
        <w:tc>
          <w:tcPr>
            <w:tcW w:type="dxa" w:w="3572"/>
            <w:tcBorders>
              <w:top w:sz="2" w:val="single" w:color="D0D5DD"/>
              <w:left w:sz="2" w:val="single" w:color="D0D5DD"/>
              <w:bottom w:sz="2" w:val="single" w:color="D0D5DD"/>
              <w:right w:sz="2" w:val="single" w:color="D0D5DD"/>
            </w:tcBorders>
            <w:vAlign w:val="top"/>
          </w:tcPr>
          <w:p>
            <w:r>
              <w:rPr>
                <w:rFonts w:ascii="Cambria" w:hAnsi="Cambria"/>
                <w:sz w:val="16"/>
              </w:rPr>
              <w:t>Weighted graph calibrated, including shared and uncertain edges.</w:t>
            </w:r>
          </w:p>
        </w:tc>
      </w:tr>
      <w:tr>
        <w:trPr>
          <w:cantSplit/>
        </w:trPr>
        <w:tc>
          <w:tcPr>
            <w:tcW w:type="dxa" w:w="2381"/>
            <w:shd w:fill="F8FAFC"/>
            <w:tcBorders>
              <w:top w:sz="2" w:val="single" w:color="D0D5DD"/>
              <w:left w:sz="2" w:val="single" w:color="D0D5DD"/>
              <w:bottom w:sz="2" w:val="single" w:color="D0D5DD"/>
              <w:right w:sz="2" w:val="single" w:color="D0D5DD"/>
            </w:tcBorders>
            <w:vAlign w:val="top"/>
          </w:tcPr>
          <w:p>
            <w:r>
              <w:rPr>
                <w:rFonts w:ascii="Cambria" w:hAnsi="Cambria"/>
                <w:sz w:val="16"/>
              </w:rPr>
              <w:t>Rollback correctness</w:t>
            </w:r>
          </w:p>
        </w:tc>
        <w:tc>
          <w:tcPr>
            <w:tcW w:type="dxa" w:w="3402"/>
            <w:shd w:fill="F8FAFC"/>
            <w:tcBorders>
              <w:top w:sz="2" w:val="single" w:color="D0D5DD"/>
              <w:left w:sz="2" w:val="single" w:color="D0D5DD"/>
              <w:bottom w:sz="2" w:val="single" w:color="D0D5DD"/>
              <w:right w:sz="2" w:val="single" w:color="D0D5DD"/>
            </w:tcBorders>
            <w:vAlign w:val="top"/>
          </w:tcPr>
          <w:p>
            <w:r>
              <w:rPr>
                <w:rFonts w:ascii="Cambria" w:hAnsi="Cambria"/>
                <w:sz w:val="16"/>
              </w:rPr>
              <w:t>100% restoration in fault-injection tests.</w:t>
            </w:r>
          </w:p>
        </w:tc>
        <w:tc>
          <w:tcPr>
            <w:tcW w:type="dxa" w:w="3572"/>
            <w:shd w:fill="F8FAFC"/>
            <w:tcBorders>
              <w:top w:sz="2" w:val="single" w:color="D0D5DD"/>
              <w:left w:sz="2" w:val="single" w:color="D0D5DD"/>
              <w:bottom w:sz="2" w:val="single" w:color="D0D5DD"/>
              <w:right w:sz="2" w:val="single" w:color="D0D5DD"/>
            </w:tcBorders>
            <w:vAlign w:val="top"/>
          </w:tcPr>
          <w:p>
            <w:r>
              <w:rPr>
                <w:rFonts w:ascii="Cambria" w:hAnsi="Cambria"/>
                <w:sz w:val="16"/>
              </w:rPr>
              <w:t>Atomic hardware/controller rollback with formal audit.</w:t>
            </w:r>
          </w:p>
        </w:tc>
      </w:tr>
      <w:tr>
        <w:trPr>
          <w:cantSplit/>
        </w:trPr>
        <w:tc>
          <w:tcPr>
            <w:tcW w:type="dxa" w:w="2381"/>
            <w:tcBorders>
              <w:top w:sz="2" w:val="single" w:color="D0D5DD"/>
              <w:left w:sz="2" w:val="single" w:color="D0D5DD"/>
              <w:bottom w:sz="2" w:val="single" w:color="D0D5DD"/>
              <w:right w:sz="2" w:val="single" w:color="D0D5DD"/>
            </w:tcBorders>
            <w:vAlign w:val="top"/>
          </w:tcPr>
          <w:p>
            <w:r>
              <w:rPr>
                <w:rFonts w:ascii="Cambria" w:hAnsi="Cambria"/>
                <w:sz w:val="16"/>
              </w:rPr>
              <w:t>Hidden manual choices</w:t>
            </w:r>
          </w:p>
        </w:tc>
        <w:tc>
          <w:tcPr>
            <w:tcW w:type="dxa" w:w="3402"/>
            <w:tcBorders>
              <w:top w:sz="2" w:val="single" w:color="D0D5DD"/>
              <w:left w:sz="2" w:val="single" w:color="D0D5DD"/>
              <w:bottom w:sz="2" w:val="single" w:color="D0D5DD"/>
              <w:right w:sz="2" w:val="single" w:color="D0D5DD"/>
            </w:tcBorders>
            <w:vAlign w:val="top"/>
          </w:tcPr>
          <w:p>
            <w:r>
              <w:rPr>
                <w:rFonts w:ascii="Cambria" w:hAnsi="Cambria"/>
                <w:sz w:val="16"/>
              </w:rPr>
              <w:t>Zero. All interventions and priors machine recorded.</w:t>
            </w:r>
          </w:p>
        </w:tc>
        <w:tc>
          <w:tcPr>
            <w:tcW w:type="dxa" w:w="3572"/>
            <w:tcBorders>
              <w:top w:sz="2" w:val="single" w:color="D0D5DD"/>
              <w:left w:sz="2" w:val="single" w:color="D0D5DD"/>
              <w:bottom w:sz="2" w:val="single" w:color="D0D5DD"/>
              <w:right w:sz="2" w:val="single" w:color="D0D5DD"/>
            </w:tcBorders>
            <w:vAlign w:val="top"/>
          </w:tcPr>
          <w:p>
            <w:r>
              <w:rPr>
                <w:rFonts w:ascii="Cambria" w:hAnsi="Cambria"/>
                <w:sz w:val="16"/>
              </w:rPr>
              <w:t>Zero; operator can veto for safety but not silently tune.</w:t>
            </w:r>
          </w:p>
        </w:tc>
      </w:tr>
    </w:tbl>
    <w:p>
      <w:pPr>
        <w:spacing w:after="0"/>
      </w:pPr>
    </w:p>
    <w:p>
      <w:pPr>
        <w:pStyle w:val="Heading1"/>
        <w:keepNext/>
      </w:pPr>
      <w:r>
        <w:t>11. Handover to Stage 1</w:t>
      </w:r>
    </w:p>
    <w:p>
      <w:r>
        <w:rPr>
          <w:i w:val="0"/>
        </w:rPr>
        <w:t>Stage 1 may begin only when the baseline policy, QEC circuit, detector definitions and timestamping path are jointly validated. The handover bundle contains the exact compiled circuit hash, the detector map, the parameter registry, the factor graph, the safety envelope, the baseline detector statistics and the raw calibration provenance. Stage 1 must reject data whose policy or circuit hash does not match this bundle. A later parameter update that exceeds a validity radius automatically marks the affected Stage-0 products stale and requests revalidation through Stage 7.</w:t>
      </w:r>
    </w:p>
    <w:p>
      <w:pPr>
        <w:pStyle w:val="Heading1"/>
        <w:keepNext/>
      </w:pPr>
      <w:r>
        <w:t>References</w:t>
      </w:r>
    </w:p>
    <w:p>
      <w:pPr>
        <w:pStyle w:val="SmallNote"/>
      </w:pPr>
      <w:r>
        <w:t>[1] Google Quantum AI and Google DeepMind, “Reinforcement learning control of quantum error correction,” Nature 655, 879–885 (2026), doi:10.1038/s41586-026-10759-2.</w:t>
      </w:r>
    </w:p>
    <w:p>
      <w:pPr>
        <w:pStyle w:val="SmallNote"/>
      </w:pPr>
      <w:r>
        <w:t>[2] Google Quantum AI and Google DeepMind, Supplementary Information for “Reinforcement learning control of quantum error correction” (2026).</w:t>
      </w:r>
    </w:p>
    <w:p>
      <w:pPr>
        <w:pStyle w:val="SmallNote"/>
      </w:pPr>
      <w:r>
        <w:t>[3] A. Agarwal, L. P. Lindoy, D. Lall, S. E. de Graaf, T. Lindström and I. Rungger, “Fast-tracking and disentangling of qubit noise fluctuations using minimal-data averaging and hierarchical discrete fluctuation auto-segmentation,” arXiv:2505.23622 (2025).</w:t>
      </w:r>
    </w:p>
    <w:p>
      <w:pPr>
        <w:pStyle w:val="SmallNote"/>
      </w:pPr>
      <w:r>
        <w:t>[4] Y. Chengyu, R. Meister, C. Carty, S.-K. Lin and R. Bondesan, “Bayesian Optimization for Quantum Error-Correcting Code Discovery,” arXiv:2601.18562 (2026).</w:t>
      </w:r>
    </w:p>
    <w:p>
      <w:pPr>
        <w:pStyle w:val="SmallNote"/>
      </w:pPr>
      <w:r>
        <w:t>[5] V. Gebhart et al., “Learning quantum systems,” Nature Reviews Physics 5, 141–156 (2023), doi:10.1038/s42254-022-00552-1.</w:t>
      </w:r>
    </w:p>
    <w:p>
      <w:pPr>
        <w:pStyle w:val="SmallNote"/>
      </w:pPr>
      <w:r>
        <w:t>[6] C. Granade et al., “Practical Bayesian tomography,” New Journal of Physics 18, 033024 (2016).</w:t>
      </w:r>
    </w:p>
    <w:p>
      <w:pPr>
        <w:pStyle w:val="SmallNote"/>
      </w:pPr>
      <w:r>
        <w:t>[7] R. Blume-Kohout et al., “Using pyGSTi for quantum processor characterization and benchmarking,” Sandia National Laboratories report SAND2022-XXXX (2022).</w:t>
      </w:r>
    </w:p>
    <w:p>
      <w:pPr>
        <w:pStyle w:val="SmallNote"/>
      </w:pPr>
      <w:r>
        <w:t>[8] S. Särkkä and L. Svensson, Bayesian Filtering and Smoothing, 2nd ed. (Cambridge University Press, 2023).</w:t>
      </w:r>
    </w:p>
    <w:p>
      <w:pPr>
        <w:pStyle w:val="SmallNote"/>
      </w:pPr>
      <w:r>
        <w:t>[9] R. E. Kalman, “A new approach to linear filtering and prediction problems,” Journal of Basic Engineering 82, 35–45 (1960).</w:t>
      </w:r>
    </w:p>
    <w:p>
      <w:pPr>
        <w:pStyle w:val="SmallNote"/>
      </w:pPr>
      <w:r>
        <w:t>[10] R. E. Bellman, Dynamic Programming (Princeton University Press, 1957).</w:t>
      </w:r>
    </w:p>
    <w:p>
      <w:pPr>
        <w:pStyle w:val="SmallNote"/>
      </w:pPr>
      <w:r>
        <w:t>[11] J. B. Rawlings, D. Q. Mayne and M. Diehl, Model Predictive Control: Theory, Computation, and Design, 2nd ed. (Nob Hill, 2020).</w:t>
      </w:r>
    </w:p>
    <w:p>
      <w:pPr>
        <w:pStyle w:val="SmallNote"/>
      </w:pPr>
      <w:r>
        <w:t>[12] R. S. Sutton and A. G. Barto, Reinforcement Learning: An Introduction, 2nd ed. (MIT Press, 2018).</w:t>
      </w:r>
    </w:p>
    <w:p>
      <w:pPr>
        <w:pStyle w:val="SmallNote"/>
      </w:pPr>
      <w:r>
        <w:t>[13] R. B. Adams and D. J. C. MacKay, “Bayesian online changepoint detection,” arXiv:0710.3742 (2007).</w:t>
      </w:r>
    </w:p>
    <w:p>
      <w:pPr>
        <w:pStyle w:val="SmallNote"/>
      </w:pPr>
      <w:r>
        <w:t>[14] L. R. Rabiner, “A tutorial on hidden Markov models and selected applications in speech recognition,” Proceedings of the IEEE 77, 257–286 (1989).</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8"/>
        <w:sz w:val="17"/>
      </w:rPr>
      <w:t>Stage 0 — bootstrap calibration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A5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2D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i/>
      <w:iCs/>
      <w:color w:val="4A5568"/>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9" w:hanging="170"/>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1"/>
    </w:rPr>
  </w:style>
  <w:style w:type="paragraph" w:customStyle="1" w:styleId="CodeBlock">
    <w:name w:val="Code Block"/>
    <w:pPr>
      <w:spacing w:before="80" w:after="100" w:line="240" w:lineRule="auto"/>
      <w:ind w:left="283" w:right="283"/>
    </w:pPr>
    <w:rPr>
      <w:rFonts w:ascii="Consolas" w:hAnsi="Consolas"/>
      <w:sz w:val="17"/>
    </w:rPr>
  </w:style>
  <w:style w:type="paragraph" w:customStyle="1" w:styleId="CaptionCustom">
    <w:name w:val="Caption Custom"/>
    <w:pPr>
      <w:keepNext/>
      <w:spacing w:before="60" w:after="160"/>
    </w:pPr>
    <w:rPr>
      <w:rFonts w:ascii="Aptos" w:hAnsi="Aptos"/>
      <w:i/>
      <w:color w:val="4A5568"/>
      <w:sz w:val="17"/>
    </w:rPr>
  </w:style>
  <w:style w:type="paragraph" w:customStyle="1" w:styleId="SmallNote">
    <w:name w:val="Small Note"/>
    <w:pPr>
      <w:spacing w:after="60"/>
    </w:pPr>
    <w:rPr>
      <w:rFonts w:ascii="Aptos" w:hAnsi="Aptos"/>
      <w:color w:val="4A55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