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Stage 2 — Latent Physical-State Inference from Detectors and Known Controls</w:t>
      </w:r>
    </w:p>
    <w:p>
      <w:pPr>
        <w:spacing w:after="200"/>
        <w:jc w:val="center"/>
      </w:pPr>
      <w:r>
        <w:rPr>
          <w:color w:val="2F6FDB"/>
          <w:sz w:val="20"/>
        </w:rPr>
        <w:t>━━━━━━━━━━━━━━━━━━━━━━━━━━━━━━━━━━━━━━━━━━━━</w:t>
      </w:r>
    </w:p>
    <w:p>
      <w:pPr>
        <w:pStyle w:val="Subtitle"/>
        <w:jc w:val="center"/>
      </w:pPr>
      <w:r>
        <w:t>Construction of the detector likelihood, observability analysis and operational state posterior</w:t>
      </w:r>
    </w:p>
    <w:p>
      <w:pPr>
        <w:jc w:val="center"/>
      </w:pPr>
      <w:r>
        <w:rPr>
          <w:rFonts w:ascii="Aptos" w:hAnsi="Aptos"/>
          <w:i/>
          <w:color w:val="4A5568"/>
          <w:sz w:val="20"/>
        </w:rPr>
        <w:t>Stage 2 of the staged physics-informed calibration architecture</w:t>
      </w:r>
    </w:p>
    <w:p>
      <w:pPr>
        <w:jc w:val="center"/>
      </w:pPr>
      <w:r>
        <w:rPr>
          <w:rFonts w:ascii="Aptos" w:hAnsi="Aptos"/>
          <w:color w:val="4A5568"/>
          <w:sz w:val="18"/>
        </w:rPr>
        <w:t>Revision 2.0 — 31 July 2026</w:t>
      </w:r>
    </w:p>
    <w:tbl>
      <w:tblPr>
        <w:tblW w:type="auto" w:w="0"/>
        <w:jc w:val="center"/>
        <w:tblLayout w:type="autofit"/>
        <w:tblLook w:firstColumn="1" w:firstRow="1" w:lastColumn="0" w:lastRow="0" w:noHBand="0" w:noVBand="1" w:val="04A0"/>
      </w:tblPr>
      <w:tblGrid>
        <w:gridCol w:w="9638"/>
      </w:tblGrid>
      <w:tr>
        <w:tc>
          <w:tcPr>
            <w:tcW w:type="dxa" w:w="9638"/>
            <w:shd w:fill="F2F4F7"/>
            <w:tcBorders>
              <w:top w:sz="8" w:val="single" w:color="1F2D3D"/>
              <w:left w:sz="8" w:val="single" w:color="1F2D3D"/>
              <w:bottom w:sz="4" w:val="single" w:color="D0D5DD"/>
              <w:right w:sz="4" w:val="single" w:color="D0D5DD"/>
            </w:tcBorders>
          </w:tcPr>
          <w:p>
            <w:r>
              <w:rPr>
                <w:rFonts w:ascii="Aptos" w:hAnsi="Aptos"/>
                <w:b/>
                <w:color w:val="1F2D3D"/>
                <w:sz w:val="20"/>
              </w:rPr>
              <w:t>Design status</w:t>
            </w:r>
          </w:p>
          <w:p>
            <w:pPr>
              <w:spacing w:after="20"/>
            </w:pPr>
            <w:r>
              <w:t>This is a proposed theoretical and computational architecture. Demonstrated results from the cited literature are identified explicitly; all system-level performance targets are hypotheses and acceptance gates, not claims of completed experimental performance.</w:t>
            </w:r>
          </w:p>
        </w:tc>
      </w:tr>
    </w:tbl>
    <w:p>
      <w:pPr>
        <w:spacing w:after="0"/>
      </w:pPr>
    </w:p>
    <w:p>
      <w:pPr>
        <w:pStyle w:val="Heading1"/>
        <w:keepNext/>
      </w:pPr>
      <w:r>
        <w:t>Abstract</w:t>
      </w:r>
    </w:p>
    <w:p>
      <w:r>
        <w:rPr>
          <w:i w:val="0"/>
        </w:rPr>
        <w:t>Stage 2 is the physical inverse-problem layer. It converts intervention-aware detector telemetry into a probability distribution over a deliberately low-dimensional set of operational calibration errors, such as effective detuning, over-rotation, entangling-phase error, coupler offset, readout drift or leakage propensity. The stage does not assume that a detector pattern uniquely identifies a microscopic source. It constructs an explicit generative likelihood conditioned on the known QEC circuit and applied controls, quantifies which combinations of physical variables are observable, preserves multimodality and unresolved directions, and performs posterior predictive checks. Its most important output is not merely a filtered trajectory: it exposes the likelihood and response model required by Stage 3 to perform joint state, regime and segmentation inference. An instantaneous filter is retained for low-latency diagnostics, but the final architecture does not freeze these estimates before HDFA. This avoids sacrificing performance for the ease of a sequential infer-then-segment implementation.</w:t>
      </w:r>
    </w:p>
    <w:p>
      <w:pPr>
        <w:jc w:val="center"/>
      </w:pPr>
      <w:r>
        <w:drawing>
          <wp:inline xmlns:a="http://schemas.openxmlformats.org/drawingml/2006/main" xmlns:pic="http://schemas.openxmlformats.org/drawingml/2006/picture">
            <wp:extent cx="6120000" cy="1189941"/>
            <wp:docPr id="1" name="Picture 1"/>
            <wp:cNvGraphicFramePr>
              <a:graphicFrameLocks noChangeAspect="1"/>
            </wp:cNvGraphicFramePr>
            <a:graphic>
              <a:graphicData uri="http://schemas.openxmlformats.org/drawingml/2006/picture">
                <pic:pic>
                  <pic:nvPicPr>
                    <pic:cNvPr id="0" name="stage2_contract.png"/>
                    <pic:cNvPicPr/>
                  </pic:nvPicPr>
                  <pic:blipFill>
                    <a:blip r:embed="rId11"/>
                    <a:stretch>
                      <a:fillRect/>
                    </a:stretch>
                  </pic:blipFill>
                  <pic:spPr>
                    <a:xfrm>
                      <a:off x="0" y="0"/>
                      <a:ext cx="6120000" cy="1189941"/>
                    </a:xfrm>
                    <a:prstGeom prst="rect"/>
                  </pic:spPr>
                </pic:pic>
              </a:graphicData>
            </a:graphic>
          </wp:inline>
        </w:drawing>
      </w:r>
    </w:p>
    <w:p>
      <w:pPr>
        <w:pStyle w:val="CaptionCustom"/>
        <w:jc w:val="center"/>
      </w:pPr>
      <w:r>
        <w:t>Figure 1. Stage 2 defines how physical calibration variables generate detector statistics. Stage 3 is allowed to reuse this likelihood directly, rather than treating Stage-2 point estimates as error-free data.</w:t>
      </w:r>
    </w:p>
    <w:p>
      <w:pPr>
        <w:pStyle w:val="Heading1"/>
        <w:keepNext/>
      </w:pPr>
      <w:r>
        <w:t>Stage contract: exact inputs, exact outputs and validity conditions</w:t>
      </w:r>
    </w:p>
    <w:p>
      <w:r>
        <w:rPr>
          <w:i w:val="0"/>
        </w:rPr>
        <w:t>The stage answers the question “which operational physical states remain compatible with the observed detector pattern and the controls that generated it?” It must return ambiguity when the data do not support a unique answer.</w:t>
      </w:r>
    </w:p>
    <w:p>
      <w:pPr>
        <w:pStyle w:val="Heading2"/>
        <w:keepNext/>
      </w:pPr>
      <w:r>
        <w:t>Inputs</w:t>
      </w:r>
    </w:p>
    <w:tbl>
      <w:tblPr>
        <w:tblW w:type="auto" w:w="0"/>
        <w:jc w:val="center"/>
        <w:tblLayout w:type="fixed"/>
        <w:tblLook w:firstColumn="1" w:firstRow="1" w:lastColumn="0" w:lastRow="0" w:noHBand="0" w:noVBand="1" w:val="04A0"/>
      </w:tblPr>
      <w:tblGrid>
        <w:gridCol w:w="3213"/>
        <w:gridCol w:w="3213"/>
        <w:gridCol w:w="3213"/>
      </w:tblGrid>
      <w:tr>
        <w:trPr>
          <w:tblHeader w:val="true"/>
        </w:trPr>
        <w:tc>
          <w:tcPr>
            <w:tcW w:type="dxa" w:w="2154"/>
            <w:shd w:fill="1F2D3D"/>
            <w:tcBorders>
              <w:top w:sz="4" w:val="single" w:color="FFFFFF"/>
              <w:left w:sz="4" w:val="single" w:color="FFFFFF"/>
              <w:bottom w:sz="4" w:val="single" w:color="FFFFFF"/>
              <w:right w:sz="4" w:val="single" w:color="FFFFFF"/>
            </w:tcBorders>
            <w:vAlign w:val="center"/>
          </w:tcPr>
          <w:p>
            <w:r>
              <w:rPr>
                <w:rFonts w:ascii="Aptos" w:hAnsi="Aptos"/>
                <w:b/>
                <w:color w:val="FFFFFF"/>
                <w:sz w:val="16"/>
              </w:rPr>
              <w:t>Input field</w:t>
            </w:r>
          </w:p>
        </w:tc>
        <w:tc>
          <w:tcPr>
            <w:tcW w:type="dxa" w:w="5216"/>
            <w:shd w:fill="1F2D3D"/>
            <w:tcBorders>
              <w:top w:sz="4" w:val="single" w:color="FFFFFF"/>
              <w:left w:sz="4" w:val="single" w:color="FFFFFF"/>
              <w:bottom w:sz="4" w:val="single" w:color="FFFFFF"/>
              <w:right w:sz="4" w:val="single" w:color="FFFFFF"/>
            </w:tcBorders>
            <w:vAlign w:val="center"/>
          </w:tcPr>
          <w:p>
            <w:r>
              <w:rPr>
                <w:rFonts w:ascii="Aptos" w:hAnsi="Aptos"/>
                <w:b/>
                <w:color w:val="FFFFFF"/>
                <w:sz w:val="16"/>
              </w:rPr>
              <w:t>Meaning and required representation</w:t>
            </w:r>
          </w:p>
        </w:tc>
        <w:tc>
          <w:tcPr>
            <w:tcW w:type="dxa" w:w="1984"/>
            <w:shd w:fill="1F2D3D"/>
            <w:tcBorders>
              <w:top w:sz="4" w:val="single" w:color="FFFFFF"/>
              <w:left w:sz="4" w:val="single" w:color="FFFFFF"/>
              <w:bottom w:sz="4" w:val="single" w:color="FFFFFF"/>
              <w:right w:sz="4" w:val="single" w:color="FFFFFF"/>
            </w:tcBorders>
            <w:vAlign w:val="center"/>
          </w:tcPr>
          <w:p>
            <w:r>
              <w:rPr>
                <w:rFonts w:ascii="Aptos" w:hAnsi="Aptos"/>
                <w:b/>
                <w:color w:val="FFFFFF"/>
                <w:sz w:val="16"/>
              </w:rPr>
              <w:t>Source</w:t>
            </w:r>
          </w:p>
        </w:tc>
      </w:tr>
      <w:tr>
        <w:trPr>
          <w:cantSplit/>
        </w:trPr>
        <w:tc>
          <w:tcPr>
            <w:tcW w:type="dxa" w:w="2154"/>
            <w:tcBorders>
              <w:top w:sz="2" w:val="single" w:color="D0D5DD"/>
              <w:left w:sz="2" w:val="single" w:color="D0D5DD"/>
              <w:bottom w:sz="2" w:val="single" w:color="D0D5DD"/>
              <w:right w:sz="2" w:val="single" w:color="D0D5DD"/>
            </w:tcBorders>
            <w:vAlign w:val="top"/>
          </w:tcPr>
          <w:p>
            <w:r>
              <w:rPr>
                <w:rFonts w:ascii="Cambria" w:hAnsi="Cambria"/>
                <w:sz w:val="16"/>
              </w:rPr>
              <w:t>telemetry_region</w:t>
            </w:r>
          </w:p>
        </w:tc>
        <w:tc>
          <w:tcPr>
            <w:tcW w:type="dxa" w:w="5216"/>
            <w:tcBorders>
              <w:top w:sz="2" w:val="single" w:color="D0D5DD"/>
              <w:left w:sz="2" w:val="single" w:color="D0D5DD"/>
              <w:bottom w:sz="2" w:val="single" w:color="D0D5DD"/>
              <w:right w:sz="2" w:val="single" w:color="D0D5DD"/>
            </w:tcBorders>
            <w:vAlign w:val="top"/>
          </w:tcPr>
          <w:p>
            <w:r>
              <w:rPr>
                <w:rFonts w:ascii="Cambria" w:hAnsi="Cambria"/>
                <w:sz w:val="16"/>
              </w:rPr>
              <w:t>Event-level blocks or exact detector counts, exposures, local joint counts, timestamps, context and quality flags.</w:t>
            </w:r>
          </w:p>
        </w:tc>
        <w:tc>
          <w:tcPr>
            <w:tcW w:type="dxa" w:w="1984"/>
            <w:tcBorders>
              <w:top w:sz="2" w:val="single" w:color="D0D5DD"/>
              <w:left w:sz="2" w:val="single" w:color="D0D5DD"/>
              <w:bottom w:sz="2" w:val="single" w:color="D0D5DD"/>
              <w:right w:sz="2" w:val="single" w:color="D0D5DD"/>
            </w:tcBorders>
            <w:vAlign w:val="top"/>
          </w:tcPr>
          <w:p>
            <w:r>
              <w:rPr>
                <w:rFonts w:ascii="Cambria" w:hAnsi="Cambria"/>
                <w:sz w:val="16"/>
              </w:rPr>
              <w:t>Stage 1.</w:t>
            </w:r>
          </w:p>
        </w:tc>
      </w:tr>
      <w:tr>
        <w:trPr>
          <w:cantSplit/>
        </w:trPr>
        <w:tc>
          <w:tcPr>
            <w:tcW w:type="dxa" w:w="2154"/>
            <w:shd w:fill="F8FAFC"/>
            <w:tcBorders>
              <w:top w:sz="2" w:val="single" w:color="D0D5DD"/>
              <w:left w:sz="2" w:val="single" w:color="D0D5DD"/>
              <w:bottom w:sz="2" w:val="single" w:color="D0D5DD"/>
              <w:right w:sz="2" w:val="single" w:color="D0D5DD"/>
            </w:tcBorders>
            <w:vAlign w:val="top"/>
          </w:tcPr>
          <w:p>
            <w:r>
              <w:rPr>
                <w:rFonts w:ascii="Cambria" w:hAnsi="Cambria"/>
                <w:sz w:val="16"/>
              </w:rPr>
              <w:t>applied_control_history</w:t>
            </w:r>
          </w:p>
        </w:tc>
        <w:tc>
          <w:tcPr>
            <w:tcW w:type="dxa" w:w="5216"/>
            <w:shd w:fill="F8FAFC"/>
            <w:tcBorders>
              <w:top w:sz="2" w:val="single" w:color="D0D5DD"/>
              <w:left w:sz="2" w:val="single" w:color="D0D5DD"/>
              <w:bottom w:sz="2" w:val="single" w:color="D0D5DD"/>
              <w:right w:sz="2" w:val="single" w:color="D0D5DD"/>
            </w:tcBorders>
            <w:vAlign w:val="top"/>
          </w:tcPr>
          <w:p>
            <w:r>
              <w:rPr>
                <w:rFonts w:ascii="Cambria" w:hAnsi="Cambria"/>
                <w:sz w:val="16"/>
              </w:rPr>
              <w:t>Control values and perturbations resolved to the gates or acquisition intervals relevant to the detecting region.</w:t>
            </w:r>
          </w:p>
        </w:tc>
        <w:tc>
          <w:tcPr>
            <w:tcW w:type="dxa" w:w="1984"/>
            <w:shd w:fill="F8FAFC"/>
            <w:tcBorders>
              <w:top w:sz="2" w:val="single" w:color="D0D5DD"/>
              <w:left w:sz="2" w:val="single" w:color="D0D5DD"/>
              <w:bottom w:sz="2" w:val="single" w:color="D0D5DD"/>
              <w:right w:sz="2" w:val="single" w:color="D0D5DD"/>
            </w:tcBorders>
            <w:vAlign w:val="top"/>
          </w:tcPr>
          <w:p>
            <w:r>
              <w:rPr>
                <w:rFonts w:ascii="Cambria" w:hAnsi="Cambria"/>
                <w:sz w:val="16"/>
              </w:rPr>
              <w:t>Stage 1/controller.</w:t>
            </w:r>
          </w:p>
        </w:tc>
      </w:tr>
      <w:tr>
        <w:trPr>
          <w:cantSplit/>
        </w:trPr>
        <w:tc>
          <w:tcPr>
            <w:tcW w:type="dxa" w:w="2154"/>
            <w:tcBorders>
              <w:top w:sz="2" w:val="single" w:color="D0D5DD"/>
              <w:left w:sz="2" w:val="single" w:color="D0D5DD"/>
              <w:bottom w:sz="2" w:val="single" w:color="D0D5DD"/>
              <w:right w:sz="2" w:val="single" w:color="D0D5DD"/>
            </w:tcBorders>
            <w:vAlign w:val="top"/>
          </w:tcPr>
          <w:p>
            <w:r>
              <w:rPr>
                <w:rFonts w:ascii="Cambria" w:hAnsi="Cambria"/>
                <w:sz w:val="16"/>
              </w:rPr>
              <w:t>parameter_registry</w:t>
            </w:r>
          </w:p>
        </w:tc>
        <w:tc>
          <w:tcPr>
            <w:tcW w:type="dxa" w:w="5216"/>
            <w:tcBorders>
              <w:top w:sz="2" w:val="single" w:color="D0D5DD"/>
              <w:left w:sz="2" w:val="single" w:color="D0D5DD"/>
              <w:bottom w:sz="2" w:val="single" w:color="D0D5DD"/>
              <w:right w:sz="2" w:val="single" w:color="D0D5DD"/>
            </w:tcBorders>
            <w:vAlign w:val="top"/>
          </w:tcPr>
          <w:p>
            <w:r>
              <w:rPr>
                <w:rFonts w:ascii="Cambria" w:hAnsi="Cambria"/>
                <w:sz w:val="16"/>
              </w:rPr>
              <w:t>Units, safe scales, physical meaning and local control ownership.</w:t>
            </w:r>
          </w:p>
        </w:tc>
        <w:tc>
          <w:tcPr>
            <w:tcW w:type="dxa" w:w="1984"/>
            <w:tcBorders>
              <w:top w:sz="2" w:val="single" w:color="D0D5DD"/>
              <w:left w:sz="2" w:val="single" w:color="D0D5DD"/>
              <w:bottom w:sz="2" w:val="single" w:color="D0D5DD"/>
              <w:right w:sz="2" w:val="single" w:color="D0D5DD"/>
            </w:tcBorders>
            <w:vAlign w:val="top"/>
          </w:tcPr>
          <w:p>
            <w:r>
              <w:rPr>
                <w:rFonts w:ascii="Cambria" w:hAnsi="Cambria"/>
                <w:sz w:val="16"/>
              </w:rPr>
              <w:t>Stage 0.</w:t>
            </w:r>
          </w:p>
        </w:tc>
      </w:tr>
      <w:tr>
        <w:trPr>
          <w:cantSplit/>
        </w:trPr>
        <w:tc>
          <w:tcPr>
            <w:tcW w:type="dxa" w:w="2154"/>
            <w:shd w:fill="F8FAFC"/>
            <w:tcBorders>
              <w:top w:sz="2" w:val="single" w:color="D0D5DD"/>
              <w:left w:sz="2" w:val="single" w:color="D0D5DD"/>
              <w:bottom w:sz="2" w:val="single" w:color="D0D5DD"/>
              <w:right w:sz="2" w:val="single" w:color="D0D5DD"/>
            </w:tcBorders>
            <w:vAlign w:val="top"/>
          </w:tcPr>
          <w:p>
            <w:r>
              <w:rPr>
                <w:rFonts w:ascii="Cambria" w:hAnsi="Cambria"/>
                <w:sz w:val="16"/>
              </w:rPr>
              <w:t>detector_control_graph</w:t>
            </w:r>
          </w:p>
        </w:tc>
        <w:tc>
          <w:tcPr>
            <w:tcW w:type="dxa" w:w="5216"/>
            <w:shd w:fill="F8FAFC"/>
            <w:tcBorders>
              <w:top w:sz="2" w:val="single" w:color="D0D5DD"/>
              <w:left w:sz="2" w:val="single" w:color="D0D5DD"/>
              <w:bottom w:sz="2" w:val="single" w:color="D0D5DD"/>
              <w:right w:sz="2" w:val="single" w:color="D0D5DD"/>
            </w:tcBorders>
            <w:vAlign w:val="top"/>
          </w:tcPr>
          <w:p>
            <w:r>
              <w:rPr>
                <w:rFonts w:ascii="Cambria" w:hAnsi="Cambria"/>
                <w:sz w:val="16"/>
              </w:rPr>
              <w:t>Sparse structural mapping from latent variables and controls to affected detectors.</w:t>
            </w:r>
          </w:p>
        </w:tc>
        <w:tc>
          <w:tcPr>
            <w:tcW w:type="dxa" w:w="1984"/>
            <w:shd w:fill="F8FAFC"/>
            <w:tcBorders>
              <w:top w:sz="2" w:val="single" w:color="D0D5DD"/>
              <w:left w:sz="2" w:val="single" w:color="D0D5DD"/>
              <w:bottom w:sz="2" w:val="single" w:color="D0D5DD"/>
              <w:right w:sz="2" w:val="single" w:color="D0D5DD"/>
            </w:tcBorders>
            <w:vAlign w:val="top"/>
          </w:tcPr>
          <w:p>
            <w:r>
              <w:rPr>
                <w:rFonts w:ascii="Cambria" w:hAnsi="Cambria"/>
                <w:sz w:val="16"/>
              </w:rPr>
              <w:t>Stage 0, augmented online.</w:t>
            </w:r>
          </w:p>
        </w:tc>
      </w:tr>
      <w:tr>
        <w:trPr>
          <w:cantSplit/>
        </w:trPr>
        <w:tc>
          <w:tcPr>
            <w:tcW w:type="dxa" w:w="2154"/>
            <w:tcBorders>
              <w:top w:sz="2" w:val="single" w:color="D0D5DD"/>
              <w:left w:sz="2" w:val="single" w:color="D0D5DD"/>
              <w:bottom w:sz="2" w:val="single" w:color="D0D5DD"/>
              <w:right w:sz="2" w:val="single" w:color="D0D5DD"/>
            </w:tcBorders>
            <w:vAlign w:val="top"/>
          </w:tcPr>
          <w:p>
            <w:r>
              <w:rPr>
                <w:rFonts w:ascii="Cambria" w:hAnsi="Cambria"/>
                <w:sz w:val="16"/>
              </w:rPr>
              <w:t>response_priors</w:t>
            </w:r>
          </w:p>
        </w:tc>
        <w:tc>
          <w:tcPr>
            <w:tcW w:type="dxa" w:w="5216"/>
            <w:tcBorders>
              <w:top w:sz="2" w:val="single" w:color="D0D5DD"/>
              <w:left w:sz="2" w:val="single" w:color="D0D5DD"/>
              <w:bottom w:sz="2" w:val="single" w:color="D0D5DD"/>
              <w:right w:sz="2" w:val="single" w:color="D0D5DD"/>
            </w:tcBorders>
            <w:vAlign w:val="top"/>
          </w:tcPr>
          <w:p>
            <w:r>
              <w:rPr>
                <w:rFonts w:ascii="Cambria" w:hAnsi="Cambria"/>
                <w:sz w:val="16"/>
              </w:rPr>
              <w:t>Empirical sensitivity sweeps, simulator-derived detector error models, symmetry information and uncertainty.</w:t>
            </w:r>
          </w:p>
        </w:tc>
        <w:tc>
          <w:tcPr>
            <w:tcW w:type="dxa" w:w="1984"/>
            <w:tcBorders>
              <w:top w:sz="2" w:val="single" w:color="D0D5DD"/>
              <w:left w:sz="2" w:val="single" w:color="D0D5DD"/>
              <w:bottom w:sz="2" w:val="single" w:color="D0D5DD"/>
              <w:right w:sz="2" w:val="single" w:color="D0D5DD"/>
            </w:tcBorders>
            <w:vAlign w:val="top"/>
          </w:tcPr>
          <w:p>
            <w:r>
              <w:rPr>
                <w:rFonts w:ascii="Cambria" w:hAnsi="Cambria"/>
                <w:sz w:val="16"/>
              </w:rPr>
              <w:t>Stage 0 and offline modelling.</w:t>
            </w:r>
          </w:p>
        </w:tc>
      </w:tr>
      <w:tr>
        <w:trPr>
          <w:cantSplit/>
        </w:trPr>
        <w:tc>
          <w:tcPr>
            <w:tcW w:type="dxa" w:w="2154"/>
            <w:shd w:fill="F8FAFC"/>
            <w:tcBorders>
              <w:top w:sz="2" w:val="single" w:color="D0D5DD"/>
              <w:left w:sz="2" w:val="single" w:color="D0D5DD"/>
              <w:bottom w:sz="2" w:val="single" w:color="D0D5DD"/>
              <w:right w:sz="2" w:val="single" w:color="D0D5DD"/>
            </w:tcBorders>
            <w:vAlign w:val="top"/>
          </w:tcPr>
          <w:p>
            <w:r>
              <w:rPr>
                <w:rFonts w:ascii="Cambria" w:hAnsi="Cambria"/>
                <w:sz w:val="16"/>
              </w:rPr>
              <w:t>state_definition</w:t>
            </w:r>
          </w:p>
        </w:tc>
        <w:tc>
          <w:tcPr>
            <w:tcW w:type="dxa" w:w="5216"/>
            <w:shd w:fill="F8FAFC"/>
            <w:tcBorders>
              <w:top w:sz="2" w:val="single" w:color="D0D5DD"/>
              <w:left w:sz="2" w:val="single" w:color="D0D5DD"/>
              <w:bottom w:sz="2" w:val="single" w:color="D0D5DD"/>
              <w:right w:sz="2" w:val="single" w:color="D0D5DD"/>
            </w:tcBorders>
            <w:vAlign w:val="top"/>
          </w:tcPr>
          <w:p>
            <w:r>
              <w:rPr>
                <w:rFonts w:ascii="Cambria" w:hAnsi="Cambria"/>
                <w:sz w:val="16"/>
              </w:rPr>
              <w:t>Declared operational variables, transformations, common/local decomposition and nuisance parameters.</w:t>
            </w:r>
          </w:p>
        </w:tc>
        <w:tc>
          <w:tcPr>
            <w:tcW w:type="dxa" w:w="1984"/>
            <w:shd w:fill="F8FAFC"/>
            <w:tcBorders>
              <w:top w:sz="2" w:val="single" w:color="D0D5DD"/>
              <w:left w:sz="2" w:val="single" w:color="D0D5DD"/>
              <w:bottom w:sz="2" w:val="single" w:color="D0D5DD"/>
              <w:right w:sz="2" w:val="single" w:color="D0D5DD"/>
            </w:tcBorders>
            <w:vAlign w:val="top"/>
          </w:tcPr>
          <w:p>
            <w:r>
              <w:rPr>
                <w:rFonts w:ascii="Cambria" w:hAnsi="Cambria"/>
                <w:sz w:val="16"/>
              </w:rPr>
              <w:t>Stage configuration.</w:t>
            </w:r>
          </w:p>
        </w:tc>
      </w:tr>
      <w:tr>
        <w:trPr>
          <w:cantSplit/>
        </w:trPr>
        <w:tc>
          <w:tcPr>
            <w:tcW w:type="dxa" w:w="2154"/>
            <w:tcBorders>
              <w:top w:sz="2" w:val="single" w:color="D0D5DD"/>
              <w:left w:sz="2" w:val="single" w:color="D0D5DD"/>
              <w:bottom w:sz="2" w:val="single" w:color="D0D5DD"/>
              <w:right w:sz="2" w:val="single" w:color="D0D5DD"/>
            </w:tcBorders>
            <w:vAlign w:val="top"/>
          </w:tcPr>
          <w:p>
            <w:r>
              <w:rPr>
                <w:rFonts w:ascii="Cambria" w:hAnsi="Cambria"/>
                <w:sz w:val="16"/>
              </w:rPr>
              <w:t>previous_belief</w:t>
            </w:r>
          </w:p>
        </w:tc>
        <w:tc>
          <w:tcPr>
            <w:tcW w:type="dxa" w:w="5216"/>
            <w:tcBorders>
              <w:top w:sz="2" w:val="single" w:color="D0D5DD"/>
              <w:left w:sz="2" w:val="single" w:color="D0D5DD"/>
              <w:bottom w:sz="2" w:val="single" w:color="D0D5DD"/>
              <w:right w:sz="2" w:val="single" w:color="D0D5DD"/>
            </w:tcBorders>
            <w:vAlign w:val="top"/>
          </w:tcPr>
          <w:p>
            <w:r>
              <w:rPr>
                <w:rFonts w:ascii="Cambria" w:hAnsi="Cambria"/>
                <w:sz w:val="16"/>
              </w:rPr>
              <w:t>Prior state distribution or particles, including cross-parameter covariance and validity status.</w:t>
            </w:r>
          </w:p>
        </w:tc>
        <w:tc>
          <w:tcPr>
            <w:tcW w:type="dxa" w:w="1984"/>
            <w:tcBorders>
              <w:top w:sz="2" w:val="single" w:color="D0D5DD"/>
              <w:left w:sz="2" w:val="single" w:color="D0D5DD"/>
              <w:bottom w:sz="2" w:val="single" w:color="D0D5DD"/>
              <w:right w:sz="2" w:val="single" w:color="D0D5DD"/>
            </w:tcBorders>
            <w:vAlign w:val="top"/>
          </w:tcPr>
          <w:p>
            <w:r>
              <w:rPr>
                <w:rFonts w:ascii="Cambria" w:hAnsi="Cambria"/>
                <w:sz w:val="16"/>
              </w:rPr>
              <w:t>Prior update/Stage 3.</w:t>
            </w:r>
          </w:p>
        </w:tc>
      </w:tr>
      <w:tr>
        <w:trPr>
          <w:cantSplit/>
        </w:trPr>
        <w:tc>
          <w:tcPr>
            <w:tcW w:type="dxa" w:w="2154"/>
            <w:shd w:fill="F8FAFC"/>
            <w:tcBorders>
              <w:top w:sz="2" w:val="single" w:color="D0D5DD"/>
              <w:left w:sz="2" w:val="single" w:color="D0D5DD"/>
              <w:bottom w:sz="2" w:val="single" w:color="D0D5DD"/>
              <w:right w:sz="2" w:val="single" w:color="D0D5DD"/>
            </w:tcBorders>
            <w:vAlign w:val="top"/>
          </w:tcPr>
          <w:p>
            <w:r>
              <w:rPr>
                <w:rFonts w:ascii="Cambria" w:hAnsi="Cambria"/>
                <w:sz w:val="16"/>
              </w:rPr>
              <w:t>model_context</w:t>
            </w:r>
          </w:p>
        </w:tc>
        <w:tc>
          <w:tcPr>
            <w:tcW w:type="dxa" w:w="5216"/>
            <w:shd w:fill="F8FAFC"/>
            <w:tcBorders>
              <w:top w:sz="2" w:val="single" w:color="D0D5DD"/>
              <w:left w:sz="2" w:val="single" w:color="D0D5DD"/>
              <w:bottom w:sz="2" w:val="single" w:color="D0D5DD"/>
              <w:right w:sz="2" w:val="single" w:color="D0D5DD"/>
            </w:tcBorders>
            <w:vAlign w:val="top"/>
          </w:tcPr>
          <w:p>
            <w:r>
              <w:rPr>
                <w:rFonts w:ascii="Cambria" w:hAnsi="Cambria"/>
                <w:sz w:val="16"/>
              </w:rPr>
              <w:t>Logical basis, schedule, code distance, reset, measurement and decoder context.</w:t>
            </w:r>
          </w:p>
        </w:tc>
        <w:tc>
          <w:tcPr>
            <w:tcW w:type="dxa" w:w="1984"/>
            <w:shd w:fill="F8FAFC"/>
            <w:tcBorders>
              <w:top w:sz="2" w:val="single" w:color="D0D5DD"/>
              <w:left w:sz="2" w:val="single" w:color="D0D5DD"/>
              <w:bottom w:sz="2" w:val="single" w:color="D0D5DD"/>
              <w:right w:sz="2" w:val="single" w:color="D0D5DD"/>
            </w:tcBorders>
            <w:vAlign w:val="top"/>
          </w:tcPr>
          <w:p>
            <w:r>
              <w:rPr>
                <w:rFonts w:ascii="Cambria" w:hAnsi="Cambria"/>
                <w:sz w:val="16"/>
              </w:rPr>
              <w:t>Stage 1.</w:t>
            </w:r>
          </w:p>
        </w:tc>
      </w:tr>
    </w:tbl>
    <w:p>
      <w:pPr>
        <w:spacing w:after="0"/>
      </w:pPr>
    </w:p>
    <w:p>
      <w:pPr>
        <w:pStyle w:val="Heading2"/>
        <w:keepNext/>
      </w:pPr>
      <w:r>
        <w:t>Outputs</w:t>
      </w:r>
    </w:p>
    <w:tbl>
      <w:tblPr>
        <w:tblW w:type="auto" w:w="0"/>
        <w:jc w:val="center"/>
        <w:tblLayout w:type="fixed"/>
        <w:tblLook w:firstColumn="1" w:firstRow="1" w:lastColumn="0" w:lastRow="0" w:noHBand="0" w:noVBand="1" w:val="04A0"/>
      </w:tblPr>
      <w:tblGrid>
        <w:gridCol w:w="3213"/>
        <w:gridCol w:w="3213"/>
        <w:gridCol w:w="3213"/>
      </w:tblGrid>
      <w:tr>
        <w:trPr>
          <w:tblHeader w:val="true"/>
        </w:trPr>
        <w:tc>
          <w:tcPr>
            <w:tcW w:type="dxa" w:w="2154"/>
            <w:shd w:fill="1F2D3D"/>
            <w:tcBorders>
              <w:top w:sz="4" w:val="single" w:color="FFFFFF"/>
              <w:left w:sz="4" w:val="single" w:color="FFFFFF"/>
              <w:bottom w:sz="4" w:val="single" w:color="FFFFFF"/>
              <w:right w:sz="4" w:val="single" w:color="FFFFFF"/>
            </w:tcBorders>
            <w:vAlign w:val="center"/>
          </w:tcPr>
          <w:p>
            <w:r>
              <w:rPr>
                <w:rFonts w:ascii="Aptos" w:hAnsi="Aptos"/>
                <w:b/>
                <w:color w:val="FFFFFF"/>
                <w:sz w:val="16"/>
              </w:rPr>
              <w:t>Output field</w:t>
            </w:r>
          </w:p>
        </w:tc>
        <w:tc>
          <w:tcPr>
            <w:tcW w:type="dxa" w:w="5216"/>
            <w:shd w:fill="1F2D3D"/>
            <w:tcBorders>
              <w:top w:sz="4" w:val="single" w:color="FFFFFF"/>
              <w:left w:sz="4" w:val="single" w:color="FFFFFF"/>
              <w:bottom w:sz="4" w:val="single" w:color="FFFFFF"/>
              <w:right w:sz="4" w:val="single" w:color="FFFFFF"/>
            </w:tcBorders>
            <w:vAlign w:val="center"/>
          </w:tcPr>
          <w:p>
            <w:r>
              <w:rPr>
                <w:rFonts w:ascii="Aptos" w:hAnsi="Aptos"/>
                <w:b/>
                <w:color w:val="FFFFFF"/>
                <w:sz w:val="16"/>
              </w:rPr>
              <w:t>Meaning and required representation</w:t>
            </w:r>
          </w:p>
        </w:tc>
        <w:tc>
          <w:tcPr>
            <w:tcW w:type="dxa" w:w="1984"/>
            <w:shd w:fill="1F2D3D"/>
            <w:tcBorders>
              <w:top w:sz="4" w:val="single" w:color="FFFFFF"/>
              <w:left w:sz="4" w:val="single" w:color="FFFFFF"/>
              <w:bottom w:sz="4" w:val="single" w:color="FFFFFF"/>
              <w:right w:sz="4" w:val="single" w:color="FFFFFF"/>
            </w:tcBorders>
            <w:vAlign w:val="center"/>
          </w:tcPr>
          <w:p>
            <w:r>
              <w:rPr>
                <w:rFonts w:ascii="Aptos" w:hAnsi="Aptos"/>
                <w:b/>
                <w:color w:val="FFFFFF"/>
                <w:sz w:val="16"/>
              </w:rPr>
              <w:t>Consumer</w:t>
            </w:r>
          </w:p>
        </w:tc>
      </w:tr>
      <w:tr>
        <w:trPr>
          <w:cantSplit/>
        </w:trPr>
        <w:tc>
          <w:tcPr>
            <w:tcW w:type="dxa" w:w="2154"/>
            <w:tcBorders>
              <w:top w:sz="2" w:val="single" w:color="D0D5DD"/>
              <w:left w:sz="2" w:val="single" w:color="D0D5DD"/>
              <w:bottom w:sz="2" w:val="single" w:color="D0D5DD"/>
              <w:right w:sz="2" w:val="single" w:color="D0D5DD"/>
            </w:tcBorders>
            <w:vAlign w:val="top"/>
          </w:tcPr>
          <w:p>
            <w:r>
              <w:rPr>
                <w:rFonts w:ascii="Cambria" w:hAnsi="Cambria"/>
                <w:sz w:val="16"/>
              </w:rPr>
              <w:t>observation_model</w:t>
            </w:r>
          </w:p>
        </w:tc>
        <w:tc>
          <w:tcPr>
            <w:tcW w:type="dxa" w:w="5216"/>
            <w:tcBorders>
              <w:top w:sz="2" w:val="single" w:color="D0D5DD"/>
              <w:left w:sz="2" w:val="single" w:color="D0D5DD"/>
              <w:bottom w:sz="2" w:val="single" w:color="D0D5DD"/>
              <w:right w:sz="2" w:val="single" w:color="D0D5DD"/>
            </w:tcBorders>
            <w:vAlign w:val="top"/>
          </w:tcPr>
          <w:p>
            <w:r>
              <w:rPr>
                <w:rFonts w:ascii="Cambria" w:hAnsi="Cambria"/>
                <w:sz w:val="16"/>
              </w:rPr>
              <w:t>Callable or differentiable p(D|x,u,c,η) with version, sparsity and uncertainty; this is the primary interface to Stage 3.</w:t>
            </w:r>
          </w:p>
        </w:tc>
        <w:tc>
          <w:tcPr>
            <w:tcW w:type="dxa" w:w="1984"/>
            <w:tcBorders>
              <w:top w:sz="2" w:val="single" w:color="D0D5DD"/>
              <w:left w:sz="2" w:val="single" w:color="D0D5DD"/>
              <w:bottom w:sz="2" w:val="single" w:color="D0D5DD"/>
              <w:right w:sz="2" w:val="single" w:color="D0D5DD"/>
            </w:tcBorders>
            <w:vAlign w:val="top"/>
          </w:tcPr>
          <w:p>
            <w:r>
              <w:rPr>
                <w:rFonts w:ascii="Cambria" w:hAnsi="Cambria"/>
                <w:sz w:val="16"/>
              </w:rPr>
              <w:t>Stage 3 joint inference and Stage 4 simulation.</w:t>
            </w:r>
          </w:p>
        </w:tc>
      </w:tr>
      <w:tr>
        <w:trPr>
          <w:cantSplit/>
        </w:trPr>
        <w:tc>
          <w:tcPr>
            <w:tcW w:type="dxa" w:w="2154"/>
            <w:shd w:fill="F8FAFC"/>
            <w:tcBorders>
              <w:top w:sz="2" w:val="single" w:color="D0D5DD"/>
              <w:left w:sz="2" w:val="single" w:color="D0D5DD"/>
              <w:bottom w:sz="2" w:val="single" w:color="D0D5DD"/>
              <w:right w:sz="2" w:val="single" w:color="D0D5DD"/>
            </w:tcBorders>
            <w:vAlign w:val="top"/>
          </w:tcPr>
          <w:p>
            <w:r>
              <w:rPr>
                <w:rFonts w:ascii="Cambria" w:hAnsi="Cambria"/>
                <w:sz w:val="16"/>
              </w:rPr>
              <w:t>instantaneous_state_belief</w:t>
            </w:r>
          </w:p>
        </w:tc>
        <w:tc>
          <w:tcPr>
            <w:tcW w:type="dxa" w:w="5216"/>
            <w:shd w:fill="F8FAFC"/>
            <w:tcBorders>
              <w:top w:sz="2" w:val="single" w:color="D0D5DD"/>
              <w:left w:sz="2" w:val="single" w:color="D0D5DD"/>
              <w:bottom w:sz="2" w:val="single" w:color="D0D5DD"/>
              <w:right w:sz="2" w:val="single" w:color="D0D5DD"/>
            </w:tcBorders>
            <w:vAlign w:val="top"/>
          </w:tcPr>
          <w:p>
            <w:r>
              <w:rPr>
                <w:rFonts w:ascii="Cambria" w:hAnsi="Cambria"/>
                <w:sz w:val="16"/>
              </w:rPr>
              <w:t>Posterior or filtering approximation over x_t for low-latency monitoring; mean alone is insufficient.</w:t>
            </w:r>
          </w:p>
        </w:tc>
        <w:tc>
          <w:tcPr>
            <w:tcW w:type="dxa" w:w="1984"/>
            <w:shd w:fill="F8FAFC"/>
            <w:tcBorders>
              <w:top w:sz="2" w:val="single" w:color="D0D5DD"/>
              <w:left w:sz="2" w:val="single" w:color="D0D5DD"/>
              <w:bottom w:sz="2" w:val="single" w:color="D0D5DD"/>
              <w:right w:sz="2" w:val="single" w:color="D0D5DD"/>
            </w:tcBorders>
            <w:vAlign w:val="top"/>
          </w:tcPr>
          <w:p>
            <w:r>
              <w:rPr>
                <w:rFonts w:ascii="Cambria" w:hAnsi="Cambria"/>
                <w:sz w:val="16"/>
              </w:rPr>
              <w:t>Stages 3, 5 and 7.</w:t>
            </w:r>
          </w:p>
        </w:tc>
      </w:tr>
      <w:tr>
        <w:trPr>
          <w:cantSplit/>
        </w:trPr>
        <w:tc>
          <w:tcPr>
            <w:tcW w:type="dxa" w:w="2154"/>
            <w:tcBorders>
              <w:top w:sz="2" w:val="single" w:color="D0D5DD"/>
              <w:left w:sz="2" w:val="single" w:color="D0D5DD"/>
              <w:bottom w:sz="2" w:val="single" w:color="D0D5DD"/>
              <w:right w:sz="2" w:val="single" w:color="D0D5DD"/>
            </w:tcBorders>
            <w:vAlign w:val="top"/>
          </w:tcPr>
          <w:p>
            <w:r>
              <w:rPr>
                <w:rFonts w:ascii="Cambria" w:hAnsi="Cambria"/>
                <w:sz w:val="16"/>
              </w:rPr>
              <w:t>observability_report</w:t>
            </w:r>
          </w:p>
        </w:tc>
        <w:tc>
          <w:tcPr>
            <w:tcW w:type="dxa" w:w="5216"/>
            <w:tcBorders>
              <w:top w:sz="2" w:val="single" w:color="D0D5DD"/>
              <w:left w:sz="2" w:val="single" w:color="D0D5DD"/>
              <w:bottom w:sz="2" w:val="single" w:color="D0D5DD"/>
              <w:right w:sz="2" w:val="single" w:color="D0D5DD"/>
            </w:tcBorders>
            <w:vAlign w:val="top"/>
          </w:tcPr>
          <w:p>
            <w:r>
              <w:rPr>
                <w:rFonts w:ascii="Cambria" w:hAnsi="Cambria"/>
                <w:sz w:val="16"/>
              </w:rPr>
              <w:t>Fisher/sensitivity rank, singular directions, condition number, required excitation and detector contributions.</w:t>
            </w:r>
          </w:p>
        </w:tc>
        <w:tc>
          <w:tcPr>
            <w:tcW w:type="dxa" w:w="1984"/>
            <w:tcBorders>
              <w:top w:sz="2" w:val="single" w:color="D0D5DD"/>
              <w:left w:sz="2" w:val="single" w:color="D0D5DD"/>
              <w:bottom w:sz="2" w:val="single" w:color="D0D5DD"/>
              <w:right w:sz="2" w:val="single" w:color="D0D5DD"/>
            </w:tcBorders>
            <w:vAlign w:val="top"/>
          </w:tcPr>
          <w:p>
            <w:r>
              <w:rPr>
                <w:rFonts w:ascii="Cambria" w:hAnsi="Cambria"/>
                <w:sz w:val="16"/>
              </w:rPr>
              <w:t>Stages 3, 6 and 7.</w:t>
            </w:r>
          </w:p>
        </w:tc>
      </w:tr>
      <w:tr>
        <w:trPr>
          <w:cantSplit/>
        </w:trPr>
        <w:tc>
          <w:tcPr>
            <w:tcW w:type="dxa" w:w="2154"/>
            <w:shd w:fill="F8FAFC"/>
            <w:tcBorders>
              <w:top w:sz="2" w:val="single" w:color="D0D5DD"/>
              <w:left w:sz="2" w:val="single" w:color="D0D5DD"/>
              <w:bottom w:sz="2" w:val="single" w:color="D0D5DD"/>
              <w:right w:sz="2" w:val="single" w:color="D0D5DD"/>
            </w:tcBorders>
            <w:vAlign w:val="top"/>
          </w:tcPr>
          <w:p>
            <w:r>
              <w:rPr>
                <w:rFonts w:ascii="Cambria" w:hAnsi="Cambria"/>
                <w:sz w:val="16"/>
              </w:rPr>
              <w:t>unresolved_subspace</w:t>
            </w:r>
          </w:p>
        </w:tc>
        <w:tc>
          <w:tcPr>
            <w:tcW w:type="dxa" w:w="5216"/>
            <w:shd w:fill="F8FAFC"/>
            <w:tcBorders>
              <w:top w:sz="2" w:val="single" w:color="D0D5DD"/>
              <w:left w:sz="2" w:val="single" w:color="D0D5DD"/>
              <w:bottom w:sz="2" w:val="single" w:color="D0D5DD"/>
              <w:right w:sz="2" w:val="single" w:color="D0D5DD"/>
            </w:tcBorders>
            <w:vAlign w:val="top"/>
          </w:tcPr>
          <w:p>
            <w:r>
              <w:rPr>
                <w:rFonts w:ascii="Cambria" w:hAnsi="Cambria"/>
                <w:sz w:val="16"/>
              </w:rPr>
              <w:t>Basis vectors or hypothesis set that cannot be distinguished with current data and interventions.</w:t>
            </w:r>
          </w:p>
        </w:tc>
        <w:tc>
          <w:tcPr>
            <w:tcW w:type="dxa" w:w="1984"/>
            <w:shd w:fill="F8FAFC"/>
            <w:tcBorders>
              <w:top w:sz="2" w:val="single" w:color="D0D5DD"/>
              <w:left w:sz="2" w:val="single" w:color="D0D5DD"/>
              <w:bottom w:sz="2" w:val="single" w:color="D0D5DD"/>
              <w:right w:sz="2" w:val="single" w:color="D0D5DD"/>
            </w:tcBorders>
            <w:vAlign w:val="top"/>
          </w:tcPr>
          <w:p>
            <w:r>
              <w:rPr>
                <w:rFonts w:ascii="Cambria" w:hAnsi="Cambria"/>
                <w:sz w:val="16"/>
              </w:rPr>
              <w:t>Stages 3, 5 and 7.</w:t>
            </w:r>
          </w:p>
        </w:tc>
      </w:tr>
      <w:tr>
        <w:trPr>
          <w:cantSplit/>
        </w:trPr>
        <w:tc>
          <w:tcPr>
            <w:tcW w:type="dxa" w:w="2154"/>
            <w:tcBorders>
              <w:top w:sz="2" w:val="single" w:color="D0D5DD"/>
              <w:left w:sz="2" w:val="single" w:color="D0D5DD"/>
              <w:bottom w:sz="2" w:val="single" w:color="D0D5DD"/>
              <w:right w:sz="2" w:val="single" w:color="D0D5DD"/>
            </w:tcBorders>
            <w:vAlign w:val="top"/>
          </w:tcPr>
          <w:p>
            <w:r>
              <w:rPr>
                <w:rFonts w:ascii="Cambria" w:hAnsi="Cambria"/>
                <w:sz w:val="16"/>
              </w:rPr>
              <w:t>attribution_distribution</w:t>
            </w:r>
          </w:p>
        </w:tc>
        <w:tc>
          <w:tcPr>
            <w:tcW w:type="dxa" w:w="5216"/>
            <w:tcBorders>
              <w:top w:sz="2" w:val="single" w:color="D0D5DD"/>
              <w:left w:sz="2" w:val="single" w:color="D0D5DD"/>
              <w:bottom w:sz="2" w:val="single" w:color="D0D5DD"/>
              <w:right w:sz="2" w:val="single" w:color="D0D5DD"/>
            </w:tcBorders>
            <w:vAlign w:val="top"/>
          </w:tcPr>
          <w:p>
            <w:r>
              <w:rPr>
                <w:rFonts w:ascii="Cambria" w:hAnsi="Cambria"/>
                <w:sz w:val="16"/>
              </w:rPr>
              <w:t>Probabilities over operational or microscopic hypotheses only where supported; equivalence classes otherwise.</w:t>
            </w:r>
          </w:p>
        </w:tc>
        <w:tc>
          <w:tcPr>
            <w:tcW w:type="dxa" w:w="1984"/>
            <w:tcBorders>
              <w:top w:sz="2" w:val="single" w:color="D0D5DD"/>
              <w:left w:sz="2" w:val="single" w:color="D0D5DD"/>
              <w:bottom w:sz="2" w:val="single" w:color="D0D5DD"/>
              <w:right w:sz="2" w:val="single" w:color="D0D5DD"/>
            </w:tcBorders>
            <w:vAlign w:val="top"/>
          </w:tcPr>
          <w:p>
            <w:r>
              <w:rPr>
                <w:rFonts w:ascii="Cambria" w:hAnsi="Cambria"/>
                <w:sz w:val="16"/>
              </w:rPr>
              <w:t>Stages 3 and 7.</w:t>
            </w:r>
          </w:p>
        </w:tc>
      </w:tr>
      <w:tr>
        <w:trPr>
          <w:cantSplit/>
        </w:trPr>
        <w:tc>
          <w:tcPr>
            <w:tcW w:type="dxa" w:w="2154"/>
            <w:shd w:fill="F8FAFC"/>
            <w:tcBorders>
              <w:top w:sz="2" w:val="single" w:color="D0D5DD"/>
              <w:left w:sz="2" w:val="single" w:color="D0D5DD"/>
              <w:bottom w:sz="2" w:val="single" w:color="D0D5DD"/>
              <w:right w:sz="2" w:val="single" w:color="D0D5DD"/>
            </w:tcBorders>
            <w:vAlign w:val="top"/>
          </w:tcPr>
          <w:p>
            <w:r>
              <w:rPr>
                <w:rFonts w:ascii="Cambria" w:hAnsi="Cambria"/>
                <w:sz w:val="16"/>
              </w:rPr>
              <w:t>posterior_predictive</w:t>
            </w:r>
          </w:p>
        </w:tc>
        <w:tc>
          <w:tcPr>
            <w:tcW w:type="dxa" w:w="5216"/>
            <w:shd w:fill="F8FAFC"/>
            <w:tcBorders>
              <w:top w:sz="2" w:val="single" w:color="D0D5DD"/>
              <w:left w:sz="2" w:val="single" w:color="D0D5DD"/>
              <w:bottom w:sz="2" w:val="single" w:color="D0D5DD"/>
              <w:right w:sz="2" w:val="single" w:color="D0D5DD"/>
            </w:tcBorders>
            <w:vAlign w:val="top"/>
          </w:tcPr>
          <w:p>
            <w:r>
              <w:rPr>
                <w:rFonts w:ascii="Cambria" w:hAnsi="Cambria"/>
                <w:sz w:val="16"/>
              </w:rPr>
              <w:t>Predicted detector distribution and structured residual statistics under the inferred state.</w:t>
            </w:r>
          </w:p>
        </w:tc>
        <w:tc>
          <w:tcPr>
            <w:tcW w:type="dxa" w:w="1984"/>
            <w:shd w:fill="F8FAFC"/>
            <w:tcBorders>
              <w:top w:sz="2" w:val="single" w:color="D0D5DD"/>
              <w:left w:sz="2" w:val="single" w:color="D0D5DD"/>
              <w:bottom w:sz="2" w:val="single" w:color="D0D5DD"/>
              <w:right w:sz="2" w:val="single" w:color="D0D5DD"/>
            </w:tcBorders>
            <w:vAlign w:val="top"/>
          </w:tcPr>
          <w:p>
            <w:r>
              <w:rPr>
                <w:rFonts w:ascii="Cambria" w:hAnsi="Cambria"/>
                <w:sz w:val="16"/>
              </w:rPr>
              <w:t>Stages 3 and 7.</w:t>
            </w:r>
          </w:p>
        </w:tc>
      </w:tr>
      <w:tr>
        <w:trPr>
          <w:cantSplit/>
        </w:trPr>
        <w:tc>
          <w:tcPr>
            <w:tcW w:type="dxa" w:w="2154"/>
            <w:tcBorders>
              <w:top w:sz="2" w:val="single" w:color="D0D5DD"/>
              <w:left w:sz="2" w:val="single" w:color="D0D5DD"/>
              <w:bottom w:sz="2" w:val="single" w:color="D0D5DD"/>
              <w:right w:sz="2" w:val="single" w:color="D0D5DD"/>
            </w:tcBorders>
            <w:vAlign w:val="top"/>
          </w:tcPr>
          <w:p>
            <w:r>
              <w:rPr>
                <w:rFonts w:ascii="Cambria" w:hAnsi="Cambria"/>
                <w:sz w:val="16"/>
              </w:rPr>
              <w:t>response_update</w:t>
            </w:r>
          </w:p>
        </w:tc>
        <w:tc>
          <w:tcPr>
            <w:tcW w:type="dxa" w:w="5216"/>
            <w:tcBorders>
              <w:top w:sz="2" w:val="single" w:color="D0D5DD"/>
              <w:left w:sz="2" w:val="single" w:color="D0D5DD"/>
              <w:bottom w:sz="2" w:val="single" w:color="D0D5DD"/>
              <w:right w:sz="2" w:val="single" w:color="D0D5DD"/>
            </w:tcBorders>
            <w:vAlign w:val="top"/>
          </w:tcPr>
          <w:p>
            <w:r>
              <w:rPr>
                <w:rFonts w:ascii="Cambria" w:hAnsi="Cambria"/>
                <w:sz w:val="16"/>
              </w:rPr>
              <w:t>Online estimates of local Jacobian, curvature and model discrepancy learned from interventions.</w:t>
            </w:r>
          </w:p>
        </w:tc>
        <w:tc>
          <w:tcPr>
            <w:tcW w:type="dxa" w:w="1984"/>
            <w:tcBorders>
              <w:top w:sz="2" w:val="single" w:color="D0D5DD"/>
              <w:left w:sz="2" w:val="single" w:color="D0D5DD"/>
              <w:bottom w:sz="2" w:val="single" w:color="D0D5DD"/>
              <w:right w:sz="2" w:val="single" w:color="D0D5DD"/>
            </w:tcBorders>
            <w:vAlign w:val="top"/>
          </w:tcPr>
          <w:p>
            <w:r>
              <w:rPr>
                <w:rFonts w:ascii="Cambria" w:hAnsi="Cambria"/>
                <w:sz w:val="16"/>
              </w:rPr>
              <w:t>Stages 5 and 6.</w:t>
            </w:r>
          </w:p>
        </w:tc>
      </w:tr>
      <w:tr>
        <w:trPr>
          <w:cantSplit/>
        </w:trPr>
        <w:tc>
          <w:tcPr>
            <w:tcW w:type="dxa" w:w="2154"/>
            <w:shd w:fill="F8FAFC"/>
            <w:tcBorders>
              <w:top w:sz="2" w:val="single" w:color="D0D5DD"/>
              <w:left w:sz="2" w:val="single" w:color="D0D5DD"/>
              <w:bottom w:sz="2" w:val="single" w:color="D0D5DD"/>
              <w:right w:sz="2" w:val="single" w:color="D0D5DD"/>
            </w:tcBorders>
            <w:vAlign w:val="top"/>
          </w:tcPr>
          <w:p>
            <w:r>
              <w:rPr>
                <w:rFonts w:ascii="Cambria" w:hAnsi="Cambria"/>
                <w:sz w:val="16"/>
              </w:rPr>
              <w:t>validity_and_ood_flags</w:t>
            </w:r>
          </w:p>
        </w:tc>
        <w:tc>
          <w:tcPr>
            <w:tcW w:type="dxa" w:w="5216"/>
            <w:shd w:fill="F8FAFC"/>
            <w:tcBorders>
              <w:top w:sz="2" w:val="single" w:color="D0D5DD"/>
              <w:left w:sz="2" w:val="single" w:color="D0D5DD"/>
              <w:bottom w:sz="2" w:val="single" w:color="D0D5DD"/>
              <w:right w:sz="2" w:val="single" w:color="D0D5DD"/>
            </w:tcBorders>
            <w:vAlign w:val="top"/>
          </w:tcPr>
          <w:p>
            <w:r>
              <w:rPr>
                <w:rFonts w:ascii="Cambria" w:hAnsi="Cambria"/>
                <w:sz w:val="16"/>
              </w:rPr>
              <w:t>Likelihood failure, posterior collapse, extrapolation, low rank or model-mismatch indicators.</w:t>
            </w:r>
          </w:p>
        </w:tc>
        <w:tc>
          <w:tcPr>
            <w:tcW w:type="dxa" w:w="1984"/>
            <w:shd w:fill="F8FAFC"/>
            <w:tcBorders>
              <w:top w:sz="2" w:val="single" w:color="D0D5DD"/>
              <w:left w:sz="2" w:val="single" w:color="D0D5DD"/>
              <w:bottom w:sz="2" w:val="single" w:color="D0D5DD"/>
              <w:right w:sz="2" w:val="single" w:color="D0D5DD"/>
            </w:tcBorders>
            <w:vAlign w:val="top"/>
          </w:tcPr>
          <w:p>
            <w:r>
              <w:rPr>
                <w:rFonts w:ascii="Cambria" w:hAnsi="Cambria"/>
                <w:sz w:val="16"/>
              </w:rPr>
              <w:t>Stage 7.</w:t>
            </w:r>
          </w:p>
        </w:tc>
      </w:tr>
    </w:tbl>
    <w:p>
      <w:pPr>
        <w:spacing w:after="0"/>
      </w:pPr>
    </w:p>
    <w:p>
      <w:pPr>
        <w:pStyle w:val="Heading2"/>
        <w:keepNext/>
      </w:pPr>
      <w:r>
        <w:t>Contractual assumptions</w:t>
      </w:r>
    </w:p>
    <w:p>
      <w:pPr>
        <w:pStyle w:val="ListBullet"/>
        <w:ind w:left="397" w:hanging="170"/>
      </w:pPr>
      <w:r>
        <w:t>The QEC circuit and applied controls are known. Unknown or ambiguous controls must be represented probabilistically rather than replaced by nominal values.</w:t>
      </w:r>
    </w:p>
    <w:p>
      <w:pPr>
        <w:pStyle w:val="ListBullet"/>
        <w:ind w:left="397" w:hanging="170"/>
      </w:pPr>
      <w:r>
        <w:t>Latent variables are operationally defined: each must affect a forecast or a control decision. Unobservable microscopic detail is not added for interpretive appeal.</w:t>
      </w:r>
    </w:p>
    <w:p>
      <w:pPr>
        <w:pStyle w:val="ListBullet"/>
        <w:ind w:left="397" w:hanging="170"/>
      </w:pPr>
      <w:r>
        <w:t>Stage 2 may use calibration priors or simulations, but all uncertainty in those models is propagated.</w:t>
      </w:r>
    </w:p>
    <w:p>
      <w:pPr>
        <w:pStyle w:val="ListBullet"/>
        <w:ind w:left="397" w:hanging="170"/>
      </w:pPr>
      <w:r>
        <w:t>A low-latency filter may approximate the posterior; the exact or richer likelihood remains available for Stage 3 joint inference.</w:t>
      </w:r>
    </w:p>
    <w:p>
      <w:pPr>
        <w:pStyle w:val="ListBullet"/>
        <w:ind w:left="397" w:hanging="170"/>
      </w:pPr>
      <w:r>
        <w:t>No inference algorithm may use simulator truth except in oracle baselines and scoring.</w:t>
      </w:r>
    </w:p>
    <w:p>
      <w:pPr>
        <w:pStyle w:val="Heading1"/>
        <w:keepNext/>
      </w:pPr>
      <w:r>
        <w:t>1. The inverse problem in physical terms</w:t>
      </w:r>
    </w:p>
    <w:p>
      <w:r>
        <w:rPr>
          <w:i w:val="0"/>
        </w:rPr>
        <w:t>A detector event is a coarse, distributed consequence of a fault, not a direct measurement of drive frequency or pulse amplitude. A detuning error changes the coherent phase accumulated during several gates; an amplitude error produces over- or under-rotation; a two-qubit phase error changes the parity propagation through an entangling operation; leakage alters subsequent gates and readout; and a measurement threshold shift changes the reported bit without changing the quantum state. These mechanisms can overlap in the same detecting regions. Stage 2 therefore solves a Bayesian inverse problem with an explicitly many-to-one observation map.</w:t>
      </w:r>
    </w:p>
    <w:p>
      <w:r>
        <w:rPr>
          <w:i w:val="0"/>
        </w:rPr>
        <w:t>The aim is not a complete Hamiltonian reconstruction. The aim is to infer the smallest state x_t whose future evolution determines the movement of the calibration optimum. If charge parity and a two-level system both act primarily as an effective qubit detuning and cannot be distinguished at the current temporal resolution, the stage may initially infer one detuning variable. Stage 3 later determines whether its dynamics require several components.</w:t>
      </w:r>
    </w:p>
    <w:p>
      <w:pPr>
        <w:pStyle w:val="Heading1"/>
        <w:keepNext/>
      </w:pPr>
      <w:r>
        <w:t>2. Defining the latent state without creating unidentifiable parameters</w:t>
      </w:r>
    </w:p>
    <w:p>
      <w:r>
        <w:rPr>
          <w:i w:val="0"/>
        </w:rPr>
        <w:t>A local MVP state for region r can be written</w:t>
      </w:r>
    </w:p>
    <w:p>
      <w:pPr>
        <w:pStyle w:val="Equation"/>
      </w:pPr>
      <w:r>
        <w:t>x_r = [δf_i, δA_i, δφ_e, δg_e, δr_m, ℓ_m, c_r]^T,    (1)</w:t>
      </w:r>
    </w:p>
    <w:p>
      <w:r>
        <w:rPr>
          <w:i w:val="0"/>
        </w:rPr>
        <w:t>where δf_i is effective drive detuning on qubit i, δA_i a fractional single-qubit amplitude error, δφ_e an entangling phase error on edge e, δg_e an interaction-strength or coupler offset, δr_m a readout parameter, ℓ_m a leakage propensity and c_r a local common-mode factor. The exact state is configured by region. Variables should be dimensionless or normalized by Stage-0 sensitivity scales internally, while retaining physical-unit transforms for interpretation.</w:t>
      </w:r>
    </w:p>
    <w:p>
      <w:r>
        <w:rPr>
          <w:i w:val="0"/>
        </w:rPr>
        <w:t>A variable is admitted only if at least one of the following holds: a response prior predicts a distinct detector signature; a safe control intervention can make it locally observable; a temporal prior makes it distinguishable over time; or it is needed to represent known correlated residuals. Otherwise the state should use an identifiable combination, such as a single effective coherent-error coordinate, rather than two nearly collinear physical labels.</w:t>
      </w:r>
    </w:p>
    <w:p>
      <w:pPr>
        <w:pStyle w:val="Heading1"/>
        <w:keepNext/>
      </w:pPr>
      <w:r>
        <w:t>3. Observation-model hierarchy</w:t>
      </w:r>
    </w:p>
    <w:p>
      <w:pPr>
        <w:pStyle w:val="Heading2"/>
        <w:keepNext/>
      </w:pPr>
      <w:r>
        <w:t>3.1 Exact event likelihood</w:t>
      </w:r>
    </w:p>
    <w:p>
      <w:r>
        <w:rPr>
          <w:i w:val="0"/>
        </w:rPr>
        <w:t>At the most basic level, detector j in cycle n is Bernoulli with probability q_j(x_n,u_n,c_n). If conditional independence were adequate,</w:t>
      </w:r>
    </w:p>
    <w:p>
      <w:pPr>
        <w:pStyle w:val="Equation"/>
      </w:pPr>
      <w:r>
        <w:t>p(D_n | x_n,u_n,c_n) = Π_j q_j^(d_j,n) (1−q_j)^(1−d_j,n).    (2)</w:t>
      </w:r>
    </w:p>
    <w:p>
      <w:r>
        <w:rPr>
          <w:i w:val="0"/>
        </w:rPr>
        <w:t>Conditional independence is an approximation because one fault can flip several detectors. The MVP may use independent or small-motif factors within a region, but residual correlation tests determine where pair or hyperedge factors are needed. The ideal model uses a sparse factor graph whose factors correspond to physically plausible error mechanisms or empirically detected detector motifs.</w:t>
      </w:r>
    </w:p>
    <w:p>
      <w:pPr>
        <w:pStyle w:val="Heading2"/>
        <w:keepNext/>
      </w:pPr>
      <w:r>
        <w:t>3.2 Count likelihood</w:t>
      </w:r>
    </w:p>
    <w:p>
      <w:r>
        <w:rPr>
          <w:i w:val="0"/>
        </w:rPr>
        <w:t>When x and u are approximately constant over a window containing N exposures, the count k_j is binomial. This is computationally convenient and retains finite-shot uncertainty:</w:t>
      </w:r>
    </w:p>
    <w:p>
      <w:pPr>
        <w:pStyle w:val="Equation"/>
      </w:pPr>
      <w:r>
        <w:t>k_j | x,u ~ Binomial[N_j, q_j(x,u)].    (3)</w:t>
      </w:r>
    </w:p>
    <w:p>
      <w:r>
        <w:rPr>
          <w:i w:val="0"/>
        </w:rPr>
        <w:t>The constancy assumption must be checked against the forecast bandwidth. Fast switching requires event-level inference or a hidden-state count model; it cannot be repaired by merely widening the count uncertainty.</w:t>
      </w:r>
    </w:p>
    <w:p>
      <w:pPr>
        <w:pStyle w:val="Heading2"/>
        <w:keepNext/>
      </w:pPr>
      <w:r>
        <w:t>3.3 Local empirical response model</w:t>
      </w:r>
    </w:p>
    <w:p>
      <w:r>
        <w:rPr>
          <w:i w:val="0"/>
        </w:rPr>
        <w:t>The first response model is a sparse polynomial or generalized linear model around the baseline policy and state. A convenient parameterization is</w:t>
      </w:r>
    </w:p>
    <w:p>
      <w:pPr>
        <w:pStyle w:val="Equation"/>
      </w:pPr>
      <w:r>
        <w:t>logit q_j = b_j + a_j^T x + g_j^T Δu + x^T H_j x + x^T C_j Δu + Δu^T R_j Δu.    (4)</w:t>
      </w:r>
    </w:p>
    <w:p>
      <w:r>
        <w:rPr>
          <w:i w:val="0"/>
        </w:rPr>
        <w:t>The quadratic terms represent symmetric error growth near an optimum; cross terms encode how a deliberate intervention reveals the latent state. Coefficients carry a posterior learned from Stage-0 sweeps, simulation and online perturbations. Sparsity follows the detector–control graph, but unexpected residuals can create candidate edges.</w:t>
      </w:r>
    </w:p>
    <w:p>
      <w:pPr>
        <w:pStyle w:val="Heading2"/>
        <w:keepNext/>
      </w:pPr>
      <w:r>
        <w:t>3.4 Circuit-level physical surrogate</w:t>
      </w:r>
    </w:p>
    <w:p>
      <w:r>
        <w:rPr>
          <w:i w:val="0"/>
        </w:rPr>
        <w:t>A stronger model maps coherent and stochastic error channels through the syndrome-extraction circuit to detector probabilities. It may be produced by Pauli propagation, small density-matrix simulations, differentiable circuit models or calibrated phenomenological simulation. The model need not simulate the entire processor at pulse level. It must accurately predict local changes in detector statistics over the trust region used for inference and control.</w:t>
      </w:r>
    </w:p>
    <w:p>
      <w:pPr>
        <w:pStyle w:val="Heading2"/>
        <w:keepNext/>
      </w:pPr>
      <w:r>
        <w:t>3.5 Model discrepancy</w:t>
      </w:r>
    </w:p>
    <w:p>
      <w:r>
        <w:rPr>
          <w:i w:val="0"/>
        </w:rPr>
        <w:t>No physical surrogate is complete. The likelihood includes a discrepancy process, for example a detector-local random effect or low-rank common factor, whose magnitude is learned from posterior predictive residuals. Without such a term, the posterior can become artificially narrow by attributing every unexplained detector event to the declared physical state.</w:t>
      </w:r>
    </w:p>
    <w:p>
      <w:pPr>
        <w:pStyle w:val="Heading1"/>
        <w:keepNext/>
      </w:pPr>
      <w:r>
        <w:t>4. How interventions restore identifiability</w:t>
      </w:r>
    </w:p>
    <w:p>
      <w:r>
        <w:rPr>
          <w:i w:val="0"/>
        </w:rPr>
        <w:t>Consider a detector response q(δ) ≈ q0 + κδ² near the optimum. Passive observations determine |δ| but not its sign. If the controller applies ±ε to the corresponding control,</w:t>
      </w:r>
    </w:p>
    <w:p>
      <w:pPr>
        <w:pStyle w:val="Equation"/>
      </w:pPr>
      <w:r>
        <w:t>q(δ+ε) − q(δ−ε) ≈ 4κδε.    (5)</w:t>
      </w:r>
    </w:p>
    <w:p>
      <w:r>
        <w:rPr>
          <w:i w:val="0"/>
        </w:rPr>
        <w:t>The contrast reveals the sign of δ. More generally, the control perturbations change the local Fisher information and can be designed to excite ambiguous directions. Stage 2 uses the actual perturbation sequence in the likelihood. Stage 6 receives the observability report and can orient future safe exploration toward low-information directions rather than sampling isotropically.</w:t>
      </w:r>
    </w:p>
    <w:p>
      <w:r>
        <w:rPr>
          <w:i w:val="0"/>
        </w:rPr>
        <w:t>Persistent excitation is not free: it can increase error during computation. The supervisor therefore limits perturbation energy and requests it only when the expected reduction in state uncertainty or control regret justifies the logical risk. When passive data and existing RL perturbations are sufficient, no additional excitation is introduced.</w:t>
      </w:r>
    </w:p>
    <w:p>
      <w:pPr>
        <w:pStyle w:val="Heading1"/>
        <w:keepNext/>
      </w:pPr>
      <w:r>
        <w:t>5. Bayesian update and low-latency filtering</w:t>
      </w:r>
    </w:p>
    <w:p>
      <w:r>
        <w:rPr>
          <w:i w:val="0"/>
        </w:rPr>
        <w:t>For prior p(x_t|D_1:t−1) and new telemetry Y_t, the update is</w:t>
      </w:r>
    </w:p>
    <w:p>
      <w:pPr>
        <w:pStyle w:val="Equation"/>
      </w:pPr>
      <w:r>
        <w:t>p(x_t | Y_1:t,u_1:t) ∝ p(Y_t | x_t,u_t) p(x_t | Y_1:t−1,u_1:t−1).    (6)</w:t>
      </w:r>
    </w:p>
    <w:p>
      <w:r>
        <w:rPr>
          <w:i w:val="0"/>
        </w:rPr>
        <w:t>The MVP should support two numerical paths. A fast filter provides an immediate belief for safety and diagnostic display. A likelihood-preserving path exposes the same emission factors to Stage 3, which performs joint temporal and segmentation inference. The fast filter may use an unscented Kalman filter for approximately unimodal nonlinear responses or a modest particle mixture when sign ambiguity and discrete hypotheses matter.</w:t>
      </w:r>
    </w:p>
    <w:p>
      <w:pPr>
        <w:pStyle w:val="Heading2"/>
        <w:keepNext/>
      </w:pPr>
      <w:r>
        <w:t>5.1 Unscented or extended Kalman path</w:t>
      </w:r>
    </w:p>
    <w:p>
      <w:r>
        <w:rPr>
          <w:i w:val="0"/>
        </w:rPr>
        <w:t>A Gaussian filter is efficient when the posterior is locally unimodal. State sigma points or a Jacobian propagate the prior through q_j(x,u), and the Bernoulli/count likelihood is approximated by moment matching or a Laplace step. This path must report approximation diagnostics, especially when probabilities approach zero or one, the posterior is skewed, or several signs remain possible.</w:t>
      </w:r>
    </w:p>
    <w:p>
      <w:pPr>
        <w:pStyle w:val="Heading2"/>
        <w:keepNext/>
      </w:pPr>
      <w:r>
        <w:t>5.2 Particle or mixture path</w:t>
      </w:r>
    </w:p>
    <w:p>
      <w:r>
        <w:rPr>
          <w:i w:val="0"/>
        </w:rPr>
        <w:t>Particles represent multimodal states and physical hypotheses. Each particle receives weight proportional to the exact detector likelihood, is resampled when effective sample size falls, and may be rejuvenated with MCMC or local proposals. Rao–Blackwellization can keep linear-Gaussian subcomponents analytic. Particle count is adapted according to a verified error criterion, not merely a fixed latency budget.</w:t>
      </w:r>
    </w:p>
    <w:tbl>
      <w:tblPr>
        <w:tblW w:type="auto" w:w="0"/>
        <w:jc w:val="center"/>
        <w:tblLayout w:type="autofit"/>
        <w:tblLook w:firstColumn="1" w:firstRow="1" w:lastColumn="0" w:lastRow="0" w:noHBand="0" w:noVBand="1" w:val="04A0"/>
      </w:tblPr>
      <w:tblGrid>
        <w:gridCol w:w="9638"/>
      </w:tblGrid>
      <w:tr>
        <w:tc>
          <w:tcPr>
            <w:tcW w:type="dxa" w:w="9638"/>
            <w:shd w:fill="F6F8FA"/>
            <w:tcBorders>
              <w:top w:sz="4" w:val="single" w:color="D0D5DD"/>
              <w:left w:sz="4" w:val="single" w:color="D0D5DD"/>
              <w:bottom w:sz="4" w:val="single" w:color="D0D5DD"/>
              <w:right w:sz="4" w:val="single" w:color="D0D5DD"/>
            </w:tcBorders>
            <w:vAlign w:val="center"/>
          </w:tcPr>
          <w:p>
            <w:pPr>
              <w:pStyle w:val="CodeBlock"/>
              <w:ind w:left="85" w:right="85"/>
            </w:pPr>
            <w:r>
              <w:t>for telemetry block Y_t:</w:t>
            </w:r>
          </w:p>
          <w:p>
            <w:pPr>
              <w:pStyle w:val="CodeBlock"/>
              <w:ind w:left="85" w:right="85"/>
            </w:pPr>
            <w:r>
              <w:t xml:space="preserve">    for hypothesis h in physical_hypotheses:</w:t>
            </w:r>
          </w:p>
          <w:p>
            <w:pPr>
              <w:pStyle w:val="CodeBlock"/>
              <w:ind w:left="85" w:right="85"/>
            </w:pPr>
            <w:r>
              <w:t xml:space="preserve">        prior_h = predict_or_receive_prior(h)</w:t>
            </w:r>
          </w:p>
          <w:p>
            <w:pPr>
              <w:pStyle w:val="CodeBlock"/>
              <w:ind w:left="85" w:right="85"/>
            </w:pPr>
            <w:r>
              <w:t xml:space="preserve">        likelihood_h = observation_model(Y_t, controls_t, context_t, h)</w:t>
            </w:r>
          </w:p>
          <w:p>
            <w:pPr>
              <w:pStyle w:val="CodeBlock"/>
              <w:ind w:left="85" w:right="85"/>
            </w:pPr>
            <w:r>
              <w:t xml:space="preserve">        posterior_h = update(prior_h, likelihood_h)</w:t>
            </w:r>
          </w:p>
          <w:p>
            <w:pPr>
              <w:pStyle w:val="CodeBlock"/>
              <w:ind w:left="85" w:right="85"/>
            </w:pPr>
            <w:r>
              <w:t xml:space="preserve">        predictive_h = simulate_detectors(posterior_h, controls_t)</w:t>
            </w:r>
          </w:p>
          <w:p>
            <w:pPr>
              <w:pStyle w:val="CodeBlock"/>
              <w:ind w:left="85" w:right="85"/>
            </w:pPr>
            <w:r>
              <w:t xml:space="preserve">        score_h = posterior_predictive_score(Y_t, predictive_h)</w:t>
            </w:r>
          </w:p>
          <w:p>
            <w:pPr>
              <w:pStyle w:val="CodeBlock"/>
              <w:ind w:left="85" w:right="85"/>
            </w:pPr>
            <w:r>
              <w:t xml:space="preserve">    normalize_hypothesis_probabilities()</w:t>
            </w:r>
          </w:p>
          <w:p>
            <w:pPr>
              <w:pStyle w:val="CodeBlock"/>
              <w:ind w:left="85" w:right="85"/>
            </w:pPr>
            <w:r>
              <w:t xml:space="preserve">    compute_observability_and_unresolved_subspace()</w:t>
            </w:r>
          </w:p>
          <w:p>
            <w:pPr>
              <w:pStyle w:val="CodeBlock"/>
              <w:ind w:left="85" w:right="85"/>
            </w:pPr>
            <w:r>
              <w:t xml:space="preserve">    emit_fast_belief_and_likelihood_object()</w:t>
            </w:r>
          </w:p>
        </w:tc>
      </w:tr>
    </w:tbl>
    <w:p>
      <w:pPr>
        <w:spacing w:after="0"/>
      </w:pPr>
    </w:p>
    <w:p>
      <w:pPr>
        <w:pStyle w:val="Heading1"/>
        <w:keepNext/>
      </w:pPr>
      <w:r>
        <w:t>6. Observability and non-identifiability</w:t>
      </w:r>
    </w:p>
    <w:p>
      <w:r>
        <w:rPr>
          <w:i w:val="0"/>
        </w:rPr>
        <w:t>For parameters x_a and x_b, the local Fisher-information matrix is</w:t>
      </w:r>
    </w:p>
    <w:p>
      <w:pPr>
        <w:pStyle w:val="Equation"/>
      </w:pPr>
      <w:r>
        <w:t>F_ab = E[(∂_a log p(D|x,u))(∂_b log p(D|x,u))].    (7)</w:t>
      </w:r>
    </w:p>
    <w:p>
      <w:r>
        <w:rPr>
          <w:i w:val="0"/>
        </w:rPr>
        <w:t>Small eigenvalues indicate directions that the current detector pattern and interventions cannot resolve. The stage reports the eigenbasis, rank under a declared threshold, condition number and which detectors or perturbations contribute information. When two columns of the sensitivity matrix are nearly collinear, the posterior should be represented in the observable combination and a broad orthogonal direction. Returning two precise but anti-correlated point estimates would be physically misleading and can destabilize Stage 5.</w:t>
      </w:r>
    </w:p>
    <w:p>
      <w:r>
        <w:rPr>
          <w:i w:val="0"/>
        </w:rPr>
        <w:t>Observability can vary with circuit context and control location. A parameter unobservable in an X-basis memory experiment may become visible in Z basis or under a particular antithetic perturbation. The stage therefore calculates expected information for candidate contexts without automatically executing them. Stage 7 decides whether the benefit warrants a targeted experiment.</w:t>
      </w:r>
    </w:p>
    <w:p>
      <w:pPr>
        <w:pStyle w:val="Heading1"/>
        <w:keepNext/>
      </w:pPr>
      <w:r>
        <w:t>7. Physical attribution and equivalence classes</w:t>
      </w:r>
    </w:p>
    <w:p>
      <w:r>
        <w:rPr>
          <w:i w:val="0"/>
        </w:rPr>
        <w:t>Attribution proceeds in layers. The first layer identifies an operational error coordinate. The second compares physical hypotheses that predict different detector signatures or dynamics, such as charge-parity switching and a coupled two-level system. The third, optional layer links the inferred magnitude and transition statistics to device-design expectations. The HDFA paper used a directly estimated qubit-frequency trajectory and compared fluctuation amplitudes and rates with expected charge-parity and TLS behaviour [3]. Native QEC detectors provide a more indirect observation, so attribution probabilities must remain conditional on the response model.</w:t>
      </w:r>
    </w:p>
    <w:p>
      <w:r>
        <w:rPr>
          <w:i w:val="0"/>
        </w:rPr>
        <w:t>If two microscopic causes are observationally and operationally equivalent over the control horizon, they are placed in one equivalence class. This is not a compromise in control performance. If they require different forecasts or corrections, the ambiguity is material and must trigger additional excitation, a different QEC context or a targeted characterization measurement.</w:t>
      </w:r>
    </w:p>
    <w:p>
      <w:pPr>
        <w:pStyle w:val="Heading1"/>
        <w:keepNext/>
      </w:pPr>
      <w:r>
        <w:t>8. Posterior predictive checking and model growth</w:t>
      </w:r>
    </w:p>
    <w:p>
      <w:r>
        <w:rPr>
          <w:i w:val="0"/>
        </w:rPr>
        <w:t>After each update, sample states from the posterior, generate detector statistics under the recorded controls and compare them with the observations. Diagnostics include per-detector calibration, residual spatial structure, pair correlations, run-length distributions and intervention contrasts. A persistent residual pattern indicates an omitted state variable, incorrect graph edge, wrong response curvature or data-quality failure.</w:t>
      </w:r>
    </w:p>
    <w:p>
      <w:r>
        <w:rPr>
          <w:i w:val="0"/>
        </w:rPr>
        <w:t>Model growth is conservative. A new latent variable is proposed only when it explains repeated structured residuals and improves out-of-sample predictive likelihood. It is then subjected to observability analysis. A model that fits better by adding an unobservable parameter is rejected or regularized into an identifiable combination.</w:t>
      </w:r>
    </w:p>
    <w:p>
      <w:pPr>
        <w:pStyle w:val="Heading1"/>
        <w:keepNext/>
      </w:pPr>
      <w:r>
        <w:t>9. Detailed software interface</w:t>
      </w:r>
    </w:p>
    <w:tbl>
      <w:tblPr>
        <w:tblW w:type="auto" w:w="0"/>
        <w:jc w:val="center"/>
        <w:tblLayout w:type="autofit"/>
        <w:tblLook w:firstColumn="1" w:firstRow="1" w:lastColumn="0" w:lastRow="0" w:noHBand="0" w:noVBand="1" w:val="04A0"/>
      </w:tblPr>
      <w:tblGrid>
        <w:gridCol w:w="9638"/>
      </w:tblGrid>
      <w:tr>
        <w:tc>
          <w:tcPr>
            <w:tcW w:type="dxa" w:w="9638"/>
            <w:shd w:fill="F6F8FA"/>
            <w:tcBorders>
              <w:top w:sz="4" w:val="single" w:color="D0D5DD"/>
              <w:left w:sz="4" w:val="single" w:color="D0D5DD"/>
              <w:bottom w:sz="4" w:val="single" w:color="D0D5DD"/>
              <w:right w:sz="4" w:val="single" w:color="D0D5DD"/>
            </w:tcBorders>
            <w:vAlign w:val="center"/>
          </w:tcPr>
          <w:p>
            <w:pPr>
              <w:pStyle w:val="CodeBlock"/>
              <w:ind w:left="85" w:right="85"/>
            </w:pPr>
            <w:r>
              <w:t>ObservationModel:</w:t>
            </w:r>
          </w:p>
          <w:p>
            <w:pPr>
              <w:pStyle w:val="CodeBlock"/>
              <w:ind w:left="85" w:right="85"/>
            </w:pPr>
            <w:r>
              <w:t xml:space="preserve">    version: str</w:t>
            </w:r>
          </w:p>
          <w:p>
            <w:pPr>
              <w:pStyle w:val="CodeBlock"/>
              <w:ind w:left="85" w:right="85"/>
            </w:pPr>
            <w:r>
              <w:t xml:space="preserve">    state_schema: StateSchema</w:t>
            </w:r>
          </w:p>
          <w:p>
            <w:pPr>
              <w:pStyle w:val="CodeBlock"/>
              <w:ind w:left="85" w:right="85"/>
            </w:pPr>
            <w:r>
              <w:t xml:space="preserve">    factor_graph: SparseFactorGraph</w:t>
            </w:r>
          </w:p>
          <w:p>
            <w:pPr>
              <w:pStyle w:val="CodeBlock"/>
              <w:ind w:left="85" w:right="85"/>
            </w:pPr>
            <w:r>
              <w:t xml:space="preserve">    log_likelihood(events_or_counts, state, controls, context) -&gt; float</w:t>
            </w:r>
          </w:p>
          <w:p>
            <w:pPr>
              <w:pStyle w:val="CodeBlock"/>
              <w:ind w:left="85" w:right="85"/>
            </w:pPr>
            <w:r>
              <w:t xml:space="preserve">    grad_log_likelihood(...) -&gt; optional[array]</w:t>
            </w:r>
          </w:p>
          <w:p>
            <w:pPr>
              <w:pStyle w:val="CodeBlock"/>
              <w:ind w:left="85" w:right="85"/>
            </w:pPr>
            <w:r>
              <w:t xml:space="preserve">    sample_detectors(state, controls, context, rng) -&gt; DetectorBlock</w:t>
            </w:r>
          </w:p>
          <w:p>
            <w:pPr>
              <w:pStyle w:val="CodeBlock"/>
              <w:ind w:left="85" w:right="85"/>
            </w:pPr>
            <w:r>
              <w:t xml:space="preserve">    expected_statistics(state_distribution, controls, context) -&gt; Summary</w:t>
            </w:r>
          </w:p>
          <w:p>
            <w:pPr>
              <w:pStyle w:val="CodeBlock"/>
              <w:ind w:left="85" w:right="85"/>
            </w:pPr>
            <w:r>
              <w:t xml:space="preserve">    validity_region: Region</w:t>
            </w:r>
          </w:p>
          <w:p>
            <w:pPr>
              <w:pStyle w:val="CodeBlock"/>
              <w:ind w:left="85" w:right="85"/>
            </w:pPr>
            <w:r>
              <w:t xml:space="preserve">    discrepancy_model: Model</w:t>
            </w:r>
          </w:p>
          <w:p>
            <w:pPr>
              <w:pStyle w:val="CodeBlock"/>
              <w:ind w:left="85" w:right="85"/>
            </w:pPr>
            <w:r/>
          </w:p>
          <w:p>
            <w:pPr>
              <w:pStyle w:val="CodeBlock"/>
              <w:ind w:left="85" w:right="85"/>
            </w:pPr>
            <w:r>
              <w:t>PhysicalInferenceOutput:</w:t>
            </w:r>
          </w:p>
          <w:p>
            <w:pPr>
              <w:pStyle w:val="CodeBlock"/>
              <w:ind w:left="85" w:right="85"/>
            </w:pPr>
            <w:r>
              <w:t xml:space="preserve">    fast_belief: Distribution</w:t>
            </w:r>
          </w:p>
          <w:p>
            <w:pPr>
              <w:pStyle w:val="CodeBlock"/>
              <w:ind w:left="85" w:right="85"/>
            </w:pPr>
            <w:r>
              <w:t xml:space="preserve">    observation_model_ref: ModelID</w:t>
            </w:r>
          </w:p>
          <w:p>
            <w:pPr>
              <w:pStyle w:val="CodeBlock"/>
              <w:ind w:left="85" w:right="85"/>
            </w:pPr>
            <w:r>
              <w:t xml:space="preserve">    likelihood_factor_ref: DataID</w:t>
            </w:r>
          </w:p>
          <w:p>
            <w:pPr>
              <w:pStyle w:val="CodeBlock"/>
              <w:ind w:left="85" w:right="85"/>
            </w:pPr>
            <w:r>
              <w:t xml:space="preserve">    observability: FisherReport</w:t>
            </w:r>
          </w:p>
          <w:p>
            <w:pPr>
              <w:pStyle w:val="CodeBlock"/>
              <w:ind w:left="85" w:right="85"/>
            </w:pPr>
            <w:r>
              <w:t xml:space="preserve">    unresolved_basis: array</w:t>
            </w:r>
          </w:p>
          <w:p>
            <w:pPr>
              <w:pStyle w:val="CodeBlock"/>
              <w:ind w:left="85" w:right="85"/>
            </w:pPr>
            <w:r>
              <w:t xml:space="preserve">    attribution_probs: dict</w:t>
            </w:r>
          </w:p>
          <w:p>
            <w:pPr>
              <w:pStyle w:val="CodeBlock"/>
              <w:ind w:left="85" w:right="85"/>
            </w:pPr>
            <w:r>
              <w:t xml:space="preserve">    predictive_checks: Diagnostics</w:t>
            </w:r>
          </w:p>
          <w:p>
            <w:pPr>
              <w:pStyle w:val="CodeBlock"/>
              <w:ind w:left="85" w:right="85"/>
            </w:pPr>
            <w:r>
              <w:t xml:space="preserve">    validity_flags: set</w:t>
            </w:r>
          </w:p>
        </w:tc>
      </w:tr>
    </w:tbl>
    <w:p>
      <w:pPr>
        <w:spacing w:after="0"/>
      </w:pPr>
    </w:p>
    <w:p>
      <w:r>
        <w:rPr>
          <w:i w:val="0"/>
        </w:rPr>
        <w:t>Model and data references are immutable. Stage 3 must be able to replay the likelihood for alternative segmentations without regenerating or silently changing Stage-2 assumptions. When the response model is updated online, it receives a new version and both old and new likelihoods remain available for audit.</w:t>
      </w:r>
    </w:p>
    <w:p>
      <w:pPr>
        <w:pStyle w:val="Heading1"/>
        <w:keepNext/>
      </w:pPr>
      <w:r>
        <w:t>10. Minimum viable, ideal and speculative implementations</w:t>
      </w:r>
    </w:p>
    <w:tbl>
      <w:tblPr>
        <w:tblW w:type="auto" w:w="0"/>
        <w:jc w:val="center"/>
        <w:tblLayout w:type="fixed"/>
        <w:tblLook w:firstColumn="1" w:firstRow="1" w:lastColumn="0" w:lastRow="0" w:noHBand="0" w:noVBand="1" w:val="04A0"/>
      </w:tblPr>
      <w:tblGrid>
        <w:gridCol w:w="2381"/>
        <w:gridCol w:w="6917"/>
      </w:tblGrid>
      <w:tr>
        <w:trPr>
          <w:cantSplit/>
        </w:trPr>
        <w:tc>
          <w:tcPr>
            <w:tcW w:type="dxa" w:w="4819"/>
            <w:shd w:fill="E8F5EE"/>
            <w:tcBorders>
              <w:top w:sz="4" w:val="single" w:color="D0D5DD"/>
              <w:left w:sz="4" w:val="single" w:color="D0D5DD"/>
              <w:bottom w:sz="4" w:val="single" w:color="D0D5DD"/>
              <w:right w:sz="4" w:val="single" w:color="D0D5DD"/>
            </w:tcBorders>
            <w:vAlign w:val="top"/>
          </w:tcPr>
          <w:p>
            <w:r>
              <w:rPr>
                <w:rFonts w:ascii="Aptos" w:hAnsi="Aptos"/>
                <w:b/>
                <w:color w:val="027A48"/>
                <w:sz w:val="19"/>
              </w:rPr>
              <w:t>Minimum viable implementation</w:t>
            </w:r>
          </w:p>
        </w:tc>
        <w:tc>
          <w:tcPr>
            <w:tcW w:type="dxa" w:w="4819"/>
            <w:shd w:fill="E8F5EE"/>
            <w:tcBorders>
              <w:top w:sz="4" w:val="single" w:color="D0D5DD"/>
              <w:left w:sz="4" w:val="single" w:color="D0D5DD"/>
              <w:bottom w:sz="4" w:val="single" w:color="D0D5DD"/>
              <w:right w:sz="4" w:val="single" w:color="D0D5DD"/>
            </w:tcBorders>
            <w:vAlign w:val="top"/>
          </w:tcPr>
          <w:p>
            <w:r>
              <w:t>The MVP partitions the detector–control graph into local regions and defines one effective detuning and amplitude variable per selected qubit plus one effective entangling-phase variable per selected edge. Sparse quadratic-logit response models are learned from Stage-0 antithetic sweeps and updated online. Exact binomial or event likelihoods feed a multimodal unscented/particle filter, Fisher-rank diagnostics and posterior predictive checks. Crucially, the MVP exports the observation likelihood to Stage 3; its filtered trajectory is not the sole input to HDFA.</w:t>
            </w:r>
          </w:p>
        </w:tc>
      </w:tr>
      <w:tr>
        <w:trPr>
          <w:cantSplit/>
        </w:trPr>
        <w:tc>
          <w:tcPr>
            <w:tcW w:type="dxa" w:w="4819"/>
            <w:shd w:fill="EAF2FF"/>
            <w:tcBorders>
              <w:top w:sz="4" w:val="single" w:color="D0D5DD"/>
              <w:left w:sz="4" w:val="single" w:color="D0D5DD"/>
              <w:bottom w:sz="4" w:val="single" w:color="D0D5DD"/>
              <w:right w:sz="4" w:val="single" w:color="D0D5DD"/>
            </w:tcBorders>
            <w:vAlign w:val="top"/>
          </w:tcPr>
          <w:p>
            <w:r>
              <w:rPr>
                <w:rFonts w:ascii="Aptos" w:hAnsi="Aptos"/>
                <w:b/>
                <w:color w:val="2F6FDB"/>
                <w:sz w:val="19"/>
              </w:rPr>
              <w:t>Ideal full implementation</w:t>
            </w:r>
          </w:p>
        </w:tc>
        <w:tc>
          <w:tcPr>
            <w:tcW w:type="dxa" w:w="4819"/>
            <w:shd w:fill="EAF2FF"/>
            <w:tcBorders>
              <w:top w:sz="4" w:val="single" w:color="D0D5DD"/>
              <w:left w:sz="4" w:val="single" w:color="D0D5DD"/>
              <w:bottom w:sz="4" w:val="single" w:color="D0D5DD"/>
              <w:right w:sz="4" w:val="single" w:color="D0D5DD"/>
            </w:tcBorders>
            <w:vAlign w:val="top"/>
          </w:tcPr>
          <w:p>
            <w:r>
              <w:t>The ideal implementation uses a calibrated sparse correlated detector-error model, hierarchical local/common physical states, control-dependent response curvature, simulator-informed priors, online graph revision, low-rank discrepancy processes and amortized proposals checked by exact likelihood. It supports joint inference with Stage 3 and offline smoothing, and it resolves microscopic causes only where detector contexts and dynamics make them identifiable.</w:t>
            </w:r>
          </w:p>
        </w:tc>
      </w:tr>
      <w:tr>
        <w:trPr>
          <w:cantSplit/>
        </w:trPr>
        <w:tc>
          <w:tcPr>
            <w:tcW w:type="dxa" w:w="4819"/>
            <w:shd w:fill="F1ECFF"/>
            <w:tcBorders>
              <w:top w:sz="4" w:val="single" w:color="D0D5DD"/>
              <w:left w:sz="4" w:val="single" w:color="D0D5DD"/>
              <w:bottom w:sz="4" w:val="single" w:color="D0D5DD"/>
              <w:right w:sz="4" w:val="single" w:color="D0D5DD"/>
            </w:tcBorders>
            <w:vAlign w:val="top"/>
          </w:tcPr>
          <w:p>
            <w:r>
              <w:rPr>
                <w:rFonts w:ascii="Aptos" w:hAnsi="Aptos"/>
                <w:b/>
                <w:color w:val="6941C6"/>
                <w:sz w:val="19"/>
              </w:rPr>
              <w:t>Plausible extension — may fail</w:t>
            </w:r>
          </w:p>
        </w:tc>
        <w:tc>
          <w:tcPr>
            <w:tcW w:type="dxa" w:w="4819"/>
            <w:shd w:fill="F1ECFF"/>
            <w:tcBorders>
              <w:top w:sz="4" w:val="single" w:color="D0D5DD"/>
              <w:left w:sz="4" w:val="single" w:color="D0D5DD"/>
              <w:bottom w:sz="4" w:val="single" w:color="D0D5DD"/>
              <w:right w:sz="4" w:val="single" w:color="D0D5DD"/>
            </w:tcBorders>
            <w:vAlign w:val="top"/>
          </w:tcPr>
          <w:p>
            <w:r>
              <w:t>A differentiable pulse-and-device digital twin could infer microscopic fluctuator parameters directly from native detector events. It may fail because the inverse map is many-to-one, the twin omits device-specific defects, or computational cost prevents real-time uncertainty quantification. It should act as a hypothesis/proposal generator and never suppress the explicit unresolved subspace.</w:t>
            </w:r>
          </w:p>
        </w:tc>
      </w:tr>
    </w:tbl>
    <w:p>
      <w:pPr>
        <w:spacing w:after="0"/>
      </w:pPr>
    </w:p>
    <w:p>
      <w:pPr>
        <w:pStyle w:val="Heading1"/>
        <w:keepNext/>
      </w:pPr>
      <w:r>
        <w:t>11. Failure mechanisms and required amendments</w:t>
      </w:r>
    </w:p>
    <w:tbl>
      <w:tblPr>
        <w:tblW w:type="auto" w:w="0"/>
        <w:jc w:val="center"/>
        <w:tblLayout w:type="fixed"/>
        <w:tblLook w:firstColumn="1" w:firstRow="1" w:lastColumn="0" w:lastRow="0" w:noHBand="0" w:noVBand="1" w:val="04A0"/>
      </w:tblPr>
      <w:tblGrid>
        <w:gridCol w:w="3213"/>
        <w:gridCol w:w="3213"/>
        <w:gridCol w:w="3213"/>
      </w:tblGrid>
      <w:tr>
        <w:trPr>
          <w:tblHeader w:val="true"/>
        </w:trPr>
        <w:tc>
          <w:tcPr>
            <w:tcW w:type="dxa" w:w="2098"/>
            <w:shd w:fill="1F2D3D"/>
            <w:tcBorders>
              <w:top w:sz="4" w:val="single" w:color="FFFFFF"/>
              <w:left w:sz="4" w:val="single" w:color="FFFFFF"/>
              <w:bottom w:sz="4" w:val="single" w:color="FFFFFF"/>
              <w:right w:sz="4" w:val="single" w:color="FFFFFF"/>
            </w:tcBorders>
            <w:vAlign w:val="center"/>
          </w:tcPr>
          <w:p>
            <w:r>
              <w:rPr>
                <w:rFonts w:ascii="Aptos" w:hAnsi="Aptos"/>
                <w:b/>
                <w:color w:val="FFFFFF"/>
                <w:sz w:val="15"/>
              </w:rPr>
              <w:t>Failure mechanism</w:t>
            </w:r>
          </w:p>
        </w:tc>
        <w:tc>
          <w:tcPr>
            <w:tcW w:type="dxa" w:w="2835"/>
            <w:shd w:fill="1F2D3D"/>
            <w:tcBorders>
              <w:top w:sz="4" w:val="single" w:color="FFFFFF"/>
              <w:left w:sz="4" w:val="single" w:color="FFFFFF"/>
              <w:bottom w:sz="4" w:val="single" w:color="FFFFFF"/>
              <w:right w:sz="4" w:val="single" w:color="FFFFFF"/>
            </w:tcBorders>
            <w:vAlign w:val="center"/>
          </w:tcPr>
          <w:p>
            <w:r>
              <w:rPr>
                <w:rFonts w:ascii="Aptos" w:hAnsi="Aptos"/>
                <w:b/>
                <w:color w:val="FFFFFF"/>
                <w:sz w:val="15"/>
              </w:rPr>
              <w:t>Mechanism</w:t>
            </w:r>
          </w:p>
        </w:tc>
        <w:tc>
          <w:tcPr>
            <w:tcW w:type="dxa" w:w="4422"/>
            <w:shd w:fill="1F2D3D"/>
            <w:tcBorders>
              <w:top w:sz="4" w:val="single" w:color="FFFFFF"/>
              <w:left w:sz="4" w:val="single" w:color="FFFFFF"/>
              <w:bottom w:sz="4" w:val="single" w:color="FFFFFF"/>
              <w:right w:sz="4" w:val="single" w:color="FFFFFF"/>
            </w:tcBorders>
            <w:vAlign w:val="center"/>
          </w:tcPr>
          <w:p>
            <w:r>
              <w:rPr>
                <w:rFonts w:ascii="Aptos" w:hAnsi="Aptos"/>
                <w:b/>
                <w:color w:val="FFFFFF"/>
                <w:sz w:val="15"/>
              </w:rPr>
              <w:t>Non-compromising amendment</w:t>
            </w:r>
          </w:p>
        </w:tc>
      </w:tr>
      <w:tr>
        <w:trPr>
          <w:cantSplit/>
        </w:trPr>
        <w:tc>
          <w:tcPr>
            <w:tcW w:type="dxa" w:w="2098"/>
            <w:tcBorders>
              <w:top w:sz="2" w:val="single" w:color="D0D5DD"/>
              <w:left w:sz="2" w:val="single" w:color="D0D5DD"/>
              <w:bottom w:sz="2" w:val="single" w:color="D0D5DD"/>
              <w:right w:sz="2" w:val="single" w:color="D0D5DD"/>
            </w:tcBorders>
            <w:vAlign w:val="top"/>
          </w:tcPr>
          <w:p>
            <w:r>
              <w:rPr>
                <w:rFonts w:ascii="Cambria" w:hAnsi="Cambria"/>
                <w:sz w:val="15"/>
              </w:rPr>
              <w:t>Sign ambiguity near an optimum</w:t>
            </w:r>
          </w:p>
        </w:tc>
        <w:tc>
          <w:tcPr>
            <w:tcW w:type="dxa" w:w="2835"/>
            <w:tcBorders>
              <w:top w:sz="2" w:val="single" w:color="D0D5DD"/>
              <w:left w:sz="2" w:val="single" w:color="D0D5DD"/>
              <w:bottom w:sz="2" w:val="single" w:color="D0D5DD"/>
              <w:right w:sz="2" w:val="single" w:color="D0D5DD"/>
            </w:tcBorders>
            <w:vAlign w:val="top"/>
          </w:tcPr>
          <w:p>
            <w:r>
              <w:rPr>
                <w:rFonts w:ascii="Cambria" w:hAnsi="Cambria"/>
                <w:sz w:val="15"/>
              </w:rPr>
              <w:t>Detector rate is approximately even in the physical error.</w:t>
            </w:r>
          </w:p>
        </w:tc>
        <w:tc>
          <w:tcPr>
            <w:tcW w:type="dxa" w:w="4422"/>
            <w:tcBorders>
              <w:top w:sz="2" w:val="single" w:color="D0D5DD"/>
              <w:left w:sz="2" w:val="single" w:color="D0D5DD"/>
              <w:bottom w:sz="2" w:val="single" w:color="D0D5DD"/>
              <w:right w:sz="2" w:val="single" w:color="D0D5DD"/>
            </w:tcBorders>
            <w:vAlign w:val="top"/>
          </w:tcPr>
          <w:p>
            <w:r>
              <w:rPr>
                <w:rFonts w:ascii="Cambria" w:hAnsi="Cambria"/>
                <w:sz w:val="15"/>
              </w:rPr>
              <w:t>Use existing antithetic RL perturbations, phase-sensitive contexts or safe persistent excitation; represent both signs until evidence resolves them. Point-estimate sign guessing is forbidden.</w:t>
            </w:r>
          </w:p>
        </w:tc>
      </w:tr>
      <w:tr>
        <w:trPr>
          <w:cantSplit/>
        </w:trPr>
        <w:tc>
          <w:tcPr>
            <w:tcW w:type="dxa" w:w="2098"/>
            <w:shd w:fill="F8FAFC"/>
            <w:tcBorders>
              <w:top w:sz="2" w:val="single" w:color="D0D5DD"/>
              <w:left w:sz="2" w:val="single" w:color="D0D5DD"/>
              <w:bottom w:sz="2" w:val="single" w:color="D0D5DD"/>
              <w:right w:sz="2" w:val="single" w:color="D0D5DD"/>
            </w:tcBorders>
            <w:vAlign w:val="top"/>
          </w:tcPr>
          <w:p>
            <w:r>
              <w:rPr>
                <w:rFonts w:ascii="Cambria" w:hAnsi="Cambria"/>
                <w:sz w:val="15"/>
              </w:rPr>
              <w:t>Two physical parameters are confounded</w:t>
            </w:r>
          </w:p>
        </w:tc>
        <w:tc>
          <w:tcPr>
            <w:tcW w:type="dxa" w:w="2835"/>
            <w:shd w:fill="F8FAFC"/>
            <w:tcBorders>
              <w:top w:sz="2" w:val="single" w:color="D0D5DD"/>
              <w:left w:sz="2" w:val="single" w:color="D0D5DD"/>
              <w:bottom w:sz="2" w:val="single" w:color="D0D5DD"/>
              <w:right w:sz="2" w:val="single" w:color="D0D5DD"/>
            </w:tcBorders>
            <w:vAlign w:val="top"/>
          </w:tcPr>
          <w:p>
            <w:r>
              <w:rPr>
                <w:rFonts w:ascii="Cambria" w:hAnsi="Cambria"/>
                <w:sz w:val="15"/>
              </w:rPr>
              <w:t>Sensitivity columns are collinear in the current circuit.</w:t>
            </w:r>
          </w:p>
        </w:tc>
        <w:tc>
          <w:tcPr>
            <w:tcW w:type="dxa" w:w="4422"/>
            <w:shd w:fill="F8FAFC"/>
            <w:tcBorders>
              <w:top w:sz="2" w:val="single" w:color="D0D5DD"/>
              <w:left w:sz="2" w:val="single" w:color="D0D5DD"/>
              <w:bottom w:sz="2" w:val="single" w:color="D0D5DD"/>
              <w:right w:sz="2" w:val="single" w:color="D0D5DD"/>
            </w:tcBorders>
            <w:vAlign w:val="top"/>
          </w:tcPr>
          <w:p>
            <w:r>
              <w:rPr>
                <w:rFonts w:ascii="Cambria" w:hAnsi="Cambria"/>
                <w:sz w:val="15"/>
              </w:rPr>
              <w:t>Rotate to the observable combination, retain a broad null direction, design an informative perturbation/context, or run targeted characterization if different controls are required. Extra measurement is an explicit interruption cost.</w:t>
            </w:r>
          </w:p>
        </w:tc>
      </w:tr>
      <w:tr>
        <w:trPr>
          <w:cantSplit/>
        </w:trPr>
        <w:tc>
          <w:tcPr>
            <w:tcW w:type="dxa" w:w="2098"/>
            <w:tcBorders>
              <w:top w:sz="2" w:val="single" w:color="D0D5DD"/>
              <w:left w:sz="2" w:val="single" w:color="D0D5DD"/>
              <w:bottom w:sz="2" w:val="single" w:color="D0D5DD"/>
              <w:right w:sz="2" w:val="single" w:color="D0D5DD"/>
            </w:tcBorders>
            <w:vAlign w:val="top"/>
          </w:tcPr>
          <w:p>
            <w:r>
              <w:rPr>
                <w:rFonts w:ascii="Cambria" w:hAnsi="Cambria"/>
                <w:sz w:val="15"/>
              </w:rPr>
              <w:t>Likelihood assumes independent detectors</w:t>
            </w:r>
          </w:p>
        </w:tc>
        <w:tc>
          <w:tcPr>
            <w:tcW w:type="dxa" w:w="2835"/>
            <w:tcBorders>
              <w:top w:sz="2" w:val="single" w:color="D0D5DD"/>
              <w:left w:sz="2" w:val="single" w:color="D0D5DD"/>
              <w:bottom w:sz="2" w:val="single" w:color="D0D5DD"/>
              <w:right w:sz="2" w:val="single" w:color="D0D5DD"/>
            </w:tcBorders>
            <w:vAlign w:val="top"/>
          </w:tcPr>
          <w:p>
            <w:r>
              <w:rPr>
                <w:rFonts w:ascii="Cambria" w:hAnsi="Cambria"/>
                <w:sz w:val="15"/>
              </w:rPr>
              <w:t>Correlated faults create overconfident posteriors.</w:t>
            </w:r>
          </w:p>
        </w:tc>
        <w:tc>
          <w:tcPr>
            <w:tcW w:type="dxa" w:w="4422"/>
            <w:tcBorders>
              <w:top w:sz="2" w:val="single" w:color="D0D5DD"/>
              <w:left w:sz="2" w:val="single" w:color="D0D5DD"/>
              <w:bottom w:sz="2" w:val="single" w:color="D0D5DD"/>
              <w:right w:sz="2" w:val="single" w:color="D0D5DD"/>
            </w:tcBorders>
            <w:vAlign w:val="top"/>
          </w:tcPr>
          <w:p>
            <w:r>
              <w:rPr>
                <w:rFonts w:ascii="Cambria" w:hAnsi="Cambria"/>
                <w:sz w:val="15"/>
              </w:rPr>
              <w:t>Add sparse pair/hyperedge factors or a latent common factor; calibrate with posterior predictive correlation tests. Independent factors are retained only where closed-loop equivalence is demonstrated.</w:t>
            </w:r>
          </w:p>
        </w:tc>
      </w:tr>
      <w:tr>
        <w:trPr>
          <w:cantSplit/>
        </w:trPr>
        <w:tc>
          <w:tcPr>
            <w:tcW w:type="dxa" w:w="2098"/>
            <w:shd w:fill="F8FAFC"/>
            <w:tcBorders>
              <w:top w:sz="2" w:val="single" w:color="D0D5DD"/>
              <w:left w:sz="2" w:val="single" w:color="D0D5DD"/>
              <w:bottom w:sz="2" w:val="single" w:color="D0D5DD"/>
              <w:right w:sz="2" w:val="single" w:color="D0D5DD"/>
            </w:tcBorders>
            <w:vAlign w:val="top"/>
          </w:tcPr>
          <w:p>
            <w:r>
              <w:rPr>
                <w:rFonts w:ascii="Cambria" w:hAnsi="Cambria"/>
                <w:sz w:val="15"/>
              </w:rPr>
              <w:t>Response map extrapolates</w:t>
            </w:r>
          </w:p>
        </w:tc>
        <w:tc>
          <w:tcPr>
            <w:tcW w:type="dxa" w:w="2835"/>
            <w:shd w:fill="F8FAFC"/>
            <w:tcBorders>
              <w:top w:sz="2" w:val="single" w:color="D0D5DD"/>
              <w:left w:sz="2" w:val="single" w:color="D0D5DD"/>
              <w:bottom w:sz="2" w:val="single" w:color="D0D5DD"/>
              <w:right w:sz="2" w:val="single" w:color="D0D5DD"/>
            </w:tcBorders>
            <w:vAlign w:val="top"/>
          </w:tcPr>
          <w:p>
            <w:r>
              <w:rPr>
                <w:rFonts w:ascii="Cambria" w:hAnsi="Cambria"/>
                <w:sz w:val="15"/>
              </w:rPr>
              <w:t>MPC/RL moves outside Stage-0 calibration region.</w:t>
            </w:r>
          </w:p>
        </w:tc>
        <w:tc>
          <w:tcPr>
            <w:tcW w:type="dxa" w:w="4422"/>
            <w:shd w:fill="F8FAFC"/>
            <w:tcBorders>
              <w:top w:sz="2" w:val="single" w:color="D0D5DD"/>
              <w:left w:sz="2" w:val="single" w:color="D0D5DD"/>
              <w:bottom w:sz="2" w:val="single" w:color="D0D5DD"/>
              <w:right w:sz="2" w:val="single" w:color="D0D5DD"/>
            </w:tcBorders>
            <w:vAlign w:val="top"/>
          </w:tcPr>
          <w:p>
            <w:r>
              <w:rPr>
                <w:rFonts w:ascii="Cambria" w:hAnsi="Cambria"/>
                <w:sz w:val="15"/>
              </w:rPr>
              <w:t>Track validity radii, inflate discrepancy, reject extrapolative actions and re-estimate the local model. A wider unvalidated action range is not allowed for convenience.</w:t>
            </w:r>
          </w:p>
        </w:tc>
      </w:tr>
      <w:tr>
        <w:trPr>
          <w:cantSplit/>
        </w:trPr>
        <w:tc>
          <w:tcPr>
            <w:tcW w:type="dxa" w:w="2098"/>
            <w:tcBorders>
              <w:top w:sz="2" w:val="single" w:color="D0D5DD"/>
              <w:left w:sz="2" w:val="single" w:color="D0D5DD"/>
              <w:bottom w:sz="2" w:val="single" w:color="D0D5DD"/>
              <w:right w:sz="2" w:val="single" w:color="D0D5DD"/>
            </w:tcBorders>
            <w:vAlign w:val="top"/>
          </w:tcPr>
          <w:p>
            <w:r>
              <w:rPr>
                <w:rFonts w:ascii="Cambria" w:hAnsi="Cambria"/>
                <w:sz w:val="15"/>
              </w:rPr>
              <w:t>Posterior collapses under model mismatch</w:t>
            </w:r>
          </w:p>
        </w:tc>
        <w:tc>
          <w:tcPr>
            <w:tcW w:type="dxa" w:w="2835"/>
            <w:tcBorders>
              <w:top w:sz="2" w:val="single" w:color="D0D5DD"/>
              <w:left w:sz="2" w:val="single" w:color="D0D5DD"/>
              <w:bottom w:sz="2" w:val="single" w:color="D0D5DD"/>
              <w:right w:sz="2" w:val="single" w:color="D0D5DD"/>
            </w:tcBorders>
            <w:vAlign w:val="top"/>
          </w:tcPr>
          <w:p>
            <w:r>
              <w:rPr>
                <w:rFonts w:ascii="Cambria" w:hAnsi="Cambria"/>
                <w:sz w:val="15"/>
              </w:rPr>
              <w:t>A narrow wrong model attributes every residual to x.</w:t>
            </w:r>
          </w:p>
        </w:tc>
        <w:tc>
          <w:tcPr>
            <w:tcW w:type="dxa" w:w="4422"/>
            <w:tcBorders>
              <w:top w:sz="2" w:val="single" w:color="D0D5DD"/>
              <w:left w:sz="2" w:val="single" w:color="D0D5DD"/>
              <w:bottom w:sz="2" w:val="single" w:color="D0D5DD"/>
              <w:right w:sz="2" w:val="single" w:color="D0D5DD"/>
            </w:tcBorders>
            <w:vAlign w:val="top"/>
          </w:tcPr>
          <w:p>
            <w:r>
              <w:rPr>
                <w:rFonts w:ascii="Cambria" w:hAnsi="Cambria"/>
                <w:sz w:val="15"/>
              </w:rPr>
              <w:t>Use discrepancy terms, heavy-tailed likelihoods, mixture hypotheses, tempering and predictive checks; supervisor reverts to a validated policy on OOD evidence.</w:t>
            </w:r>
          </w:p>
        </w:tc>
      </w:tr>
      <w:tr>
        <w:trPr>
          <w:cantSplit/>
        </w:trPr>
        <w:tc>
          <w:tcPr>
            <w:tcW w:type="dxa" w:w="2098"/>
            <w:shd w:fill="F8FAFC"/>
            <w:tcBorders>
              <w:top w:sz="2" w:val="single" w:color="D0D5DD"/>
              <w:left w:sz="2" w:val="single" w:color="D0D5DD"/>
              <w:bottom w:sz="2" w:val="single" w:color="D0D5DD"/>
              <w:right w:sz="2" w:val="single" w:color="D0D5DD"/>
            </w:tcBorders>
            <w:vAlign w:val="top"/>
          </w:tcPr>
          <w:p>
            <w:r>
              <w:rPr>
                <w:rFonts w:ascii="Cambria" w:hAnsi="Cambria"/>
                <w:sz w:val="15"/>
              </w:rPr>
              <w:t>Particle degeneracy or Gaussian failure</w:t>
            </w:r>
          </w:p>
        </w:tc>
        <w:tc>
          <w:tcPr>
            <w:tcW w:type="dxa" w:w="2835"/>
            <w:shd w:fill="F8FAFC"/>
            <w:tcBorders>
              <w:top w:sz="2" w:val="single" w:color="D0D5DD"/>
              <w:left w:sz="2" w:val="single" w:color="D0D5DD"/>
              <w:bottom w:sz="2" w:val="single" w:color="D0D5DD"/>
              <w:right w:sz="2" w:val="single" w:color="D0D5DD"/>
            </w:tcBorders>
            <w:vAlign w:val="top"/>
          </w:tcPr>
          <w:p>
            <w:r>
              <w:rPr>
                <w:rFonts w:ascii="Cambria" w:hAnsi="Cambria"/>
                <w:sz w:val="15"/>
              </w:rPr>
              <w:t>Likelihood is sharp or multimodal.</w:t>
            </w:r>
          </w:p>
        </w:tc>
        <w:tc>
          <w:tcPr>
            <w:tcW w:type="dxa" w:w="4422"/>
            <w:shd w:fill="F8FAFC"/>
            <w:tcBorders>
              <w:top w:sz="2" w:val="single" w:color="D0D5DD"/>
              <w:left w:sz="2" w:val="single" w:color="D0D5DD"/>
              <w:bottom w:sz="2" w:val="single" w:color="D0D5DD"/>
              <w:right w:sz="2" w:val="single" w:color="D0D5DD"/>
            </w:tcBorders>
            <w:vAlign w:val="top"/>
          </w:tcPr>
          <w:p>
            <w:r>
              <w:rPr>
                <w:rFonts w:ascii="Cambria" w:hAnsi="Cambria"/>
                <w:sz w:val="15"/>
              </w:rPr>
              <w:t>Rao–Blackwellize, use guided proposals, rejuvenation and adaptive particle counts; compare online approximation to offline smoothing. Increase compute if necessary.</w:t>
            </w:r>
          </w:p>
        </w:tc>
      </w:tr>
      <w:tr>
        <w:trPr>
          <w:cantSplit/>
        </w:trPr>
        <w:tc>
          <w:tcPr>
            <w:tcW w:type="dxa" w:w="2098"/>
            <w:tcBorders>
              <w:top w:sz="2" w:val="single" w:color="D0D5DD"/>
              <w:left w:sz="2" w:val="single" w:color="D0D5DD"/>
              <w:bottom w:sz="2" w:val="single" w:color="D0D5DD"/>
              <w:right w:sz="2" w:val="single" w:color="D0D5DD"/>
            </w:tcBorders>
            <w:vAlign w:val="top"/>
          </w:tcPr>
          <w:p>
            <w:r>
              <w:rPr>
                <w:rFonts w:ascii="Cambria" w:hAnsi="Cambria"/>
                <w:sz w:val="15"/>
              </w:rPr>
              <w:t>State dimension grows without information</w:t>
            </w:r>
          </w:p>
        </w:tc>
        <w:tc>
          <w:tcPr>
            <w:tcW w:type="dxa" w:w="2835"/>
            <w:tcBorders>
              <w:top w:sz="2" w:val="single" w:color="D0D5DD"/>
              <w:left w:sz="2" w:val="single" w:color="D0D5DD"/>
              <w:bottom w:sz="2" w:val="single" w:color="D0D5DD"/>
              <w:right w:sz="2" w:val="single" w:color="D0D5DD"/>
            </w:tcBorders>
            <w:vAlign w:val="top"/>
          </w:tcPr>
          <w:p>
            <w:r>
              <w:rPr>
                <w:rFonts w:ascii="Cambria" w:hAnsi="Cambria"/>
                <w:sz w:val="15"/>
              </w:rPr>
              <w:t>Adding physical labels creates unstable inverse solutions.</w:t>
            </w:r>
          </w:p>
        </w:tc>
        <w:tc>
          <w:tcPr>
            <w:tcW w:type="dxa" w:w="4422"/>
            <w:tcBorders>
              <w:top w:sz="2" w:val="single" w:color="D0D5DD"/>
              <w:left w:sz="2" w:val="single" w:color="D0D5DD"/>
              <w:bottom w:sz="2" w:val="single" w:color="D0D5DD"/>
              <w:right w:sz="2" w:val="single" w:color="D0D5DD"/>
            </w:tcBorders>
            <w:vAlign w:val="top"/>
          </w:tcPr>
          <w:p>
            <w:r>
              <w:rPr>
                <w:rFonts w:ascii="Cambria" w:hAnsi="Cambria"/>
                <w:sz w:val="15"/>
              </w:rPr>
              <w:t>Require out-of-sample predictive improvement and observability; merge indistinguishable variables into operational equivalence classes.</w:t>
            </w:r>
          </w:p>
        </w:tc>
      </w:tr>
      <w:tr>
        <w:trPr>
          <w:cantSplit/>
        </w:trPr>
        <w:tc>
          <w:tcPr>
            <w:tcW w:type="dxa" w:w="2098"/>
            <w:shd w:fill="F8FAFC"/>
            <w:tcBorders>
              <w:top w:sz="2" w:val="single" w:color="D0D5DD"/>
              <w:left w:sz="2" w:val="single" w:color="D0D5DD"/>
              <w:bottom w:sz="2" w:val="single" w:color="D0D5DD"/>
              <w:right w:sz="2" w:val="single" w:color="D0D5DD"/>
            </w:tcBorders>
            <w:vAlign w:val="top"/>
          </w:tcPr>
          <w:p>
            <w:r>
              <w:rPr>
                <w:rFonts w:ascii="Cambria" w:hAnsi="Cambria"/>
                <w:sz w:val="15"/>
              </w:rPr>
              <w:t>Control metadata are uncertain</w:t>
            </w:r>
          </w:p>
        </w:tc>
        <w:tc>
          <w:tcPr>
            <w:tcW w:type="dxa" w:w="2835"/>
            <w:shd w:fill="F8FAFC"/>
            <w:tcBorders>
              <w:top w:sz="2" w:val="single" w:color="D0D5DD"/>
              <w:left w:sz="2" w:val="single" w:color="D0D5DD"/>
              <w:bottom w:sz="2" w:val="single" w:color="D0D5DD"/>
              <w:right w:sz="2" w:val="single" w:color="D0D5DD"/>
            </w:tcBorders>
            <w:vAlign w:val="top"/>
          </w:tcPr>
          <w:p>
            <w:r>
              <w:rPr>
                <w:rFonts w:ascii="Cambria" w:hAnsi="Cambria"/>
                <w:sz w:val="15"/>
              </w:rPr>
              <w:t>Unknown activation timing biases inferred state.</w:t>
            </w:r>
          </w:p>
        </w:tc>
        <w:tc>
          <w:tcPr>
            <w:tcW w:type="dxa" w:w="4422"/>
            <w:shd w:fill="F8FAFC"/>
            <w:tcBorders>
              <w:top w:sz="2" w:val="single" w:color="D0D5DD"/>
              <w:left w:sz="2" w:val="single" w:color="D0D5DD"/>
              <w:bottom w:sz="2" w:val="single" w:color="D0D5DD"/>
              <w:right w:sz="2" w:val="single" w:color="D0D5DD"/>
            </w:tcBorders>
            <w:vAlign w:val="top"/>
          </w:tcPr>
          <w:p>
            <w:r>
              <w:rPr>
                <w:rFonts w:ascii="Cambria" w:hAnsi="Cambria"/>
                <w:sz w:val="15"/>
              </w:rPr>
              <w:t>Marginalize over control uncertainty or exclude ambiguous intervals; do not use nominal software settings as if physically confirmed.</w:t>
            </w:r>
          </w:p>
        </w:tc>
      </w:tr>
      <w:tr>
        <w:trPr>
          <w:cantSplit/>
        </w:trPr>
        <w:tc>
          <w:tcPr>
            <w:tcW w:type="dxa" w:w="2098"/>
            <w:tcBorders>
              <w:top w:sz="2" w:val="single" w:color="D0D5DD"/>
              <w:left w:sz="2" w:val="single" w:color="D0D5DD"/>
              <w:bottom w:sz="2" w:val="single" w:color="D0D5DD"/>
              <w:right w:sz="2" w:val="single" w:color="D0D5DD"/>
            </w:tcBorders>
            <w:vAlign w:val="top"/>
          </w:tcPr>
          <w:p>
            <w:r>
              <w:rPr>
                <w:rFonts w:ascii="Cambria" w:hAnsi="Cambria"/>
                <w:sz w:val="15"/>
              </w:rPr>
              <w:t>Physical dynamics are mistakenly imposed here</w:t>
            </w:r>
          </w:p>
        </w:tc>
        <w:tc>
          <w:tcPr>
            <w:tcW w:type="dxa" w:w="2835"/>
            <w:tcBorders>
              <w:top w:sz="2" w:val="single" w:color="D0D5DD"/>
              <w:left w:sz="2" w:val="single" w:color="D0D5DD"/>
              <w:bottom w:sz="2" w:val="single" w:color="D0D5DD"/>
              <w:right w:sz="2" w:val="single" w:color="D0D5DD"/>
            </w:tcBorders>
            <w:vAlign w:val="top"/>
          </w:tcPr>
          <w:p>
            <w:r>
              <w:rPr>
                <w:rFonts w:ascii="Cambria" w:hAnsi="Cambria"/>
                <w:sz w:val="15"/>
              </w:rPr>
              <w:t>A strong temporal prior hides a change later meant for Stage 3.</w:t>
            </w:r>
          </w:p>
        </w:tc>
        <w:tc>
          <w:tcPr>
            <w:tcW w:type="dxa" w:w="4422"/>
            <w:tcBorders>
              <w:top w:sz="2" w:val="single" w:color="D0D5DD"/>
              <w:left w:sz="2" w:val="single" w:color="D0D5DD"/>
              <w:bottom w:sz="2" w:val="single" w:color="D0D5DD"/>
              <w:right w:sz="2" w:val="single" w:color="D0D5DD"/>
            </w:tcBorders>
            <w:vAlign w:val="top"/>
          </w:tcPr>
          <w:p>
            <w:r>
              <w:rPr>
                <w:rFonts w:ascii="Cambria" w:hAnsi="Cambria"/>
                <w:sz w:val="15"/>
              </w:rPr>
              <w:t>Use weak diagnostic dynamics in the fast filter and expose the raw likelihood. Stage 3 owns model selection and changepoints.</w:t>
            </w:r>
          </w:p>
        </w:tc>
      </w:tr>
      <w:tr>
        <w:trPr>
          <w:cantSplit/>
        </w:trPr>
        <w:tc>
          <w:tcPr>
            <w:tcW w:type="dxa" w:w="2098"/>
            <w:shd w:fill="F8FAFC"/>
            <w:tcBorders>
              <w:top w:sz="2" w:val="single" w:color="D0D5DD"/>
              <w:left w:sz="2" w:val="single" w:color="D0D5DD"/>
              <w:bottom w:sz="2" w:val="single" w:color="D0D5DD"/>
              <w:right w:sz="2" w:val="single" w:color="D0D5DD"/>
            </w:tcBorders>
            <w:vAlign w:val="top"/>
          </w:tcPr>
          <w:p>
            <w:r>
              <w:rPr>
                <w:rFonts w:ascii="Cambria" w:hAnsi="Cambria"/>
                <w:sz w:val="15"/>
              </w:rPr>
              <w:t>Inference latency exceeds process timescale</w:t>
            </w:r>
          </w:p>
        </w:tc>
        <w:tc>
          <w:tcPr>
            <w:tcW w:type="dxa" w:w="2835"/>
            <w:shd w:fill="F8FAFC"/>
            <w:tcBorders>
              <w:top w:sz="2" w:val="single" w:color="D0D5DD"/>
              <w:left w:sz="2" w:val="single" w:color="D0D5DD"/>
              <w:bottom w:sz="2" w:val="single" w:color="D0D5DD"/>
              <w:right w:sz="2" w:val="single" w:color="D0D5DD"/>
            </w:tcBorders>
            <w:vAlign w:val="top"/>
          </w:tcPr>
          <w:p>
            <w:r>
              <w:rPr>
                <w:rFonts w:ascii="Cambria" w:hAnsi="Cambria"/>
                <w:sz w:val="15"/>
              </w:rPr>
              <w:t>State estimate arrives after the optimum moves.</w:t>
            </w:r>
          </w:p>
        </w:tc>
        <w:tc>
          <w:tcPr>
            <w:tcW w:type="dxa" w:w="4422"/>
            <w:shd w:fill="F8FAFC"/>
            <w:tcBorders>
              <w:top w:sz="2" w:val="single" w:color="D0D5DD"/>
              <w:left w:sz="2" w:val="single" w:color="D0D5DD"/>
              <w:bottom w:sz="2" w:val="single" w:color="D0D5DD"/>
              <w:right w:sz="2" w:val="single" w:color="D0D5DD"/>
            </w:tcBorders>
            <w:vAlign w:val="top"/>
          </w:tcPr>
          <w:p>
            <w:r>
              <w:rPr>
                <w:rFonts w:ascii="Cambria" w:hAnsi="Cambria"/>
                <w:sz w:val="15"/>
              </w:rPr>
              <w:t>Use local factorization, compiled likelihoods, controller-side sufficient statistics and parallel filters. If information latency remains longer than dwell time, declare the process untrackable and move mitigation to hardware/decoder.</w:t>
            </w:r>
          </w:p>
        </w:tc>
      </w:tr>
    </w:tbl>
    <w:p>
      <w:pPr>
        <w:spacing w:after="0"/>
      </w:pPr>
    </w:p>
    <w:p>
      <w:pPr>
        <w:pStyle w:val="Heading1"/>
        <w:keepNext/>
      </w:pPr>
      <w:r>
        <w:t>12. Validation programme and acceptance gates</w:t>
      </w:r>
    </w:p>
    <w:p>
      <w:r>
        <w:rPr>
          <w:i w:val="0"/>
        </w:rPr>
        <w:t>Synthetic tests must expose the exact latent state only to the scorer. Required scenarios include a quadratic sign ambiguity, two collinear parameters, a hidden common factor, correlated detector faults, an incorrect response prior, missing control metadata and a state outside the validity region. The most important ablation compares direct detector control, sequential filtered-state control and likelihood-preserving joint Stage-3 inference.</w:t>
      </w:r>
    </w:p>
    <w:tbl>
      <w:tblPr>
        <w:tblW w:type="auto" w:w="0"/>
        <w:jc w:val="center"/>
        <w:tblLayout w:type="fixed"/>
        <w:tblLook w:firstColumn="1" w:firstRow="1" w:lastColumn="0" w:lastRow="0" w:noHBand="0" w:noVBand="1" w:val="04A0"/>
      </w:tblPr>
      <w:tblGrid>
        <w:gridCol w:w="4819"/>
        <w:gridCol w:w="4819"/>
      </w:tblGrid>
      <w:tr>
        <w:trPr>
          <w:tblHeader w:val="true"/>
        </w:trPr>
        <w:tc>
          <w:tcPr>
            <w:tcW w:type="dxa" w:w="2835"/>
            <w:shd w:fill="1F2D3D"/>
            <w:tcBorders>
              <w:top w:sz="4" w:val="single" w:color="FFFFFF"/>
              <w:left w:sz="4" w:val="single" w:color="FFFFFF"/>
              <w:bottom w:sz="4" w:val="single" w:color="FFFFFF"/>
              <w:right w:sz="4" w:val="single" w:color="FFFFFF"/>
            </w:tcBorders>
            <w:vAlign w:val="center"/>
          </w:tcPr>
          <w:p>
            <w:r>
              <w:rPr>
                <w:rFonts w:ascii="Aptos" w:hAnsi="Aptos"/>
                <w:b/>
                <w:color w:val="FFFFFF"/>
                <w:sz w:val="16"/>
              </w:rPr>
              <w:t>Metric</w:t>
            </w:r>
          </w:p>
        </w:tc>
        <w:tc>
          <w:tcPr>
            <w:tcW w:type="dxa" w:w="6520"/>
            <w:shd w:fill="1F2D3D"/>
            <w:tcBorders>
              <w:top w:sz="4" w:val="single" w:color="FFFFFF"/>
              <w:left w:sz="4" w:val="single" w:color="FFFFFF"/>
              <w:bottom w:sz="4" w:val="single" w:color="FFFFFF"/>
              <w:right w:sz="4" w:val="single" w:color="FFFFFF"/>
            </w:tcBorders>
            <w:vAlign w:val="center"/>
          </w:tcPr>
          <w:p>
            <w:r>
              <w:rPr>
                <w:rFonts w:ascii="Aptos" w:hAnsi="Aptos"/>
                <w:b/>
                <w:color w:val="FFFFFF"/>
                <w:sz w:val="16"/>
              </w:rPr>
              <w:t>Acceptance criterion</w:t>
            </w:r>
          </w:p>
        </w:tc>
      </w:tr>
      <w:tr>
        <w:trPr>
          <w:cantSplit/>
        </w:trPr>
        <w:tc>
          <w:tcPr>
            <w:tcW w:type="dxa" w:w="2835"/>
            <w:tcBorders>
              <w:top w:sz="2" w:val="single" w:color="D0D5DD"/>
              <w:left w:sz="2" w:val="single" w:color="D0D5DD"/>
              <w:bottom w:sz="2" w:val="single" w:color="D0D5DD"/>
              <w:right w:sz="2" w:val="single" w:color="D0D5DD"/>
            </w:tcBorders>
            <w:vAlign w:val="top"/>
          </w:tcPr>
          <w:p>
            <w:r>
              <w:rPr>
                <w:rFonts w:ascii="Cambria" w:hAnsi="Cambria"/>
                <w:sz w:val="16"/>
              </w:rPr>
              <w:t>Posterior coverage</w:t>
            </w:r>
          </w:p>
        </w:tc>
        <w:tc>
          <w:tcPr>
            <w:tcW w:type="dxa" w:w="6520"/>
            <w:tcBorders>
              <w:top w:sz="2" w:val="single" w:color="D0D5DD"/>
              <w:left w:sz="2" w:val="single" w:color="D0D5DD"/>
              <w:bottom w:sz="2" w:val="single" w:color="D0D5DD"/>
              <w:right w:sz="2" w:val="single" w:color="D0D5DD"/>
            </w:tcBorders>
            <w:vAlign w:val="top"/>
          </w:tcPr>
          <w:p>
            <w:r>
              <w:rPr>
                <w:rFonts w:ascii="Cambria" w:hAnsi="Cambria"/>
                <w:sz w:val="16"/>
              </w:rPr>
              <w:t>Declared credible intervals achieve nominal coverage over in-distribution synthetic trials.</w:t>
            </w:r>
          </w:p>
        </w:tc>
      </w:tr>
      <w:tr>
        <w:trPr>
          <w:cantSplit/>
        </w:trPr>
        <w:tc>
          <w:tcPr>
            <w:tcW w:type="dxa" w:w="2835"/>
            <w:shd w:fill="F8FAFC"/>
            <w:tcBorders>
              <w:top w:sz="2" w:val="single" w:color="D0D5DD"/>
              <w:left w:sz="2" w:val="single" w:color="D0D5DD"/>
              <w:bottom w:sz="2" w:val="single" w:color="D0D5DD"/>
              <w:right w:sz="2" w:val="single" w:color="D0D5DD"/>
            </w:tcBorders>
            <w:vAlign w:val="top"/>
          </w:tcPr>
          <w:p>
            <w:r>
              <w:rPr>
                <w:rFonts w:ascii="Cambria" w:hAnsi="Cambria"/>
                <w:sz w:val="16"/>
              </w:rPr>
              <w:t>Sign recovery</w:t>
            </w:r>
          </w:p>
        </w:tc>
        <w:tc>
          <w:tcPr>
            <w:tcW w:type="dxa" w:w="6520"/>
            <w:shd w:fill="F8FAFC"/>
            <w:tcBorders>
              <w:top w:sz="2" w:val="single" w:color="D0D5DD"/>
              <w:left w:sz="2" w:val="single" w:color="D0D5DD"/>
              <w:bottom w:sz="2" w:val="single" w:color="D0D5DD"/>
              <w:right w:sz="2" w:val="single" w:color="D0D5DD"/>
            </w:tcBorders>
            <w:vAlign w:val="top"/>
          </w:tcPr>
          <w:p>
            <w:r>
              <w:rPr>
                <w:rFonts w:ascii="Cambria" w:hAnsi="Cambria"/>
                <w:sz w:val="16"/>
              </w:rPr>
              <w:t>Antithetic interventions recover sign with predeclared error probability at the target detector budget.</w:t>
            </w:r>
          </w:p>
        </w:tc>
      </w:tr>
      <w:tr>
        <w:trPr>
          <w:cantSplit/>
        </w:trPr>
        <w:tc>
          <w:tcPr>
            <w:tcW w:type="dxa" w:w="2835"/>
            <w:tcBorders>
              <w:top w:sz="2" w:val="single" w:color="D0D5DD"/>
              <w:left w:sz="2" w:val="single" w:color="D0D5DD"/>
              <w:bottom w:sz="2" w:val="single" w:color="D0D5DD"/>
              <w:right w:sz="2" w:val="single" w:color="D0D5DD"/>
            </w:tcBorders>
            <w:vAlign w:val="top"/>
          </w:tcPr>
          <w:p>
            <w:r>
              <w:rPr>
                <w:rFonts w:ascii="Cambria" w:hAnsi="Cambria"/>
                <w:sz w:val="16"/>
              </w:rPr>
              <w:t>Rank detection</w:t>
            </w:r>
          </w:p>
        </w:tc>
        <w:tc>
          <w:tcPr>
            <w:tcW w:type="dxa" w:w="6520"/>
            <w:tcBorders>
              <w:top w:sz="2" w:val="single" w:color="D0D5DD"/>
              <w:left w:sz="2" w:val="single" w:color="D0D5DD"/>
              <w:bottom w:sz="2" w:val="single" w:color="D0D5DD"/>
              <w:right w:sz="2" w:val="single" w:color="D0D5DD"/>
            </w:tcBorders>
            <w:vAlign w:val="top"/>
          </w:tcPr>
          <w:p>
            <w:r>
              <w:rPr>
                <w:rFonts w:ascii="Cambria" w:hAnsi="Cambria"/>
                <w:sz w:val="16"/>
              </w:rPr>
              <w:t>Unobservable directions are identified rather than reported as precise parameters.</w:t>
            </w:r>
          </w:p>
        </w:tc>
      </w:tr>
      <w:tr>
        <w:trPr>
          <w:cantSplit/>
        </w:trPr>
        <w:tc>
          <w:tcPr>
            <w:tcW w:type="dxa" w:w="2835"/>
            <w:shd w:fill="F8FAFC"/>
            <w:tcBorders>
              <w:top w:sz="2" w:val="single" w:color="D0D5DD"/>
              <w:left w:sz="2" w:val="single" w:color="D0D5DD"/>
              <w:bottom w:sz="2" w:val="single" w:color="D0D5DD"/>
              <w:right w:sz="2" w:val="single" w:color="D0D5DD"/>
            </w:tcBorders>
            <w:vAlign w:val="top"/>
          </w:tcPr>
          <w:p>
            <w:r>
              <w:rPr>
                <w:rFonts w:ascii="Cambria" w:hAnsi="Cambria"/>
                <w:sz w:val="16"/>
              </w:rPr>
              <w:t>Predictive likelihood</w:t>
            </w:r>
          </w:p>
        </w:tc>
        <w:tc>
          <w:tcPr>
            <w:tcW w:type="dxa" w:w="6520"/>
            <w:shd w:fill="F8FAFC"/>
            <w:tcBorders>
              <w:top w:sz="2" w:val="single" w:color="D0D5DD"/>
              <w:left w:sz="2" w:val="single" w:color="D0D5DD"/>
              <w:bottom w:sz="2" w:val="single" w:color="D0D5DD"/>
              <w:right w:sz="2" w:val="single" w:color="D0D5DD"/>
            </w:tcBorders>
            <w:vAlign w:val="top"/>
          </w:tcPr>
          <w:p>
            <w:r>
              <w:rPr>
                <w:rFonts w:ascii="Cambria" w:hAnsi="Cambria"/>
                <w:sz w:val="16"/>
              </w:rPr>
              <w:t>Improves over a detector-rate-only baseline on held-out controls and contexts.</w:t>
            </w:r>
          </w:p>
        </w:tc>
      </w:tr>
      <w:tr>
        <w:trPr>
          <w:cantSplit/>
        </w:trPr>
        <w:tc>
          <w:tcPr>
            <w:tcW w:type="dxa" w:w="2835"/>
            <w:tcBorders>
              <w:top w:sz="2" w:val="single" w:color="D0D5DD"/>
              <w:left w:sz="2" w:val="single" w:color="D0D5DD"/>
              <w:bottom w:sz="2" w:val="single" w:color="D0D5DD"/>
              <w:right w:sz="2" w:val="single" w:color="D0D5DD"/>
            </w:tcBorders>
            <w:vAlign w:val="top"/>
          </w:tcPr>
          <w:p>
            <w:r>
              <w:rPr>
                <w:rFonts w:ascii="Cambria" w:hAnsi="Cambria"/>
                <w:sz w:val="16"/>
              </w:rPr>
              <w:t>Model mismatch detection</w:t>
            </w:r>
          </w:p>
        </w:tc>
        <w:tc>
          <w:tcPr>
            <w:tcW w:type="dxa" w:w="6520"/>
            <w:tcBorders>
              <w:top w:sz="2" w:val="single" w:color="D0D5DD"/>
              <w:left w:sz="2" w:val="single" w:color="D0D5DD"/>
              <w:bottom w:sz="2" w:val="single" w:color="D0D5DD"/>
              <w:right w:sz="2" w:val="single" w:color="D0D5DD"/>
            </w:tcBorders>
            <w:vAlign w:val="top"/>
          </w:tcPr>
          <w:p>
            <w:r>
              <w:rPr>
                <w:rFonts w:ascii="Cambria" w:hAnsi="Cambria"/>
                <w:sz w:val="16"/>
              </w:rPr>
              <w:t>Structured omitted-variable scenarios trigger OOD or discrepancy alarms before unsafe control.</w:t>
            </w:r>
          </w:p>
        </w:tc>
      </w:tr>
      <w:tr>
        <w:trPr>
          <w:cantSplit/>
        </w:trPr>
        <w:tc>
          <w:tcPr>
            <w:tcW w:type="dxa" w:w="2835"/>
            <w:shd w:fill="F8FAFC"/>
            <w:tcBorders>
              <w:top w:sz="2" w:val="single" w:color="D0D5DD"/>
              <w:left w:sz="2" w:val="single" w:color="D0D5DD"/>
              <w:bottom w:sz="2" w:val="single" w:color="D0D5DD"/>
              <w:right w:sz="2" w:val="single" w:color="D0D5DD"/>
            </w:tcBorders>
            <w:vAlign w:val="top"/>
          </w:tcPr>
          <w:p>
            <w:r>
              <w:rPr>
                <w:rFonts w:ascii="Cambria" w:hAnsi="Cambria"/>
                <w:sz w:val="16"/>
              </w:rPr>
              <w:t>Control relevance</w:t>
            </w:r>
          </w:p>
        </w:tc>
        <w:tc>
          <w:tcPr>
            <w:tcW w:type="dxa" w:w="6520"/>
            <w:shd w:fill="F8FAFC"/>
            <w:tcBorders>
              <w:top w:sz="2" w:val="single" w:color="D0D5DD"/>
              <w:left w:sz="2" w:val="single" w:color="D0D5DD"/>
              <w:bottom w:sz="2" w:val="single" w:color="D0D5DD"/>
              <w:right w:sz="2" w:val="single" w:color="D0D5DD"/>
            </w:tcBorders>
            <w:vAlign w:val="top"/>
          </w:tcPr>
          <w:p>
            <w:r>
              <w:rPr>
                <w:rFonts w:ascii="Cambria" w:hAnsi="Cambria"/>
                <w:sz w:val="16"/>
              </w:rPr>
              <w:t>Using the posterior reduces Stage-5/6 closed-loop regret relative to detector-pattern control.</w:t>
            </w:r>
          </w:p>
        </w:tc>
      </w:tr>
      <w:tr>
        <w:trPr>
          <w:cantSplit/>
        </w:trPr>
        <w:tc>
          <w:tcPr>
            <w:tcW w:type="dxa" w:w="2835"/>
            <w:tcBorders>
              <w:top w:sz="2" w:val="single" w:color="D0D5DD"/>
              <w:left w:sz="2" w:val="single" w:color="D0D5DD"/>
              <w:bottom w:sz="2" w:val="single" w:color="D0D5DD"/>
              <w:right w:sz="2" w:val="single" w:color="D0D5DD"/>
            </w:tcBorders>
            <w:vAlign w:val="top"/>
          </w:tcPr>
          <w:p>
            <w:r>
              <w:rPr>
                <w:rFonts w:ascii="Cambria" w:hAnsi="Cambria"/>
                <w:sz w:val="16"/>
              </w:rPr>
              <w:t>Sequential-vs-joint test</w:t>
            </w:r>
          </w:p>
        </w:tc>
        <w:tc>
          <w:tcPr>
            <w:tcW w:type="dxa" w:w="6520"/>
            <w:tcBorders>
              <w:top w:sz="2" w:val="single" w:color="D0D5DD"/>
              <w:left w:sz="2" w:val="single" w:color="D0D5DD"/>
              <w:bottom w:sz="2" w:val="single" w:color="D0D5DD"/>
              <w:right w:sz="2" w:val="single" w:color="D0D5DD"/>
            </w:tcBorders>
            <w:vAlign w:val="top"/>
          </w:tcPr>
          <w:p>
            <w:r>
              <w:rPr>
                <w:rFonts w:ascii="Cambria" w:hAnsi="Cambria"/>
                <w:sz w:val="16"/>
              </w:rPr>
              <w:t>Sequential infer-then-segment is not deployed if joint inference materially improves forecast score or regret.</w:t>
            </w:r>
          </w:p>
        </w:tc>
      </w:tr>
      <w:tr>
        <w:trPr>
          <w:cantSplit/>
        </w:trPr>
        <w:tc>
          <w:tcPr>
            <w:tcW w:type="dxa" w:w="2835"/>
            <w:shd w:fill="F8FAFC"/>
            <w:tcBorders>
              <w:top w:sz="2" w:val="single" w:color="D0D5DD"/>
              <w:left w:sz="2" w:val="single" w:color="D0D5DD"/>
              <w:bottom w:sz="2" w:val="single" w:color="D0D5DD"/>
              <w:right w:sz="2" w:val="single" w:color="D0D5DD"/>
            </w:tcBorders>
            <w:vAlign w:val="top"/>
          </w:tcPr>
          <w:p>
            <w:r>
              <w:rPr>
                <w:rFonts w:ascii="Cambria" w:hAnsi="Cambria"/>
                <w:sz w:val="16"/>
              </w:rPr>
              <w:t>Latency</w:t>
            </w:r>
          </w:p>
        </w:tc>
        <w:tc>
          <w:tcPr>
            <w:tcW w:type="dxa" w:w="6520"/>
            <w:shd w:fill="F8FAFC"/>
            <w:tcBorders>
              <w:top w:sz="2" w:val="single" w:color="D0D5DD"/>
              <w:left w:sz="2" w:val="single" w:color="D0D5DD"/>
              <w:bottom w:sz="2" w:val="single" w:color="D0D5DD"/>
              <w:right w:sz="2" w:val="single" w:color="D0D5DD"/>
            </w:tcBorders>
            <w:vAlign w:val="top"/>
          </w:tcPr>
          <w:p>
            <w:r>
              <w:rPr>
                <w:rFonts w:ascii="Cambria" w:hAnsi="Cambria"/>
                <w:sz w:val="16"/>
              </w:rPr>
              <w:t>Local online update completes within the telemetry cadence for the declared operating bandwidth.</w:t>
            </w:r>
          </w:p>
        </w:tc>
      </w:tr>
    </w:tbl>
    <w:p>
      <w:pPr>
        <w:spacing w:after="0"/>
      </w:pPr>
    </w:p>
    <w:p>
      <w:pPr>
        <w:pStyle w:val="Heading1"/>
        <w:keepNext/>
      </w:pPr>
      <w:r>
        <w:t>13. Handover to Stage 3</w:t>
      </w:r>
    </w:p>
    <w:p>
      <w:r>
        <w:rPr>
          <w:i w:val="0"/>
        </w:rPr>
        <w:t>The final handover is a likelihood-bearing package, not a spreadsheet of estimated frequencies. It contains the state schema, priors, response-model version, event/count factor references, control history, observability report, discrepancy model and optional fast belief. Stage 3 can initialize from the fast belief but must be able to reweight or revise the physical state while inferring regimes and segment boundaries. This is the architectural mechanism that prevents implementation convenience from forcing a lower-performing sequential HDFA pipeline.</w:t>
      </w:r>
    </w:p>
    <w:p>
      <w:pPr>
        <w:pStyle w:val="Heading1"/>
        <w:keepNext/>
      </w:pPr>
      <w:r>
        <w:t>References</w:t>
      </w:r>
    </w:p>
    <w:p>
      <w:pPr>
        <w:pStyle w:val="SmallNote"/>
      </w:pPr>
      <w:r>
        <w:t>[1] Google Quantum AI and Google DeepMind, “Reinforcement learning control of quantum error correction,” Nature 655, 879–885 (2026), doi:10.1038/s41586-026-10759-2.</w:t>
      </w:r>
    </w:p>
    <w:p>
      <w:pPr>
        <w:pStyle w:val="SmallNote"/>
      </w:pPr>
      <w:r>
        <w:t>[2] Google Quantum AI and Google DeepMind, Supplementary Information for “Reinforcement learning control of quantum error correction” (2026).</w:t>
      </w:r>
    </w:p>
    <w:p>
      <w:pPr>
        <w:pStyle w:val="SmallNote"/>
      </w:pPr>
      <w:r>
        <w:t>[3] A. Agarwal, L. P. Lindoy, D. Lall, S. E. de Graaf, T. Lindström and I. Rungger, “Fast-tracking and disentangling of qubit noise fluctuations using minimal-data averaging and hierarchical discrete fluctuation auto-segmentation,” arXiv:2505.23622 (2025).</w:t>
      </w:r>
    </w:p>
    <w:p>
      <w:pPr>
        <w:pStyle w:val="SmallNote"/>
      </w:pPr>
      <w:r>
        <w:t>[4] Y. Chengyu, R. Meister, C. Carty, S.-K. Lin and R. Bondesan, “Bayesian Optimization for Quantum Error-Correcting Code Discovery,” arXiv:2601.18562 (2026).</w:t>
      </w:r>
    </w:p>
    <w:p>
      <w:pPr>
        <w:pStyle w:val="SmallNote"/>
      </w:pPr>
      <w:r>
        <w:t>[5] V. Gebhart et al., “Learning quantum systems,” Nature Reviews Physics 5, 141–156 (2023), doi:10.1038/s42254-022-00552-1.</w:t>
      </w:r>
    </w:p>
    <w:p>
      <w:pPr>
        <w:pStyle w:val="SmallNote"/>
      </w:pPr>
      <w:r>
        <w:t>[6] C. Granade et al., “Practical Bayesian tomography,” New Journal of Physics 18, 033024 (2016).</w:t>
      </w:r>
    </w:p>
    <w:p>
      <w:pPr>
        <w:pStyle w:val="SmallNote"/>
      </w:pPr>
      <w:r>
        <w:t>[7] R. Blume-Kohout et al., “Using pyGSTi for quantum processor characterization and benchmarking,” Sandia National Laboratories report SAND2022-XXXX (2022).</w:t>
      </w:r>
    </w:p>
    <w:p>
      <w:pPr>
        <w:pStyle w:val="SmallNote"/>
      </w:pPr>
      <w:r>
        <w:t>[8] S. Särkkä and L. Svensson, Bayesian Filtering and Smoothing, 2nd ed. (Cambridge University Press, 2023).</w:t>
      </w:r>
    </w:p>
    <w:p>
      <w:pPr>
        <w:pStyle w:val="SmallNote"/>
      </w:pPr>
      <w:r>
        <w:t>[9] R. E. Kalman, “A new approach to linear filtering and prediction problems,” Journal of Basic Engineering 82, 35–45 (1960).</w:t>
      </w:r>
    </w:p>
    <w:p>
      <w:pPr>
        <w:pStyle w:val="SmallNote"/>
      </w:pPr>
      <w:r>
        <w:t>[10] R. E. Bellman, Dynamic Programming (Princeton University Press, 1957).</w:t>
      </w:r>
    </w:p>
    <w:p>
      <w:pPr>
        <w:pStyle w:val="SmallNote"/>
      </w:pPr>
      <w:r>
        <w:t>[11] J. B. Rawlings, D. Q. Mayne and M. Diehl, Model Predictive Control: Theory, Computation, and Design, 2nd ed. (Nob Hill, 2020).</w:t>
      </w:r>
    </w:p>
    <w:p>
      <w:pPr>
        <w:pStyle w:val="SmallNote"/>
      </w:pPr>
      <w:r>
        <w:t>[12] R. S. Sutton and A. G. Barto, Reinforcement Learning: An Introduction, 2nd ed. (MIT Press, 2018).</w:t>
      </w:r>
    </w:p>
    <w:p>
      <w:pPr>
        <w:pStyle w:val="SmallNote"/>
      </w:pPr>
      <w:r>
        <w:t>[13] R. B. Adams and D. J. C. MacKay, “Bayesian online changepoint detection,” arXiv:0710.3742 (2007).</w:t>
      </w:r>
    </w:p>
    <w:p>
      <w:pPr>
        <w:pStyle w:val="SmallNote"/>
      </w:pPr>
      <w:r>
        <w:t>[14] L. R. Rabiner, “A tutorial on hidden Markov models and selected applications in speech recognition,” Proceedings of the IEEE 77, 257–286 (1989).</w:t>
      </w:r>
    </w:p>
    <w:sectPr w:rsidR="00FC693F" w:rsidRPr="0006063C" w:rsidSect="00034616">
      <w:headerReference w:type="default" r:id="rId9"/>
      <w:footerReference w:type="default" r:id="rId10"/>
      <w:pgSz w:w="11906" w:h="16838"/>
      <w:pgMar w:top="1020"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4A5568"/>
        <w:sz w:val="17"/>
      </w:rPr>
      <w:t>Stage 2 — latent physical-state inference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71" w:lineRule="auto"/>
    </w:pPr>
    <w:rPr>
      <w:rFonts w:ascii="Cambria" w:hAnsi="Cambria" w:eastAsia="Cambr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Aptos Display" w:hAnsi="Aptos Display"/>
      <w:b/>
      <w:bCs/>
      <w:color w:val="1F2D3D"/>
      <w:sz w:val="32"/>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ptos" w:hAnsi="Aptos"/>
      <w:b/>
      <w:bCs/>
      <w:color w:val="1F2D3D"/>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4A556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F2D3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ptos" w:hAnsi="Aptos"/>
      <w:i/>
      <w:iCs/>
      <w:color w:val="4A5568"/>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69" w:hanging="170"/>
      <w:contextualSpacing/>
    </w:pPr>
    <w:rPr>
      <w:rFonts w:ascii="Cambria" w:hAnsi="Cambria"/>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Cambria" w:hAnsi="Cambria"/>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keepLines/>
      <w:spacing w:before="100" w:after="140"/>
      <w:jc w:val="center"/>
    </w:pPr>
    <w:rPr>
      <w:rFonts w:ascii="Cambria Math" w:hAnsi="Cambria Math"/>
      <w:sz w:val="21"/>
    </w:rPr>
  </w:style>
  <w:style w:type="paragraph" w:customStyle="1" w:styleId="CodeBlock">
    <w:name w:val="Code Block"/>
    <w:pPr>
      <w:spacing w:before="80" w:after="100" w:line="240" w:lineRule="auto"/>
      <w:ind w:left="283" w:right="283"/>
    </w:pPr>
    <w:rPr>
      <w:rFonts w:ascii="Consolas" w:hAnsi="Consolas"/>
      <w:sz w:val="17"/>
    </w:rPr>
  </w:style>
  <w:style w:type="paragraph" w:customStyle="1" w:styleId="CaptionCustom">
    <w:name w:val="Caption Custom"/>
    <w:pPr>
      <w:keepNext/>
      <w:spacing w:before="60" w:after="160"/>
    </w:pPr>
    <w:rPr>
      <w:rFonts w:ascii="Aptos" w:hAnsi="Aptos"/>
      <w:i/>
      <w:color w:val="4A5568"/>
      <w:sz w:val="17"/>
    </w:rPr>
  </w:style>
  <w:style w:type="paragraph" w:customStyle="1" w:styleId="SmallNote">
    <w:name w:val="Small Note"/>
    <w:pPr>
      <w:spacing w:after="60"/>
    </w:pPr>
    <w:rPr>
      <w:rFonts w:ascii="Aptos" w:hAnsi="Aptos"/>
      <w:color w:val="4A5568"/>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