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Staged Physics-Informed Calibration During Quantum Error Correction</w:t>
      </w:r>
    </w:p>
    <w:p>
      <w:pPr>
        <w:spacing w:after="200"/>
        <w:jc w:val="center"/>
      </w:pPr>
      <w:r>
        <w:rPr>
          <w:color w:val="2F6FDB"/>
          <w:sz w:val="20"/>
        </w:rPr>
        <w:t>━━━━━━━━━━━━━━━━━━━━━━━━━━━━━━━━━━━━━━━━━━━━</w:t>
      </w:r>
    </w:p>
    <w:p>
      <w:pPr>
        <w:pStyle w:val="Subtitle"/>
        <w:jc w:val="center"/>
      </w:pPr>
      <w:r>
        <w:t>Revised architecture overview, implementation roadmap and system-level acceptance criteria</w:t>
      </w:r>
    </w:p>
    <w:p>
      <w:pPr>
        <w:jc w:val="center"/>
      </w:pPr>
      <w:r>
        <w:rPr>
          <w:rFonts w:ascii="Aptos" w:hAnsi="Aptos"/>
          <w:i/>
          <w:color w:val="4A5568"/>
          <w:sz w:val="20"/>
        </w:rPr>
        <w:t>Proposed research architecture — theoretical and computational specification</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This document specifies a complete staged architecture for autonomous calibration of a quantum processor while quantum error correction (QEC) is running. The design begins from the detector-driven reinforcement-learning controller demonstrated by Google Quantum AI and Google DeepMind, but changes the role of reinforcement learning. Instead of asking a model-free policy to rediscover every movement of a drifting optimum, the proposed system uses the same native QEC detector stream, together with the known control interventions, to infer a compact physical calibration state, identify the dynamical process responsible for its evolution, forecast the near-future optimum, and apply a predictive correction. Reinforcement learning then optimizes only the remaining model error. The architecture is divided into eight explicit stages so that every inference, forecast and control decision is testable, uncertainty-bearing and replaceable. This revision removes implementation gaps, defines the exact input and output of each stage, distinguishes a minimum viable implementation from the ideal final implementation, and lists failure mechanisms together with amendments that preserve performance. The final system is not permitted to select a weaker sequential or simplified method merely because it is easier to implement; approximations are acceptable only after equivalence has been demonstrated against a more complete offline reference model.</w:t>
      </w:r>
    </w:p>
    <w:p>
      <w:pPr>
        <w:jc w:val="center"/>
      </w:pPr>
      <w:r>
        <w:drawing>
          <wp:inline xmlns:a="http://schemas.openxmlformats.org/drawingml/2006/main" xmlns:pic="http://schemas.openxmlformats.org/drawingml/2006/picture">
            <wp:extent cx="6120000" cy="1210573"/>
            <wp:docPr id="1" name="Picture 1"/>
            <wp:cNvGraphicFramePr>
              <a:graphicFrameLocks noChangeAspect="1"/>
            </wp:cNvGraphicFramePr>
            <a:graphic>
              <a:graphicData uri="http://schemas.openxmlformats.org/drawingml/2006/picture">
                <pic:pic>
                  <pic:nvPicPr>
                    <pic:cNvPr id="0" name="overview_architecture.png"/>
                    <pic:cNvPicPr/>
                  </pic:nvPicPr>
                  <pic:blipFill>
                    <a:blip r:embed="rId11"/>
                    <a:stretch>
                      <a:fillRect/>
                    </a:stretch>
                  </pic:blipFill>
                  <pic:spPr>
                    <a:xfrm>
                      <a:off x="0" y="0"/>
                      <a:ext cx="6120000" cy="1210573"/>
                    </a:xfrm>
                    <a:prstGeom prst="rect"/>
                  </pic:spPr>
                </pic:pic>
              </a:graphicData>
            </a:graphic>
          </wp:inline>
        </w:drawing>
      </w:r>
    </w:p>
    <w:p>
      <w:pPr>
        <w:pStyle w:val="CaptionCustom"/>
        <w:jc w:val="center"/>
      </w:pPr>
      <w:r>
        <w:t>Figure 1. The controller is a cascade of explicit statistical and control contracts. Stage 7 supervises every stage and can return the system to an earlier stage when assumptions fail.</w:t>
      </w:r>
    </w:p>
    <w:p>
      <w:pPr>
        <w:pStyle w:val="Heading1"/>
        <w:keepNext/>
      </w:pPr>
      <w:r>
        <w:t>1. The research problem and the exact departure from current work</w:t>
      </w:r>
    </w:p>
    <w:p>
      <w:r>
        <w:rPr>
          <w:i w:val="0"/>
        </w:rPr>
        <w:t>QEC protects a logical quantum state by repeatedly measuring stabilizer information and converting changes in those measurements into binary detector events. These detector events are sufficient for a decoder to infer likely error chains, but they also contain information about the analogue control errors that produced the physical faults. The Google controller demonstrated that the average detector-event rate can be used as a scalable surrogate objective and that sparse detector–control dependencies allow high-dimensional policy-gradient optimization. In the reported experiments, a typical epoch contained forty control-policy candidates. The device-time budget was approximately four seconds per epoch, although current wall-clock execution was one to ten minutes, and the measured response time to a step-like drift was approximately 130 epochs. Recovery from a deliberately spoiled but previously valid control policy required roughly 1,000 epochs [1,2].</w:t>
      </w:r>
    </w:p>
    <w:p>
      <w:r>
        <w:rPr>
          <w:i w:val="0"/>
        </w:rPr>
        <w:t>The proposed architecture addresses two inefficiencies in that reactive loop. First, a disturbance with physical structure is treated as a sequence of unrelated optimization problems. A periodic amplitude error, for example, repeatedly tells the model-free controller that the optimum has moved, although a learned oscillator model can predict the sign, phase and velocity of the next movement. Second, the exploratory candidates used to estimate a policy gradient can themselves increase detector and logical error. A physical predictor can centre the policy distribution close to the future optimum and reduce both the number and magnitude of exploratory perturbations.</w:t>
      </w:r>
    </w:p>
    <w:p>
      <w:r>
        <w:rPr>
          <w:i w:val="0"/>
        </w:rPr>
        <w:t>The central hypothesis is therefore not simply that HDFA can detect changes in QEC data. The stronger hypothesis is that native detector events, known control interventions and a sparse physical response model can support joint inference of an operational physical state and its dynamics. HDFA contributes a principled hierarchical treatment of nested discrete fluctuations, while oscillator, Ornstein–Uhlenbeck, random-walk and abrupt-change models describe other physically motivated behaviours. The predicted component is handled by feedforward or model-predictive control; reinforcement learning is reserved for unmodelled residuals.</w:t>
      </w:r>
    </w:p>
    <w:p>
      <w:pPr>
        <w:pStyle w:val="Heading1"/>
        <w:keepNext/>
      </w:pPr>
      <w:r>
        <w:t>2. Conceptual background for a quantum-mechanics-trained non-specialist</w:t>
      </w:r>
    </w:p>
    <w:p>
      <w:pPr>
        <w:pStyle w:val="Heading2"/>
        <w:keepNext/>
      </w:pPr>
      <w:r>
        <w:t>2.1 What a detector event is</w:t>
      </w:r>
    </w:p>
    <w:p>
      <w:r>
        <w:rPr>
          <w:i w:val="0"/>
        </w:rPr>
        <w:t>A stabilizer code defines commuting multi-qubit Pauli observables whose eigenvalues identify whether the encoded state remains in the code space. In a repeated QEC circuit, a detector is a parity combination of measurement outcomes that would be deterministic in the absence of faults. A detector event is the value one of this parity. It does not usually identify a unique microscopic error. Instead, it indicates that at least one error occurred within a corresponding space–time detecting region. A collection of detector events is therefore analogous to a distributed array of imperfect, overlapping sensors.</w:t>
      </w:r>
    </w:p>
    <w:p>
      <w:pPr>
        <w:pStyle w:val="Heading2"/>
        <w:keepNext/>
      </w:pPr>
      <w:r>
        <w:t>2.2 What “physical state” means in this architecture</w:t>
      </w:r>
    </w:p>
    <w:p>
      <w:r>
        <w:rPr>
          <w:i w:val="0"/>
        </w:rPr>
        <w:t>The latent physical state is not intended to reconstruct the entire environment or the exact microscopic Hamiltonian. It contains operational variables whose current value and future dynamics determine the control correction. Examples are effective drive detuning, pulse-amplitude miscalibration, entangling-gate phase error, coupler offset, readout-threshold drift, leakage propensity and common-mode control-chain distortion. Several microscopic mechanisms may be represented by the same operational variable when they induce the same Hamiltonian error and require the same correction. Microscopic separation is demanded only when it changes the forecast or the appropriate intervention.</w:t>
      </w:r>
    </w:p>
    <w:p>
      <w:pPr>
        <w:pStyle w:val="Heading2"/>
        <w:keepNext/>
      </w:pPr>
      <w:r>
        <w:t>2.3 Why known control perturbations are part of the measurement record</w:t>
      </w:r>
    </w:p>
    <w:p>
      <w:r>
        <w:rPr>
          <w:i w:val="0"/>
        </w:rPr>
        <w:t>Near a calibrated optimum, the detector rate is often approximately quadratic in a coherent control error. Passive observations then contain a sign ambiguity: positive and negative detuning of equal magnitude may produce the same error rate. The deliberately applied positive and negative perturbations used by the RL controller provide directional information. The architecture therefore treats each control action as a known intervention in the likelihood model. The inference problem is conditioned on what was applied, rather than attempting to interpret detector changes without knowledge of the controller’s own actions.</w:t>
      </w:r>
    </w:p>
    <w:p>
      <w:pPr>
        <w:pStyle w:val="Heading1"/>
        <w:keepNext/>
      </w:pPr>
      <w:r>
        <w:t>3. Global mathematical formulation</w:t>
      </w:r>
    </w:p>
    <w:p>
      <w:r>
        <w:rPr>
          <w:i w:val="0"/>
        </w:rPr>
        <w:t>Let d_t denote the binary detector-event vector in a QEC cycle or acquisition window, u_t the applied control vector, c_t the known circuit context, x_t the continuous physical calibration state, z_t the collection of discrete fluctuation states, m the set of dynamical model identities and θ their parameters. The complete belief state is</w:t>
      </w:r>
    </w:p>
    <w:p>
      <w:pPr>
        <w:pStyle w:val="Equation"/>
      </w:pPr>
      <w:r>
        <w:t>B_t = p(x_t, z_t, m, θ | d_1:t, u_1:t, c_1:t).    (1)</w:t>
      </w:r>
    </w:p>
    <w:p>
      <w:r>
        <w:rPr>
          <w:i w:val="0"/>
        </w:rPr>
        <w:t>The control is decomposed into a predictive baseline and a residual learned term:</w:t>
      </w:r>
    </w:p>
    <w:p>
      <w:pPr>
        <w:pStyle w:val="Equation"/>
      </w:pPr>
      <w:r>
        <w:t>u_t = u_t^(MPC) + δu_t^(RL).    (2)</w:t>
      </w:r>
    </w:p>
    <w:p>
      <w:r>
        <w:rPr>
          <w:i w:val="0"/>
        </w:rPr>
        <w:t>The predictive term follows the posterior forecast of the optimum and satisfies hardware and QEC safety constraints. The residual term is centred on zero and corrects modelling error, unknown cross-coupling and low-probability channels not represented in the physical model. The fundamental sample-efficiency claim is that, when the predictor explains a substantial fraction of the optimum motion,</w:t>
      </w:r>
    </w:p>
    <w:p>
      <w:pPr>
        <w:pStyle w:val="Equation"/>
      </w:pPr>
      <w:r>
        <w:t>Var[δu_t^(RL)]  &lt;&lt;  Var[u_t^*],    (3)</w:t>
      </w:r>
    </w:p>
    <w:p>
      <w:r>
        <w:rPr>
          <w:i w:val="0"/>
        </w:rPr>
        <w:t>so the RL policy can use a smaller search covariance, fewer candidates and shorter acquisition windows without losing tracking quality.</w:t>
      </w:r>
    </w:p>
    <w:p>
      <w:pPr>
        <w:pStyle w:val="Heading1"/>
        <w:keepNext/>
      </w:pPr>
      <w:r>
        <w:t>4. Stage contracts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Stage</w:t>
            </w:r>
          </w:p>
        </w:tc>
        <w:tc>
          <w:tcPr>
            <w:tcW w:type="dxa" w:w="368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Inputs</w:t>
            </w:r>
          </w:p>
        </w:tc>
        <w:tc>
          <w:tcPr>
            <w:tcW w:type="dxa" w:w="3969"/>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Outputs</w:t>
            </w:r>
          </w:p>
        </w:tc>
      </w:tr>
      <w:tr>
        <w:trPr>
          <w:cantSplit/>
        </w:trPr>
        <w:tc>
          <w:tcPr>
            <w:tcW w:type="dxa" w:w="1701"/>
            <w:tcBorders>
              <w:top w:sz="2" w:val="single" w:color="D0D5DD"/>
              <w:left w:sz="2" w:val="single" w:color="D0D5DD"/>
              <w:bottom w:sz="2" w:val="single" w:color="D0D5DD"/>
              <w:right w:sz="2" w:val="single" w:color="D0D5DD"/>
            </w:tcBorders>
            <w:vAlign w:val="top"/>
          </w:tcPr>
          <w:p>
            <w:r>
              <w:rPr>
                <w:rFonts w:ascii="Cambria" w:hAnsi="Cambria"/>
                <w:sz w:val="16"/>
              </w:rPr>
              <w:t>0. Bootstrap</w:t>
            </w:r>
          </w:p>
        </w:tc>
        <w:tc>
          <w:tcPr>
            <w:tcW w:type="dxa" w:w="3685"/>
            <w:tcBorders>
              <w:top w:sz="2" w:val="single" w:color="D0D5DD"/>
              <w:left w:sz="2" w:val="single" w:color="D0D5DD"/>
              <w:bottom w:sz="2" w:val="single" w:color="D0D5DD"/>
              <w:right w:sz="2" w:val="single" w:color="D0D5DD"/>
            </w:tcBorders>
            <w:vAlign w:val="top"/>
          </w:tcPr>
          <w:p>
            <w:r>
              <w:rPr>
                <w:rFonts w:ascii="Cambria" w:hAnsi="Cambria"/>
                <w:sz w:val="16"/>
              </w:rPr>
              <w:t>Raw device access; topology; safe bounds; initial priors; calibration recipes; target QEC circuit.</w:t>
            </w:r>
          </w:p>
        </w:tc>
        <w:tc>
          <w:tcPr>
            <w:tcW w:type="dxa" w:w="3969"/>
            <w:tcBorders>
              <w:top w:sz="2" w:val="single" w:color="D0D5DD"/>
              <w:left w:sz="2" w:val="single" w:color="D0D5DD"/>
              <w:bottom w:sz="2" w:val="single" w:color="D0D5DD"/>
              <w:right w:sz="2" w:val="single" w:color="D0D5DD"/>
            </w:tcBorders>
            <w:vAlign w:val="top"/>
          </w:tcPr>
          <w:p>
            <w:r>
              <w:rPr>
                <w:rFonts w:ascii="Cambria" w:hAnsi="Cambria"/>
                <w:sz w:val="16"/>
              </w:rPr>
              <w:t>Validated baseline policy u_0; control registry; sensitivity scales; detector–control graph; safety envelope; uncertainty and provenance.</w:t>
            </w:r>
          </w:p>
        </w:tc>
      </w:tr>
      <w:tr>
        <w:trPr>
          <w:cantSplit/>
        </w:trPr>
        <w:tc>
          <w:tcPr>
            <w:tcW w:type="dxa" w:w="1701"/>
            <w:shd w:fill="F8FAFC"/>
            <w:tcBorders>
              <w:top w:sz="2" w:val="single" w:color="D0D5DD"/>
              <w:left w:sz="2" w:val="single" w:color="D0D5DD"/>
              <w:bottom w:sz="2" w:val="single" w:color="D0D5DD"/>
              <w:right w:sz="2" w:val="single" w:color="D0D5DD"/>
            </w:tcBorders>
            <w:vAlign w:val="top"/>
          </w:tcPr>
          <w:p>
            <w:r>
              <w:rPr>
                <w:rFonts w:ascii="Cambria" w:hAnsi="Cambria"/>
                <w:sz w:val="16"/>
              </w:rPr>
              <w:t>1. Telemetry</w:t>
            </w:r>
          </w:p>
        </w:tc>
        <w:tc>
          <w:tcPr>
            <w:tcW w:type="dxa" w:w="3685"/>
            <w:shd w:fill="F8FAFC"/>
            <w:tcBorders>
              <w:top w:sz="2" w:val="single" w:color="D0D5DD"/>
              <w:left w:sz="2" w:val="single" w:color="D0D5DD"/>
              <w:bottom w:sz="2" w:val="single" w:color="D0D5DD"/>
              <w:right w:sz="2" w:val="single" w:color="D0D5DD"/>
            </w:tcBorders>
            <w:vAlign w:val="top"/>
          </w:tcPr>
          <w:p>
            <w:r>
              <w:rPr>
                <w:rFonts w:ascii="Cambria" w:hAnsi="Cambria"/>
                <w:sz w:val="16"/>
              </w:rPr>
              <w:t>Raw measurement bits; detector definitions; timestamps; policy identifiers; circuit and decoder context.</w:t>
            </w:r>
          </w:p>
        </w:tc>
        <w:tc>
          <w:tcPr>
            <w:tcW w:type="dxa" w:w="3969"/>
            <w:shd w:fill="F8FAFC"/>
            <w:tcBorders>
              <w:top w:sz="2" w:val="single" w:color="D0D5DD"/>
              <w:left w:sz="2" w:val="single" w:color="D0D5DD"/>
              <w:bottom w:sz="2" w:val="single" w:color="D0D5DD"/>
              <w:right w:sz="2" w:val="single" w:color="D0D5DD"/>
            </w:tcBorders>
            <w:vAlign w:val="top"/>
          </w:tcPr>
          <w:p>
            <w:r>
              <w:rPr>
                <w:rFonts w:ascii="Cambria" w:hAnsi="Cambria"/>
                <w:sz w:val="16"/>
              </w:rPr>
              <w:t>Causally aligned event tensors; multiscale rates and local correlations; finite-shot likelihood objects; data-quality flags; intervention labels.</w:t>
            </w:r>
          </w:p>
        </w:tc>
      </w:tr>
      <w:tr>
        <w:trPr>
          <w:cantSplit/>
        </w:trPr>
        <w:tc>
          <w:tcPr>
            <w:tcW w:type="dxa" w:w="1701"/>
            <w:tcBorders>
              <w:top w:sz="2" w:val="single" w:color="D0D5DD"/>
              <w:left w:sz="2" w:val="single" w:color="D0D5DD"/>
              <w:bottom w:sz="2" w:val="single" w:color="D0D5DD"/>
              <w:right w:sz="2" w:val="single" w:color="D0D5DD"/>
            </w:tcBorders>
            <w:vAlign w:val="top"/>
          </w:tcPr>
          <w:p>
            <w:r>
              <w:rPr>
                <w:rFonts w:ascii="Cambria" w:hAnsi="Cambria"/>
                <w:sz w:val="16"/>
              </w:rPr>
              <w:t>2. Physical inference</w:t>
            </w:r>
          </w:p>
        </w:tc>
        <w:tc>
          <w:tcPr>
            <w:tcW w:type="dxa" w:w="3685"/>
            <w:tcBorders>
              <w:top w:sz="2" w:val="single" w:color="D0D5DD"/>
              <w:left w:sz="2" w:val="single" w:color="D0D5DD"/>
              <w:bottom w:sz="2" w:val="single" w:color="D0D5DD"/>
              <w:right w:sz="2" w:val="single" w:color="D0D5DD"/>
            </w:tcBorders>
            <w:vAlign w:val="top"/>
          </w:tcPr>
          <w:p>
            <w:r>
              <w:rPr>
                <w:rFonts w:ascii="Cambria" w:hAnsi="Cambria"/>
                <w:sz w:val="16"/>
              </w:rPr>
              <w:t>Stage-1 telemetry; applied controls; local response models; priors; factor graph.</w:t>
            </w:r>
          </w:p>
        </w:tc>
        <w:tc>
          <w:tcPr>
            <w:tcW w:type="dxa" w:w="3969"/>
            <w:tcBorders>
              <w:top w:sz="2" w:val="single" w:color="D0D5DD"/>
              <w:left w:sz="2" w:val="single" w:color="D0D5DD"/>
              <w:bottom w:sz="2" w:val="single" w:color="D0D5DD"/>
              <w:right w:sz="2" w:val="single" w:color="D0D5DD"/>
            </w:tcBorders>
            <w:vAlign w:val="top"/>
          </w:tcPr>
          <w:p>
            <w:r>
              <w:rPr>
                <w:rFonts w:ascii="Cambria" w:hAnsi="Cambria"/>
                <w:sz w:val="16"/>
              </w:rPr>
              <w:t>Observation likelihood; posterior over operational physical variables; covariance; observability rank; unresolved subspace; predictive residual diagnostics.</w:t>
            </w:r>
          </w:p>
        </w:tc>
      </w:tr>
      <w:tr>
        <w:trPr>
          <w:cantSplit/>
        </w:trPr>
        <w:tc>
          <w:tcPr>
            <w:tcW w:type="dxa" w:w="1701"/>
            <w:shd w:fill="F8FAFC"/>
            <w:tcBorders>
              <w:top w:sz="2" w:val="single" w:color="D0D5DD"/>
              <w:left w:sz="2" w:val="single" w:color="D0D5DD"/>
              <w:bottom w:sz="2" w:val="single" w:color="D0D5DD"/>
              <w:right w:sz="2" w:val="single" w:color="D0D5DD"/>
            </w:tcBorders>
            <w:vAlign w:val="top"/>
          </w:tcPr>
          <w:p>
            <w:r>
              <w:rPr>
                <w:rFonts w:ascii="Cambria" w:hAnsi="Cambria"/>
                <w:sz w:val="16"/>
              </w:rPr>
              <w:t>3. Joint HDFA/dynamics</w:t>
            </w:r>
          </w:p>
        </w:tc>
        <w:tc>
          <w:tcPr>
            <w:tcW w:type="dxa" w:w="3685"/>
            <w:shd w:fill="F8FAFC"/>
            <w:tcBorders>
              <w:top w:sz="2" w:val="single" w:color="D0D5DD"/>
              <w:left w:sz="2" w:val="single" w:color="D0D5DD"/>
              <w:bottom w:sz="2" w:val="single" w:color="D0D5DD"/>
              <w:right w:sz="2" w:val="single" w:color="D0D5DD"/>
            </w:tcBorders>
            <w:vAlign w:val="top"/>
          </w:tcPr>
          <w:p>
            <w:r>
              <w:rPr>
                <w:rFonts w:ascii="Cambria" w:hAnsi="Cambria"/>
                <w:sz w:val="16"/>
              </w:rPr>
              <w:t>Raw or sufficient detector factors; Stage-2 likelihood; historical controls; candidate dynamics and hierarchy priors.</w:t>
            </w:r>
          </w:p>
        </w:tc>
        <w:tc>
          <w:tcPr>
            <w:tcW w:type="dxa" w:w="3969"/>
            <w:shd w:fill="F8FAFC"/>
            <w:tcBorders>
              <w:top w:sz="2" w:val="single" w:color="D0D5DD"/>
              <w:left w:sz="2" w:val="single" w:color="D0D5DD"/>
              <w:bottom w:sz="2" w:val="single" w:color="D0D5DD"/>
              <w:right w:sz="2" w:val="single" w:color="D0D5DD"/>
            </w:tcBorders>
            <w:vAlign w:val="top"/>
          </w:tcPr>
          <w:p>
            <w:r>
              <w:rPr>
                <w:rFonts w:ascii="Cambria" w:hAnsi="Cambria"/>
                <w:sz w:val="16"/>
              </w:rPr>
              <w:t>Joint posterior over continuous states, segment boundaries, discrete regimes, process identities and parameters; model probabilities; change alarms.</w:t>
            </w:r>
          </w:p>
        </w:tc>
      </w:tr>
      <w:tr>
        <w:trPr>
          <w:cantSplit/>
        </w:trPr>
        <w:tc>
          <w:tcPr>
            <w:tcW w:type="dxa" w:w="1701"/>
            <w:tcBorders>
              <w:top w:sz="2" w:val="single" w:color="D0D5DD"/>
              <w:left w:sz="2" w:val="single" w:color="D0D5DD"/>
              <w:bottom w:sz="2" w:val="single" w:color="D0D5DD"/>
              <w:right w:sz="2" w:val="single" w:color="D0D5DD"/>
            </w:tcBorders>
            <w:vAlign w:val="top"/>
          </w:tcPr>
          <w:p>
            <w:r>
              <w:rPr>
                <w:rFonts w:ascii="Cambria" w:hAnsi="Cambria"/>
                <w:sz w:val="16"/>
              </w:rPr>
              <w:t>4. Forecasting</w:t>
            </w:r>
          </w:p>
        </w:tc>
        <w:tc>
          <w:tcPr>
            <w:tcW w:type="dxa" w:w="3685"/>
            <w:tcBorders>
              <w:top w:sz="2" w:val="single" w:color="D0D5DD"/>
              <w:left w:sz="2" w:val="single" w:color="D0D5DD"/>
              <w:bottom w:sz="2" w:val="single" w:color="D0D5DD"/>
              <w:right w:sz="2" w:val="single" w:color="D0D5DD"/>
            </w:tcBorders>
            <w:vAlign w:val="top"/>
          </w:tcPr>
          <w:p>
            <w:r>
              <w:rPr>
                <w:rFonts w:ascii="Cambria" w:hAnsi="Cambria"/>
                <w:sz w:val="16"/>
              </w:rPr>
              <w:t>Joint state-and-model posterior; actuation and computation latency; forecast horizon.</w:t>
            </w:r>
          </w:p>
        </w:tc>
        <w:tc>
          <w:tcPr>
            <w:tcW w:type="dxa" w:w="3969"/>
            <w:tcBorders>
              <w:top w:sz="2" w:val="single" w:color="D0D5DD"/>
              <w:left w:sz="2" w:val="single" w:color="D0D5DD"/>
              <w:bottom w:sz="2" w:val="single" w:color="D0D5DD"/>
              <w:right w:sz="2" w:val="single" w:color="D0D5DD"/>
            </w:tcBorders>
            <w:vAlign w:val="top"/>
          </w:tcPr>
          <w:p>
            <w:r>
              <w:rPr>
                <w:rFonts w:ascii="Cambria" w:hAnsi="Cambria"/>
                <w:sz w:val="16"/>
              </w:rPr>
              <w:t>Predictive distributions for physical errors, future detector patterns and optimum movement; calibrated risk measures and forecast-validity horizon.</w:t>
            </w:r>
          </w:p>
        </w:tc>
      </w:tr>
      <w:tr>
        <w:trPr>
          <w:cantSplit/>
        </w:trPr>
        <w:tc>
          <w:tcPr>
            <w:tcW w:type="dxa" w:w="1701"/>
            <w:shd w:fill="F8FAFC"/>
            <w:tcBorders>
              <w:top w:sz="2" w:val="single" w:color="D0D5DD"/>
              <w:left w:sz="2" w:val="single" w:color="D0D5DD"/>
              <w:bottom w:sz="2" w:val="single" w:color="D0D5DD"/>
              <w:right w:sz="2" w:val="single" w:color="D0D5DD"/>
            </w:tcBorders>
            <w:vAlign w:val="top"/>
          </w:tcPr>
          <w:p>
            <w:r>
              <w:rPr>
                <w:rFonts w:ascii="Cambria" w:hAnsi="Cambria"/>
                <w:sz w:val="16"/>
              </w:rPr>
              <w:t>5. Predictive control</w:t>
            </w:r>
          </w:p>
        </w:tc>
        <w:tc>
          <w:tcPr>
            <w:tcW w:type="dxa" w:w="3685"/>
            <w:shd w:fill="F8FAFC"/>
            <w:tcBorders>
              <w:top w:sz="2" w:val="single" w:color="D0D5DD"/>
              <w:left w:sz="2" w:val="single" w:color="D0D5DD"/>
              <w:bottom w:sz="2" w:val="single" w:color="D0D5DD"/>
              <w:right w:sz="2" w:val="single" w:color="D0D5DD"/>
            </w:tcBorders>
            <w:vAlign w:val="top"/>
          </w:tcPr>
          <w:p>
            <w:r>
              <w:rPr>
                <w:rFonts w:ascii="Cambria" w:hAnsi="Cambria"/>
                <w:sz w:val="16"/>
              </w:rPr>
              <w:t>Forecast; control-response map; surrogate/logical objective; hard bounds; shared-resource constraints.</w:t>
            </w:r>
          </w:p>
        </w:tc>
        <w:tc>
          <w:tcPr>
            <w:tcW w:type="dxa" w:w="3969"/>
            <w:shd w:fill="F8FAFC"/>
            <w:tcBorders>
              <w:top w:sz="2" w:val="single" w:color="D0D5DD"/>
              <w:left w:sz="2" w:val="single" w:color="D0D5DD"/>
              <w:bottom w:sz="2" w:val="single" w:color="D0D5DD"/>
              <w:right w:sz="2" w:val="single" w:color="D0D5DD"/>
            </w:tcBorders>
            <w:vAlign w:val="top"/>
          </w:tcPr>
          <w:p>
            <w:r>
              <w:rPr>
                <w:rFonts w:ascii="Cambria" w:hAnsi="Cambria"/>
                <w:sz w:val="16"/>
              </w:rPr>
              <w:t>Safe baseline trajectory; first control action; residual target; active constraints; infeasibility certificate if no safe solution exists.</w:t>
            </w:r>
          </w:p>
        </w:tc>
      </w:tr>
      <w:tr>
        <w:trPr>
          <w:cantSplit/>
        </w:trPr>
        <w:tc>
          <w:tcPr>
            <w:tcW w:type="dxa" w:w="1701"/>
            <w:tcBorders>
              <w:top w:sz="2" w:val="single" w:color="D0D5DD"/>
              <w:left w:sz="2" w:val="single" w:color="D0D5DD"/>
              <w:bottom w:sz="2" w:val="single" w:color="D0D5DD"/>
              <w:right w:sz="2" w:val="single" w:color="D0D5DD"/>
            </w:tcBorders>
            <w:vAlign w:val="top"/>
          </w:tcPr>
          <w:p>
            <w:r>
              <w:rPr>
                <w:rFonts w:ascii="Cambria" w:hAnsi="Cambria"/>
                <w:sz w:val="16"/>
              </w:rPr>
              <w:t>6. Residual RL</w:t>
            </w:r>
          </w:p>
        </w:tc>
        <w:tc>
          <w:tcPr>
            <w:tcW w:type="dxa" w:w="3685"/>
            <w:tcBorders>
              <w:top w:sz="2" w:val="single" w:color="D0D5DD"/>
              <w:left w:sz="2" w:val="single" w:color="D0D5DD"/>
              <w:bottom w:sz="2" w:val="single" w:color="D0D5DD"/>
              <w:right w:sz="2" w:val="single" w:color="D0D5DD"/>
            </w:tcBorders>
            <w:vAlign w:val="top"/>
          </w:tcPr>
          <w:p>
            <w:r>
              <w:rPr>
                <w:rFonts w:ascii="Cambria" w:hAnsi="Cambria"/>
                <w:sz w:val="16"/>
              </w:rPr>
              <w:t>Predictive baseline; native detector rewards; gradient masks; safe exploration budget; model uncertainty.</w:t>
            </w:r>
          </w:p>
        </w:tc>
        <w:tc>
          <w:tcPr>
            <w:tcW w:type="dxa" w:w="3969"/>
            <w:tcBorders>
              <w:top w:sz="2" w:val="single" w:color="D0D5DD"/>
              <w:left w:sz="2" w:val="single" w:color="D0D5DD"/>
              <w:bottom w:sz="2" w:val="single" w:color="D0D5DD"/>
              <w:right w:sz="2" w:val="single" w:color="D0D5DD"/>
            </w:tcBorders>
            <w:vAlign w:val="top"/>
          </w:tcPr>
          <w:p>
            <w:r>
              <w:rPr>
                <w:rFonts w:ascii="Cambria" w:hAnsi="Cambria"/>
                <w:sz w:val="16"/>
              </w:rPr>
              <w:t>Residual correction; updated policy distribution; empirical response information; confidence and exploration-damage estimate.</w:t>
            </w:r>
          </w:p>
        </w:tc>
      </w:tr>
      <w:tr>
        <w:trPr>
          <w:cantSplit/>
        </w:trPr>
        <w:tc>
          <w:tcPr>
            <w:tcW w:type="dxa" w:w="1701"/>
            <w:shd w:fill="F8FAFC"/>
            <w:tcBorders>
              <w:top w:sz="2" w:val="single" w:color="D0D5DD"/>
              <w:left w:sz="2" w:val="single" w:color="D0D5DD"/>
              <w:bottom w:sz="2" w:val="single" w:color="D0D5DD"/>
              <w:right w:sz="2" w:val="single" w:color="D0D5DD"/>
            </w:tcBorders>
            <w:vAlign w:val="top"/>
          </w:tcPr>
          <w:p>
            <w:r>
              <w:rPr>
                <w:rFonts w:ascii="Cambria" w:hAnsi="Cambria"/>
                <w:sz w:val="16"/>
              </w:rPr>
              <w:t>7. Supervisor</w:t>
            </w:r>
          </w:p>
        </w:tc>
        <w:tc>
          <w:tcPr>
            <w:tcW w:type="dxa" w:w="3685"/>
            <w:shd w:fill="F8FAFC"/>
            <w:tcBorders>
              <w:top w:sz="2" w:val="single" w:color="D0D5DD"/>
              <w:left w:sz="2" w:val="single" w:color="D0D5DD"/>
              <w:bottom w:sz="2" w:val="single" w:color="D0D5DD"/>
              <w:right w:sz="2" w:val="single" w:color="D0D5DD"/>
            </w:tcBorders>
            <w:vAlign w:val="top"/>
          </w:tcPr>
          <w:p>
            <w:r>
              <w:rPr>
                <w:rFonts w:ascii="Cambria" w:hAnsi="Cambria"/>
                <w:sz w:val="16"/>
              </w:rPr>
              <w:t>Outputs, uncertainty, health metrics and latency from all stages; rollback snapshots.</w:t>
            </w:r>
          </w:p>
        </w:tc>
        <w:tc>
          <w:tcPr>
            <w:tcW w:type="dxa" w:w="3969"/>
            <w:shd w:fill="F8FAFC"/>
            <w:tcBorders>
              <w:top w:sz="2" w:val="single" w:color="D0D5DD"/>
              <w:left w:sz="2" w:val="single" w:color="D0D5DD"/>
              <w:bottom w:sz="2" w:val="single" w:color="D0D5DD"/>
              <w:right w:sz="2" w:val="single" w:color="D0D5DD"/>
            </w:tcBorders>
            <w:vAlign w:val="top"/>
          </w:tcPr>
          <w:p>
            <w:r>
              <w:rPr>
                <w:rFonts w:ascii="Cambria" w:hAnsi="Cambria"/>
                <w:sz w:val="16"/>
              </w:rPr>
              <w:t>Operating mode; arbitration; rollback; escalation experiment; model lifecycle decisions; audit log and transition rationale.</w:t>
            </w:r>
          </w:p>
        </w:tc>
      </w:tr>
    </w:tbl>
    <w:p>
      <w:pPr>
        <w:spacing w:after="0"/>
      </w:pPr>
    </w:p>
    <w:p>
      <w:pPr>
        <w:pStyle w:val="Heading1"/>
        <w:keepNext/>
      </w:pPr>
      <w:r>
        <w:t>5. Minimum viable architecture, ideal implementation and speculative extension</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system-level MVP includes all eight stages, but each stage uses a bounded model class. It automatically bootstraps a simulated or hardware-backed QEC-operable policy; preserves cycle-level detector events and control metadata; learns sparse local response maps; performs joint online inference for a finite bank containing sinusoidal, random-telegraph, Ornstein–Uhlenbeck, random-walk and step processes; propagates the resulting posterior; applies constrained stochastic MPC; and uses a masked Gaussian residual-RL controller. A rule-based supervisor manages rollback and targeted diagnostics. The MVP must use the same native detector stream as RL during normal QEC operation. The sequential “infer a trajectory and then segment it” HDFA route is retained only as a diagnostic baseline, not as the final MVP path.</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system performs joint hierarchical state, process and change-point inference over overlapping local and common-mode fluctuations; maintains a calibrated correlated detector likelihood; supports nonlinear and control-dependent dynamics; uses distributionally robust stochastic MPC over a logical-error surrogate; performs asynchronous controller-side residual learning; and applies decision-theoretic supervision with formal safety invariants. Offline smoothing provides a gold-standard posterior used to calibrate the online approximation. No approximation is accepted solely because the ideal computation is difficult; it must meet a predeclared equivalence threshold on posterior coverage, forecast score and closed-loop regret.</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plausible but uncertain extension is a structured graph transformer or neural state-space world model trained across devices to amortize the entire inference and forecast step, together with automatic code, decoder and application remapping. It may fail because available hardware data are too sparse, device distributions differ, uncertainty is miscalibrated, or the learned model exploits correlations that do not survive a hardware change. It is therefore an optional residual or proposal model, never the sole safety-critical estimator.</w:t>
            </w:r>
          </w:p>
        </w:tc>
      </w:tr>
    </w:tbl>
    <w:p>
      <w:pPr>
        <w:spacing w:after="0"/>
      </w:pPr>
    </w:p>
    <w:p>
      <w:pPr>
        <w:pStyle w:val="Heading1"/>
        <w:keepNext/>
      </w:pPr>
      <w:r>
        <w:t>6. What “far outperform the Google RL approach” means</w:t>
      </w:r>
    </w:p>
    <w:tbl>
      <w:tblPr>
        <w:tblW w:type="auto" w:w="0"/>
        <w:jc w:val="center"/>
        <w:tblLayout w:type="autofit"/>
        <w:tblLook w:firstColumn="1" w:firstRow="1" w:lastColumn="0" w:lastRow="0" w:noHBand="0" w:noVBand="1" w:val="04A0"/>
      </w:tblPr>
      <w:tblGrid>
        <w:gridCol w:w="9638"/>
      </w:tblGrid>
      <w:tr>
        <w:tc>
          <w:tcPr>
            <w:tcW w:type="dxa" w:w="9638"/>
            <w:shd w:fill="FFF3E0"/>
            <w:tcBorders>
              <w:top w:sz="8" w:val="single" w:color="B54708"/>
              <w:left w:sz="8" w:val="single" w:color="B54708"/>
              <w:bottom w:sz="4" w:val="single" w:color="D0D5DD"/>
              <w:right w:sz="4" w:val="single" w:color="D0D5DD"/>
            </w:tcBorders>
          </w:tcPr>
          <w:p>
            <w:r>
              <w:rPr>
                <w:rFonts w:ascii="Aptos" w:hAnsi="Aptos"/>
                <w:b/>
                <w:color w:val="B54708"/>
                <w:sz w:val="20"/>
              </w:rPr>
              <w:t>Performance claim is an acceptance target, not an assumption</w:t>
            </w:r>
          </w:p>
          <w:p>
            <w:pPr>
              <w:spacing w:after="20"/>
            </w:pPr>
            <w:r>
              <w:t>The architecture is designed to exceed RL-only steering specifically when drift has learnable temporal structure or recurring regimes. It is not guaranteed to dominate a model-free controller under arbitrary adversarial or unobservable noise. The project may claim substantial outperformance only after the following blinded benchmarks are passed using the same detector budget and comparable safety constraints.</w:t>
            </w:r>
          </w:p>
        </w:tc>
      </w:tr>
    </w:tbl>
    <w:p>
      <w:pPr>
        <w:spacing w:after="0"/>
      </w:pPr>
    </w:p>
    <w:p>
      <w:r>
        <w:rPr>
          <w:i w:val="0"/>
        </w:rPr>
        <w:t>The reference controller should reproduce the published Gaussian parameter-exploring policy, sparse detector reward, gradient masking, entropy regularization and replay logic as faithfully as possible. The staged MVP is required to meet all of the following targets on a suite containing periodic drift, random-telegraph switching, nested switching, smooth mean-reverting drift, abrupt steps and correlated common-mode disturbances:</w:t>
      </w:r>
    </w:p>
    <w:p>
      <w:pPr>
        <w:pStyle w:val="ListBullet"/>
        <w:ind w:left="397" w:hanging="170"/>
      </w:pPr>
      <w:r>
        <w:t>At least a tenfold reduction in detector cycles or policy candidates required to recover 90% of the performance lost after a familiar structured disturbance.</w:t>
      </w:r>
    </w:p>
    <w:p>
      <w:pPr>
        <w:pStyle w:val="ListBullet"/>
        <w:ind w:left="397" w:hanging="170"/>
      </w:pPr>
      <w:r>
        <w:t>At least a fivefold reduction in integrated excess detector-event rate during recovery, with no degradation of the final steady-state detector or logical error.</w:t>
      </w:r>
    </w:p>
    <w:p>
      <w:pPr>
        <w:pStyle w:val="ListBullet"/>
        <w:ind w:left="397" w:hanging="170"/>
      </w:pPr>
      <w:r>
        <w:t>Correction of a previously identified sinusoidal or discrete regime within one inference-and-control interval, rather than through approximately 130 reactive RL epochs.</w:t>
      </w:r>
    </w:p>
    <w:p>
      <w:pPr>
        <w:pStyle w:val="ListBullet"/>
        <w:ind w:left="397" w:hanging="170"/>
      </w:pPr>
      <w:r>
        <w:t>Recovery from an unfamiliar local step in no more than one tenth of the RL-only response time after the observation model has adequate directional information.</w:t>
      </w:r>
    </w:p>
    <w:p>
      <w:pPr>
        <w:pStyle w:val="ListBullet"/>
        <w:ind w:left="397" w:hanging="170"/>
      </w:pPr>
      <w:r>
        <w:t>At least a twofold reduction in exploration-induced logical damage at equal tracking performance.</w:t>
      </w:r>
    </w:p>
    <w:p>
      <w:pPr>
        <w:pStyle w:val="ListBullet"/>
        <w:ind w:left="397" w:hanging="170"/>
      </w:pPr>
      <w:r>
        <w:t>No use of future data, simulator truth or dedicated characterization during nominal-operation comparisons. Targeted characterization must be logged as downtime and scored separately.</w:t>
      </w:r>
    </w:p>
    <w:p>
      <w:pPr>
        <w:pStyle w:val="ListBullet"/>
        <w:ind w:left="397" w:hanging="170"/>
      </w:pPr>
      <w:r>
        <w:t>No statistically significant deterioration on unstructured slow drift. If the physical model is uninformative, the supervisor must revert to an RL-only mode whose performance matches the reproduced reference within uncertainty.</w:t>
      </w:r>
    </w:p>
    <w:p>
      <w:r>
        <w:rPr>
          <w:i w:val="0"/>
        </w:rPr>
        <w:t>These targets make the MVP materially more ambitious than a small incremental modification. They are also falsifiable. If the system meets them only because the simulator exposes latent state, because the baseline RL is poorly tuned, or because extra measurements are hidden from the accounting, the comparison is invalid.</w:t>
      </w:r>
    </w:p>
    <w:p>
      <w:pPr>
        <w:pStyle w:val="Heading1"/>
        <w:keepNext/>
      </w:pPr>
      <w:r>
        <w:t>7. End-to-end implementation sequence</w:t>
      </w:r>
    </w:p>
    <w:p>
      <w:pPr>
        <w:pStyle w:val="ListNumber"/>
      </w:pPr>
      <w:r>
        <w:t>Build a deterministic non-stationary QEC calibration simulator with latent control errors, explicit detector-generating circuits, known control interventions and logical-error scoring. Keep the latent state hidden from all non-oracle controllers.</w:t>
      </w:r>
    </w:p>
    <w:p>
      <w:pPr>
        <w:pStyle w:val="ListNumber"/>
      </w:pPr>
      <w:r>
        <w:t>Reproduce the Google-style RL baseline and verify qualitative scaling, randomized-policy recovery and structured-drift tracking before adding any proposed component.</w:t>
      </w:r>
    </w:p>
    <w:p>
      <w:pPr>
        <w:pStyle w:val="ListNumber"/>
      </w:pPr>
      <w:r>
        <w:t>Implement Stage 1 so the exact event stream, timestamps, controls and contexts can be replayed bit-for-bit. All later scientific claims depend on this data contract.</w:t>
      </w:r>
    </w:p>
    <w:p>
      <w:pPr>
        <w:pStyle w:val="ListNumber"/>
      </w:pPr>
      <w:r>
        <w:t>Implement Stage 2 response maps and observability tests on one local detector region. Demonstrate that antithetic interventions recover the sign of a symmetric miscalibration.</w:t>
      </w:r>
    </w:p>
    <w:p>
      <w:pPr>
        <w:pStyle w:val="ListNumber"/>
      </w:pPr>
      <w:r>
        <w:t>Implement Stage 3 as a joint finite-model switching state-space estimator. The simpler infer-then-segment route is used to debug and to quantify the cost of ignoring joint uncertainty, not as the target controller.</w:t>
      </w:r>
    </w:p>
    <w:p>
      <w:pPr>
        <w:pStyle w:val="ListNumber"/>
      </w:pPr>
      <w:r>
        <w:t>Add posterior forecasting and feedforward correction for a single sinusoid. Show one-step predictive correction before attempting general model selection.</w:t>
      </w:r>
    </w:p>
    <w:p>
      <w:pPr>
        <w:pStyle w:val="ListNumber"/>
      </w:pPr>
      <w:r>
        <w:t>Add random-telegraph, Ornstein–Uhlenbeck and step components, followed by stochastic MPC and residual RL.</w:t>
      </w:r>
    </w:p>
    <w:p>
      <w:pPr>
        <w:pStyle w:val="ListNumber"/>
      </w:pPr>
      <w:r>
        <w:t>Add the supervisor, rollback and diagnostic escalation only after the component outputs contain calibrated uncertainty and explicit invalidity flags.</w:t>
      </w:r>
    </w:p>
    <w:p>
      <w:pPr>
        <w:pStyle w:val="ListNumber"/>
      </w:pPr>
      <w:r>
        <w:t>Scale from one region to a sparse detector–control graph, then add common-mode latent factors and correlated disturbances.</w:t>
      </w:r>
    </w:p>
    <w:p>
      <w:pPr>
        <w:pStyle w:val="ListNumber"/>
      </w:pPr>
      <w:r>
        <w:t>Only after the physics-informed baseline is complete should neural sequence models, graph transformers or code/decoder co-design be introduced.</w:t>
      </w:r>
    </w:p>
    <w:p>
      <w:pPr>
        <w:pStyle w:val="Heading1"/>
        <w:keepNext/>
      </w:pPr>
      <w:r>
        <w:t>8. No-performance-sacrifice principle</w:t>
      </w:r>
    </w:p>
    <w:tbl>
      <w:tblPr>
        <w:tblW w:type="auto" w:w="0"/>
        <w:jc w:val="center"/>
        <w:tblLayout w:type="autofit"/>
        <w:tblLook w:firstColumn="1" w:firstRow="1" w:lastColumn="0" w:lastRow="0" w:noHBand="0" w:noVBand="1" w:val="04A0"/>
      </w:tblPr>
      <w:tblGrid>
        <w:gridCol w:w="9638"/>
      </w:tblGrid>
      <w:tr>
        <w:tc>
          <w:tcPr>
            <w:tcW w:type="dxa" w:w="9638"/>
            <w:shd w:fill="FDECEC"/>
            <w:tcBorders>
              <w:top w:sz="8" w:val="single" w:color="B42318"/>
              <w:left w:sz="8" w:val="single" w:color="B42318"/>
              <w:bottom w:sz="4" w:val="single" w:color="D0D5DD"/>
              <w:right w:sz="4" w:val="single" w:color="D0D5DD"/>
            </w:tcBorders>
          </w:tcPr>
          <w:p>
            <w:r>
              <w:rPr>
                <w:rFonts w:ascii="Aptos" w:hAnsi="Aptos"/>
                <w:b/>
                <w:color w:val="B42318"/>
                <w:sz w:val="20"/>
              </w:rPr>
              <w:t>Implementation difficulty is not a scientific justification for a weaker final method</w:t>
            </w:r>
          </w:p>
          <w:p>
            <w:pPr>
              <w:spacing w:after="20"/>
            </w:pPr>
            <w:r>
              <w:t>A simpler algorithm may be used for debugging, initialization or a minimum working benchmark. It may become the deployed algorithm only if it is shown, against an offline or more complete reference, to preserve the quantities that matter: posterior calibration, forecast likelihood, time-to-recovery, integrated logical damage and safety. If it does not, the remedy is additional computation, better numerical methods, local factorization or hardware acceleration—not silent acceptance of lower performance.</w:t>
            </w:r>
          </w:p>
        </w:tc>
      </w:tr>
    </w:tbl>
    <w:p>
      <w:pPr>
        <w:spacing w:after="0"/>
      </w:pPr>
    </w:p>
    <w:p>
      <w:r>
        <w:rPr>
          <w:i w:val="0"/>
        </w:rPr>
        <w:t>This principle is especially important for HDFA integration. The sequential route first estimates a physical trajectory and then segments that estimate. It is easier, but it discards feedback between uncertainty in the physical state and uncertainty in segment boundaries. The final architecture therefore exposes the Stage-2 likelihood to Stage 3 and permits the joint model to revisit the physical state while inferring regimes and dynamics. The sequential route remains valuable as an interpretable ablation and an initialization proposal. It is not selected merely because the joint route is harder.</w:t>
      </w:r>
    </w:p>
    <w:p>
      <w:r>
        <w:rPr>
          <w:i w:val="0"/>
        </w:rPr>
        <w:t>The same rule applies to detector independence, diagonal policy covariances, linear response maps and Gaussian approximations. Each is a candidate approximation. Each must be compared with a richer model on representative conditions and retained only where the closed-loop performance difference is below a declared tolerance. The tolerance itself is a design decision and must be reported; it cannot be hidden as an engineering detail.</w:t>
      </w:r>
    </w:p>
    <w:p>
      <w:pPr>
        <w:pStyle w:val="Heading1"/>
        <w:keepNext/>
      </w:pPr>
      <w:r>
        <w:t>9. Global failure mechanisms and non-compromising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Why it occurs</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Required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Detector data are not identifiable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Different physical states produce indistinguishable detector distributions or the response is symmetric around the optimum.</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persistent but safety-bounded antithetic excitation; combine several detector regions and contexts; rotate the state into an observable basis; when competing models require different controls and remain indistinguishable, run a targeted characterization experiment. This last action is an explicit compromise with uninterrupted native-QEC-only operation and must be counted as downtime; no algorithm can remove the information-theoretic ambiguity.</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The physical model is wrong</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Forecasts become confidently biased and predictive control drives the device away from the optimum.</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Maintain model mixtures, heavy-tailed residuals and posterior predictive checks; use robust MPC over model uncertainty; cap trust by forecast calibration; immediately revert to residual-RL or a validated baseline when out-of-distribution evidence is detected. Do not narrow uncertainty to make the controller appear decisive.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Dynamics are faster than observation and actuation</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State changes several times within an acquisition window or before a control update arrives.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Reduce telemetry windows, execute inference near the controller, use matched event-level filters, and move corrections to faster electronics. If the physical dwell time remains shorter than the information latency, classify the process as untrackable and mitigate it through robust pulses, dynamical decoupling, decoder adaptation or hardware redesign. This is a physical limitation, not a software problem.</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Joint inference is computationally expensive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Particle or mixture counts grow and exceed the real-time budget.</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Exploit detector–control locality, Rao–Blackwellization, sparse linear algebra, parallel regions, adaptive but accuracy-controlled particle allocation, compiled kernels and FPGA/GPU execution. Approximation is accepted only after comparison with offline smoothing. If equivalence fails, increase compute or reduce the claimed operating bandwidth; do not silently replace the model with infer-then-segment.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Surrogate detector objective diverges from logical performance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A control update lowers average detector rate but increases correlated or logical errors.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local detector vectors, correlations, leakage indicators and periodic logical-performance checks; train a calibrated logical-risk surrogate; include worst-region and correlation penalties in MPC and RL. Dedicated logical evaluations add overhead and must be reported, but the alternative is an unsafe objective.</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Controllers interfere</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MPC and RL compensate the same direction, causing oscillation, double counting or policy drift.</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Define orthogonal responsibilities and a shared state estimate; centre residual RL exactly at the MPC trajectory; project residual actions into the unmodelled or low-confidence subspace; use supervisor-enforced update ordering and joint closed-loop stability tests.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Calibration graph or response map becomes stale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Hardware changes invalidate the detector–control mapping or sensitivity scale.</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Version every model, monitor structured residuals, re-estimate local Jacobians online from exploration, and invalidate dependent nodes automatically. Broad mapping failure triggers regional re-bootstrap.</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Rare catastrophic correlated events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 particle strike, controller fault or thermal excursion invalidates all local models simultaneously.</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common-mode alarms, freeze exploration, switch to a safe validated policy, increase decoder conservatism, preserve rollback state and launch regional or full diagnostic calibration. No predictive controller should extrapolate through a catastrophic event.</w:t>
            </w:r>
          </w:p>
        </w:tc>
      </w:tr>
    </w:tbl>
    <w:p>
      <w:pPr>
        <w:spacing w:after="0"/>
      </w:pPr>
    </w:p>
    <w:p>
      <w:pPr>
        <w:pStyle w:val="Heading1"/>
        <w:keepNext/>
      </w:pPr>
      <w:r>
        <w:t>10. Benchmark suite and reporting standard</w:t>
      </w:r>
    </w:p>
    <w:p>
      <w:r>
        <w:rPr>
          <w:i w:val="0"/>
        </w:rPr>
        <w:t>Every result must be reported both by physical time and by detector/QEC-cycle budget. Wall-clock improvements can otherwise be confused with statistical improvements, and a faster controller can appear better merely because its software stack is more efficient. Each scenario should be run with common random numbers where possible and with enough seeds to resolve the variance of cumulative logical damage.</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71"/>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Benchmark family</w:t>
            </w:r>
          </w:p>
        </w:tc>
        <w:tc>
          <w:tcPr>
            <w:tcW w:type="dxa" w:w="300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Purpose</w:t>
            </w:r>
          </w:p>
        </w:tc>
        <w:tc>
          <w:tcPr>
            <w:tcW w:type="dxa" w:w="4479"/>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Required variants</w:t>
            </w:r>
          </w:p>
        </w:tc>
      </w:tr>
      <w:tr>
        <w:trPr>
          <w:cantSplit/>
        </w:trPr>
        <w:tc>
          <w:tcPr>
            <w:tcW w:type="dxa" w:w="1871"/>
            <w:tcBorders>
              <w:top w:sz="2" w:val="single" w:color="D0D5DD"/>
              <w:left w:sz="2" w:val="single" w:color="D0D5DD"/>
              <w:bottom w:sz="2" w:val="single" w:color="D0D5DD"/>
              <w:right w:sz="2" w:val="single" w:color="D0D5DD"/>
            </w:tcBorders>
            <w:vAlign w:val="top"/>
          </w:tcPr>
          <w:p>
            <w:r>
              <w:rPr>
                <w:rFonts w:ascii="Cambria" w:hAnsi="Cambria"/>
                <w:sz w:val="15"/>
              </w:rPr>
              <w:t>Known periodic drift</w:t>
            </w:r>
          </w:p>
        </w:tc>
        <w:tc>
          <w:tcPr>
            <w:tcW w:type="dxa" w:w="3005"/>
            <w:tcBorders>
              <w:top w:sz="2" w:val="single" w:color="D0D5DD"/>
              <w:left w:sz="2" w:val="single" w:color="D0D5DD"/>
              <w:bottom w:sz="2" w:val="single" w:color="D0D5DD"/>
              <w:right w:sz="2" w:val="single" w:color="D0D5DD"/>
            </w:tcBorders>
            <w:vAlign w:val="top"/>
          </w:tcPr>
          <w:p>
            <w:r>
              <w:rPr>
                <w:rFonts w:ascii="Cambria" w:hAnsi="Cambria"/>
                <w:sz w:val="15"/>
              </w:rPr>
              <w:t>Tests phase/period acquisition and predictive feedforward.</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Stable period; slow phase diffusion; amplitude modulation; abrupt phase reset; two nearby frequencies.</w:t>
            </w:r>
          </w:p>
        </w:tc>
      </w:tr>
      <w:tr>
        <w:trPr>
          <w:cantSplit/>
        </w:trPr>
        <w:tc>
          <w:tcPr>
            <w:tcW w:type="dxa" w:w="1871"/>
            <w:shd w:fill="F8FAFC"/>
            <w:tcBorders>
              <w:top w:sz="2" w:val="single" w:color="D0D5DD"/>
              <w:left w:sz="2" w:val="single" w:color="D0D5DD"/>
              <w:bottom w:sz="2" w:val="single" w:color="D0D5DD"/>
              <w:right w:sz="2" w:val="single" w:color="D0D5DD"/>
            </w:tcBorders>
            <w:vAlign w:val="top"/>
          </w:tcPr>
          <w:p>
            <w:r>
              <w:rPr>
                <w:rFonts w:ascii="Cambria" w:hAnsi="Cambria"/>
                <w:sz w:val="15"/>
              </w:rPr>
              <w:t>Random-telegraph noise</w:t>
            </w:r>
          </w:p>
        </w:tc>
        <w:tc>
          <w:tcPr>
            <w:tcW w:type="dxa" w:w="3005"/>
            <w:shd w:fill="F8FAFC"/>
            <w:tcBorders>
              <w:top w:sz="2" w:val="single" w:color="D0D5DD"/>
              <w:left w:sz="2" w:val="single" w:color="D0D5DD"/>
              <w:bottom w:sz="2" w:val="single" w:color="D0D5DD"/>
              <w:right w:sz="2" w:val="single" w:color="D0D5DD"/>
            </w:tcBorders>
            <w:vAlign w:val="top"/>
          </w:tcPr>
          <w:p>
            <w:r>
              <w:rPr>
                <w:rFonts w:ascii="Cambria" w:hAnsi="Cambria"/>
                <w:sz w:val="15"/>
              </w:rPr>
              <w:t>Tests discrete-state tracking and policy switching.</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Symmetric/asymmetric rates; short/long dwell; changing amplitude; nested slow movement of state centres.</w:t>
            </w:r>
          </w:p>
        </w:tc>
      </w:tr>
      <w:tr>
        <w:trPr>
          <w:cantSplit/>
        </w:trPr>
        <w:tc>
          <w:tcPr>
            <w:tcW w:type="dxa" w:w="1871"/>
            <w:tcBorders>
              <w:top w:sz="2" w:val="single" w:color="D0D5DD"/>
              <w:left w:sz="2" w:val="single" w:color="D0D5DD"/>
              <w:bottom w:sz="2" w:val="single" w:color="D0D5DD"/>
              <w:right w:sz="2" w:val="single" w:color="D0D5DD"/>
            </w:tcBorders>
            <w:vAlign w:val="top"/>
          </w:tcPr>
          <w:p>
            <w:r>
              <w:rPr>
                <w:rFonts w:ascii="Cambria" w:hAnsi="Cambria"/>
                <w:sz w:val="15"/>
              </w:rPr>
              <w:t>Smooth stochastic drift</w:t>
            </w:r>
          </w:p>
        </w:tc>
        <w:tc>
          <w:tcPr>
            <w:tcW w:type="dxa" w:w="3005"/>
            <w:tcBorders>
              <w:top w:sz="2" w:val="single" w:color="D0D5DD"/>
              <w:left w:sz="2" w:val="single" w:color="D0D5DD"/>
              <w:bottom w:sz="2" w:val="single" w:color="D0D5DD"/>
              <w:right w:sz="2" w:val="single" w:color="D0D5DD"/>
            </w:tcBorders>
            <w:vAlign w:val="top"/>
          </w:tcPr>
          <w:p>
            <w:r>
              <w:rPr>
                <w:rFonts w:ascii="Cambria" w:hAnsi="Cambria"/>
                <w:sz w:val="15"/>
              </w:rPr>
              <w:t>Tests continuous filtering and robust forecasting.</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Random walk; Ornstein–Uhlenbeck; common-mode plus local components; non-Gaussian increments.</w:t>
            </w:r>
          </w:p>
        </w:tc>
      </w:tr>
      <w:tr>
        <w:trPr>
          <w:cantSplit/>
        </w:trPr>
        <w:tc>
          <w:tcPr>
            <w:tcW w:type="dxa" w:w="1871"/>
            <w:shd w:fill="F8FAFC"/>
            <w:tcBorders>
              <w:top w:sz="2" w:val="single" w:color="D0D5DD"/>
              <w:left w:sz="2" w:val="single" w:color="D0D5DD"/>
              <w:bottom w:sz="2" w:val="single" w:color="D0D5DD"/>
              <w:right w:sz="2" w:val="single" w:color="D0D5DD"/>
            </w:tcBorders>
            <w:vAlign w:val="top"/>
          </w:tcPr>
          <w:p>
            <w:r>
              <w:rPr>
                <w:rFonts w:ascii="Cambria" w:hAnsi="Cambria"/>
                <w:sz w:val="15"/>
              </w:rPr>
              <w:t>Abrupt unfamiliar change</w:t>
            </w:r>
          </w:p>
        </w:tc>
        <w:tc>
          <w:tcPr>
            <w:tcW w:type="dxa" w:w="3005"/>
            <w:shd w:fill="F8FAFC"/>
            <w:tcBorders>
              <w:top w:sz="2" w:val="single" w:color="D0D5DD"/>
              <w:left w:sz="2" w:val="single" w:color="D0D5DD"/>
              <w:bottom w:sz="2" w:val="single" w:color="D0D5DD"/>
              <w:right w:sz="2" w:val="single" w:color="D0D5DD"/>
            </w:tcBorders>
            <w:vAlign w:val="top"/>
          </w:tcPr>
          <w:p>
            <w:r>
              <w:rPr>
                <w:rFonts w:ascii="Cambria" w:hAnsi="Cambria"/>
                <w:sz w:val="15"/>
              </w:rPr>
              <w:t>Tests change detection, local recovery and abstention.</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Single parameter; coupled block; spatially correlated event; model absent from bank.</w:t>
            </w:r>
          </w:p>
        </w:tc>
      </w:tr>
      <w:tr>
        <w:trPr>
          <w:cantSplit/>
        </w:trPr>
        <w:tc>
          <w:tcPr>
            <w:tcW w:type="dxa" w:w="1871"/>
            <w:tcBorders>
              <w:top w:sz="2" w:val="single" w:color="D0D5DD"/>
              <w:left w:sz="2" w:val="single" w:color="D0D5DD"/>
              <w:bottom w:sz="2" w:val="single" w:color="D0D5DD"/>
              <w:right w:sz="2" w:val="single" w:color="D0D5DD"/>
            </w:tcBorders>
            <w:vAlign w:val="top"/>
          </w:tcPr>
          <w:p>
            <w:r>
              <w:rPr>
                <w:rFonts w:ascii="Cambria" w:hAnsi="Cambria"/>
                <w:sz w:val="15"/>
              </w:rPr>
              <w:t>Mixed process</w:t>
            </w:r>
          </w:p>
        </w:tc>
        <w:tc>
          <w:tcPr>
            <w:tcW w:type="dxa" w:w="3005"/>
            <w:tcBorders>
              <w:top w:sz="2" w:val="single" w:color="D0D5DD"/>
              <w:left w:sz="2" w:val="single" w:color="D0D5DD"/>
              <w:bottom w:sz="2" w:val="single" w:color="D0D5DD"/>
              <w:right w:sz="2" w:val="single" w:color="D0D5DD"/>
            </w:tcBorders>
            <w:vAlign w:val="top"/>
          </w:tcPr>
          <w:p>
            <w:r>
              <w:rPr>
                <w:rFonts w:ascii="Cambria" w:hAnsi="Cambria"/>
                <w:sz w:val="15"/>
              </w:rPr>
              <w:t>Tests genuine hierarchy and confounding.</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Sinusoid + RTN + drift; shared source across regions; model parameter changes mid-run.</w:t>
            </w:r>
          </w:p>
        </w:tc>
      </w:tr>
      <w:tr>
        <w:trPr>
          <w:cantSplit/>
        </w:trPr>
        <w:tc>
          <w:tcPr>
            <w:tcW w:type="dxa" w:w="1871"/>
            <w:shd w:fill="F8FAFC"/>
            <w:tcBorders>
              <w:top w:sz="2" w:val="single" w:color="D0D5DD"/>
              <w:left w:sz="2" w:val="single" w:color="D0D5DD"/>
              <w:bottom w:sz="2" w:val="single" w:color="D0D5DD"/>
              <w:right w:sz="2" w:val="single" w:color="D0D5DD"/>
            </w:tcBorders>
            <w:vAlign w:val="top"/>
          </w:tcPr>
          <w:p>
            <w:r>
              <w:rPr>
                <w:rFonts w:ascii="Cambria" w:hAnsi="Cambria"/>
                <w:sz w:val="15"/>
              </w:rPr>
              <w:t>Poor initial calibration</w:t>
            </w:r>
          </w:p>
        </w:tc>
        <w:tc>
          <w:tcPr>
            <w:tcW w:type="dxa" w:w="3005"/>
            <w:shd w:fill="F8FAFC"/>
            <w:tcBorders>
              <w:top w:sz="2" w:val="single" w:color="D0D5DD"/>
              <w:left w:sz="2" w:val="single" w:color="D0D5DD"/>
              <w:bottom w:sz="2" w:val="single" w:color="D0D5DD"/>
              <w:right w:sz="2" w:val="single" w:color="D0D5DD"/>
            </w:tcBorders>
            <w:vAlign w:val="top"/>
          </w:tcPr>
          <w:p>
            <w:r>
              <w:rPr>
                <w:rFonts w:ascii="Cambria" w:hAnsi="Cambria"/>
                <w:sz w:val="15"/>
              </w:rPr>
              <w:t>Tests automated warm start.</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Coarsely valid policy; detector-saturated policy; incorrect response map; partial readout failure.</w:t>
            </w:r>
          </w:p>
        </w:tc>
      </w:tr>
      <w:tr>
        <w:trPr>
          <w:cantSplit/>
        </w:trPr>
        <w:tc>
          <w:tcPr>
            <w:tcW w:type="dxa" w:w="1871"/>
            <w:tcBorders>
              <w:top w:sz="2" w:val="single" w:color="D0D5DD"/>
              <w:left w:sz="2" w:val="single" w:color="D0D5DD"/>
              <w:bottom w:sz="2" w:val="single" w:color="D0D5DD"/>
              <w:right w:sz="2" w:val="single" w:color="D0D5DD"/>
            </w:tcBorders>
            <w:vAlign w:val="top"/>
          </w:tcPr>
          <w:p>
            <w:r>
              <w:rPr>
                <w:rFonts w:ascii="Cambria" w:hAnsi="Cambria"/>
                <w:sz w:val="15"/>
              </w:rPr>
              <w:t>Objective mismatch</w:t>
            </w:r>
          </w:p>
        </w:tc>
        <w:tc>
          <w:tcPr>
            <w:tcW w:type="dxa" w:w="3005"/>
            <w:tcBorders>
              <w:top w:sz="2" w:val="single" w:color="D0D5DD"/>
              <w:left w:sz="2" w:val="single" w:color="D0D5DD"/>
              <w:bottom w:sz="2" w:val="single" w:color="D0D5DD"/>
              <w:right w:sz="2" w:val="single" w:color="D0D5DD"/>
            </w:tcBorders>
            <w:vAlign w:val="top"/>
          </w:tcPr>
          <w:p>
            <w:r>
              <w:rPr>
                <w:rFonts w:ascii="Cambria" w:hAnsi="Cambria"/>
                <w:sz w:val="15"/>
              </w:rPr>
              <w:t>Tests logical safety.</w:t>
            </w:r>
          </w:p>
        </w:tc>
        <w:tc>
          <w:tcPr>
            <w:tcW w:type="dxa" w:w="4479"/>
            <w:tcBorders>
              <w:top w:sz="2" w:val="single" w:color="D0D5DD"/>
              <w:left w:sz="2" w:val="single" w:color="D0D5DD"/>
              <w:bottom w:sz="2" w:val="single" w:color="D0D5DD"/>
              <w:right w:sz="2" w:val="single" w:color="D0D5DD"/>
            </w:tcBorders>
            <w:vAlign w:val="top"/>
          </w:tcPr>
          <w:p>
            <w:r>
              <w:rPr>
                <w:rFonts w:ascii="Cambria" w:hAnsi="Cambria"/>
                <w:sz w:val="15"/>
              </w:rPr>
              <w:t>Same mean detector rate but different correlation structure; leakage; biased detector subset.</w:t>
            </w:r>
          </w:p>
        </w:tc>
      </w:tr>
      <w:tr>
        <w:trPr>
          <w:cantSplit/>
        </w:trPr>
        <w:tc>
          <w:tcPr>
            <w:tcW w:type="dxa" w:w="1871"/>
            <w:shd w:fill="F8FAFC"/>
            <w:tcBorders>
              <w:top w:sz="2" w:val="single" w:color="D0D5DD"/>
              <w:left w:sz="2" w:val="single" w:color="D0D5DD"/>
              <w:bottom w:sz="2" w:val="single" w:color="D0D5DD"/>
              <w:right w:sz="2" w:val="single" w:color="D0D5DD"/>
            </w:tcBorders>
            <w:vAlign w:val="top"/>
          </w:tcPr>
          <w:p>
            <w:r>
              <w:rPr>
                <w:rFonts w:ascii="Cambria" w:hAnsi="Cambria"/>
                <w:sz w:val="15"/>
              </w:rPr>
              <w:t>Scaling</w:t>
            </w:r>
          </w:p>
        </w:tc>
        <w:tc>
          <w:tcPr>
            <w:tcW w:type="dxa" w:w="3005"/>
            <w:shd w:fill="F8FAFC"/>
            <w:tcBorders>
              <w:top w:sz="2" w:val="single" w:color="D0D5DD"/>
              <w:left w:sz="2" w:val="single" w:color="D0D5DD"/>
              <w:bottom w:sz="2" w:val="single" w:color="D0D5DD"/>
              <w:right w:sz="2" w:val="single" w:color="D0D5DD"/>
            </w:tcBorders>
            <w:vAlign w:val="top"/>
          </w:tcPr>
          <w:p>
            <w:r>
              <w:rPr>
                <w:rFonts w:ascii="Cambria" w:hAnsi="Cambria"/>
                <w:sz w:val="15"/>
              </w:rPr>
              <w:t>Tests locality and compute.</w:t>
            </w:r>
          </w:p>
        </w:tc>
        <w:tc>
          <w:tcPr>
            <w:tcW w:type="dxa" w:w="4479"/>
            <w:shd w:fill="F8FAFC"/>
            <w:tcBorders>
              <w:top w:sz="2" w:val="single" w:color="D0D5DD"/>
              <w:left w:sz="2" w:val="single" w:color="D0D5DD"/>
              <w:bottom w:sz="2" w:val="single" w:color="D0D5DD"/>
              <w:right w:sz="2" w:val="single" w:color="D0D5DD"/>
            </w:tcBorders>
            <w:vAlign w:val="top"/>
          </w:tcPr>
          <w:p>
            <w:r>
              <w:rPr>
                <w:rFonts w:ascii="Cambria" w:hAnsi="Cambria"/>
                <w:sz w:val="15"/>
              </w:rPr>
              <w:t>Increasing code distance, detector count, control count, graph degree and number of common factors.</w:t>
            </w:r>
          </w:p>
        </w:tc>
      </w:tr>
    </w:tbl>
    <w:p>
      <w:pPr>
        <w:spacing w:after="0"/>
      </w:pPr>
    </w:p>
    <w:p>
      <w:pPr>
        <w:pStyle w:val="Heading1"/>
        <w:keepNext/>
      </w:pPr>
      <w:r>
        <w:t>11. Boundaries of the intended claim</w:t>
      </w:r>
    </w:p>
    <w:p>
      <w:r>
        <w:rPr>
          <w:i w:val="0"/>
        </w:rPr>
        <w:t>The architecture does not claim that detector events uniquely identify microscopic noise sources. It claims that a known circuit, a known control intervention and a physically constrained likelihood can often identify an operational state and a predictive law sufficiently well to improve control. If two mechanisms produce the same past and future detector statistics and require the same control, they need not be distinguished. If they predict different futures or corrections but remain observationally equivalent, additional information is unavoidable.</w:t>
      </w:r>
    </w:p>
    <w:p>
      <w:r>
        <w:rPr>
          <w:i w:val="0"/>
        </w:rPr>
        <w:t>The architecture also does not replace the QEC decoder. Decoding acts at the QEC-cycle timescale and corrects individual errors, usually through a Pauli-frame update. The staged calibration controller operates on slower timescales to keep the analogue device parameters within a regime where decoding remains effective. Very fast noise must be handled by hardware, pulse design or decoder models rather than by the calibration loop.</w:t>
      </w:r>
    </w:p>
    <w:p>
      <w:r>
        <w:rPr>
          <w:i w:val="0"/>
        </w:rPr>
        <w:t>Finally, “far outperform” is restricted to the target class of structured, recurrent or slowly varying calibration errors. The supervisor must abstain and revert to a validated baseline when structure is unsupported. Honest abstention is part of the design, not a failure of ambition.</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Staged calibration architecture —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