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Stage 4 — Probabilistic Forecasting and Uncertainty Propagation</w:t>
      </w:r>
    </w:p>
    <w:p>
      <w:pPr>
        <w:spacing w:after="200"/>
        <w:jc w:val="center"/>
      </w:pPr>
      <w:r>
        <w:rPr>
          <w:color w:val="2F6FDB"/>
          <w:sz w:val="20"/>
        </w:rPr>
        <w:t>━━━━━━━━━━━━━━━━━━━━━━━━━━━━━━━━━━━━━━━━━━━━</w:t>
      </w:r>
    </w:p>
    <w:p>
      <w:pPr>
        <w:pStyle w:val="Subtitle"/>
        <w:jc w:val="center"/>
      </w:pPr>
      <w:r>
        <w:t>Prediction of future calibration errors, detector behaviour and optimum movement</w:t>
      </w:r>
    </w:p>
    <w:p>
      <w:pPr>
        <w:jc w:val="center"/>
      </w:pPr>
      <w:r>
        <w:rPr>
          <w:rFonts w:ascii="Aptos" w:hAnsi="Aptos"/>
          <w:i/>
          <w:color w:val="4A5568"/>
          <w:sz w:val="20"/>
        </w:rPr>
        <w:t>Stage 4 of the staged physics-informed calibration architecture</w:t>
      </w:r>
    </w:p>
    <w:p>
      <w:pPr>
        <w:jc w:val="center"/>
      </w:pPr>
      <w:r>
        <w:rPr>
          <w:rFonts w:ascii="Aptos" w:hAnsi="Aptos"/>
          <w:color w:val="4A5568"/>
          <w:sz w:val="18"/>
        </w:rPr>
        <w:t>Revision 2.0 — 31 July 2026</w:t>
      </w:r>
    </w:p>
    <w:tbl>
      <w:tblPr>
        <w:tblW w:type="auto" w:w="0"/>
        <w:jc w:val="center"/>
        <w:tblLayout w:type="autofit"/>
        <w:tblLook w:firstColumn="1" w:firstRow="1" w:lastColumn="0" w:lastRow="0" w:noHBand="0" w:noVBand="1" w:val="04A0"/>
      </w:tblPr>
      <w:tblGrid>
        <w:gridCol w:w="9638"/>
      </w:tblGrid>
      <w:tr>
        <w:tc>
          <w:tcPr>
            <w:tcW w:type="dxa" w:w="9638"/>
            <w:shd w:fill="F2F4F7"/>
            <w:tcBorders>
              <w:top w:sz="8" w:val="single" w:color="1F2D3D"/>
              <w:left w:sz="8" w:val="single" w:color="1F2D3D"/>
              <w:bottom w:sz="4" w:val="single" w:color="D0D5DD"/>
              <w:right w:sz="4" w:val="single" w:color="D0D5DD"/>
            </w:tcBorders>
          </w:tcPr>
          <w:p>
            <w:r>
              <w:rPr>
                <w:rFonts w:ascii="Aptos" w:hAnsi="Aptos"/>
                <w:b/>
                <w:color w:val="1F2D3D"/>
                <w:sz w:val="20"/>
              </w:rPr>
              <w:t>Design status</w:t>
            </w:r>
          </w:p>
          <w:p>
            <w:pPr>
              <w:spacing w:after="20"/>
            </w:pPr>
            <w:r>
              <w:t>This is a proposed theoretical and computational architecture. Demonstrated results from the cited literature are identified explicitly; all system-level performance targets are hypotheses and acceptance gates, not claims of completed experimental performance.</w:t>
            </w:r>
          </w:p>
        </w:tc>
      </w:tr>
    </w:tbl>
    <w:p>
      <w:pPr>
        <w:spacing w:after="0"/>
      </w:pPr>
    </w:p>
    <w:p>
      <w:pPr>
        <w:pStyle w:val="Heading1"/>
        <w:keepNext/>
      </w:pPr>
      <w:r>
        <w:t>Abstract</w:t>
      </w:r>
    </w:p>
    <w:p>
      <w:r>
        <w:rPr>
          <w:i w:val="0"/>
        </w:rPr>
        <w:t>Stage 4 converts the joint dynamical posterior from Stage 3 into calibrated predictive distributions over the physical calibration state, detector statistics and control optimum at future times relevant to actuation. Its purpose is to exploit physical knowledge before the RL controller is forced to discover that the optimum has moved. A sinusoidal model propagates phase and amplitude; a random-telegraph model propagates state-transition probabilities; an Ornstein–Uhlenbeck model propagates mean reversion and diffusion; and an unknown-process component limits the forecast horizon. Model uncertainty, parameter uncertainty, state uncertainty, impending changepoints, actuation latency and control-dependent dynamics are propagated rather than replaced by a single extrapolated curve. The output is a set of time-indexed distributions and risk summaries that Stage 5 can optimize against. The minimum viable implementation uses analytic or particle propagation for a finite model bank; the ideal system performs nonlinear correlated forecasting and continual calibration of the forecast itself.</w:t>
      </w:r>
    </w:p>
    <w:p>
      <w:pPr>
        <w:jc w:val="center"/>
      </w:pPr>
      <w:r>
        <w:drawing>
          <wp:inline xmlns:a="http://schemas.openxmlformats.org/drawingml/2006/main" xmlns:pic="http://schemas.openxmlformats.org/drawingml/2006/picture">
            <wp:extent cx="6120000" cy="1183355"/>
            <wp:docPr id="1" name="Picture 1"/>
            <wp:cNvGraphicFramePr>
              <a:graphicFrameLocks noChangeAspect="1"/>
            </wp:cNvGraphicFramePr>
            <a:graphic>
              <a:graphicData uri="http://schemas.openxmlformats.org/drawingml/2006/picture">
                <pic:pic>
                  <pic:nvPicPr>
                    <pic:cNvPr id="0" name="stage4_contract.png"/>
                    <pic:cNvPicPr/>
                  </pic:nvPicPr>
                  <pic:blipFill>
                    <a:blip r:embed="rId11"/>
                    <a:stretch>
                      <a:fillRect/>
                    </a:stretch>
                  </pic:blipFill>
                  <pic:spPr>
                    <a:xfrm>
                      <a:off x="0" y="0"/>
                      <a:ext cx="6120000" cy="1183355"/>
                    </a:xfrm>
                    <a:prstGeom prst="rect"/>
                  </pic:spPr>
                </pic:pic>
              </a:graphicData>
            </a:graphic>
          </wp:inline>
        </w:drawing>
      </w:r>
    </w:p>
    <w:p>
      <w:pPr>
        <w:pStyle w:val="CaptionCustom"/>
        <w:jc w:val="center"/>
      </w:pPr>
      <w:r>
        <w:t>Figure 1. Stage 4 forecasts distributions, not a single future trajectory. Stage 5 can therefore trade expected performance against uncertainty and worst-case risk.</w:t>
      </w:r>
    </w:p>
    <w:p>
      <w:pPr>
        <w:pStyle w:val="Heading1"/>
        <w:keepNext/>
      </w:pPr>
      <w:r>
        <w:t>Stage contract: exact inputs, exact outputs and validity conditions</w:t>
      </w:r>
    </w:p>
    <w:p>
      <w:r>
        <w:rPr>
          <w:i w:val="0"/>
        </w:rPr>
        <w:t>The stage answers “what physical and control state should be expected when a new control action actually takes effect?” It must distinguish epistemic uncertainty from irreducible process noise and expose when prediction has ceased to be useful.</w:t>
      </w:r>
    </w:p>
    <w:p>
      <w:pPr>
        <w:pStyle w:val="Heading2"/>
        <w:keepNext/>
      </w:pPr>
      <w:r>
        <w:t>Inputs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Input field</w:t>
            </w:r>
          </w:p>
        </w:tc>
        <w:tc>
          <w:tcPr>
            <w:tcW w:type="dxa" w:w="5216"/>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Meaning and required representation</w:t>
            </w:r>
          </w:p>
        </w:tc>
        <w:tc>
          <w:tcPr>
            <w:tcW w:type="dxa" w:w="198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Source</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joint_dynamical_posterior</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Posterior samples or mixture over state, active models, discrete regimes, changepoints, parameters and shared factors.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3.</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control_response_map</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Mapping from physical calibration error and proposed controls to detector or logical objective, with uncertainty and validity region.</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0 and 2.</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latency_model</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Data acquisition, inference, optimization, waveform upload, queue and actuation delay distributions.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Stages 1, 5 and controller.</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forecast_horizons</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Required future times, including first-action time and MPC horizon; may be adaptive.</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5 and supervisor.</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planned_control_context</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Known future circuit schedule, logical basis, QEC cycle cadence and provisional control trajectory if available.</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5/QEC scheduler.</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risk_configuration</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Quantiles, tail probabilities, calibration tolerances and unknown-model thresholds.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7/system configuration.</w:t>
            </w:r>
          </w:p>
        </w:tc>
      </w:tr>
    </w:tbl>
    <w:p>
      <w:pPr>
        <w:spacing w:after="0"/>
      </w:pPr>
    </w:p>
    <w:p>
      <w:pPr>
        <w:pStyle w:val="Heading2"/>
        <w:keepNext/>
      </w:pPr>
      <w:r>
        <w:t>Outputs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15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Output field</w:t>
            </w:r>
          </w:p>
        </w:tc>
        <w:tc>
          <w:tcPr>
            <w:tcW w:type="dxa" w:w="5216"/>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Meaning and required representation</w:t>
            </w:r>
          </w:p>
        </w:tc>
        <w:tc>
          <w:tcPr>
            <w:tcW w:type="dxa" w:w="1984"/>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Consumer</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state_forecast</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p(x_{t+h}|D_1:t,u_1:t) for each required horizon, represented by samples, moments or mixtures.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5.</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regime_forecast</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Future probabilities of RTN states, model switches, changepoints and process compositions.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5 and 7.</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detector_forecast</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Predictive detector distributions under nominated future controls and circuit contexts.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Stages 5 and 7.</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optimum_forecast</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Distribution over the control vector or correction expected to minimize the declared objective.</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5.</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forecast_risk</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Variance, credible bands, tail quantiles, probability of threshold violation and model-disagreement measures.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Stages 5 and 7.</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validity_horizon</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Maximum horizon over which predictive checks and uncertainty calibration support active feedforward.</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Stages 5 and 7.</w:t>
            </w:r>
          </w:p>
        </w:tc>
      </w:tr>
      <w:tr>
        <w:trPr>
          <w:cantSplit/>
        </w:trPr>
        <w:tc>
          <w:tcPr>
            <w:tcW w:type="dxa" w:w="2154"/>
            <w:tcBorders>
              <w:top w:sz="2" w:val="single" w:color="D0D5DD"/>
              <w:left w:sz="2" w:val="single" w:color="D0D5DD"/>
              <w:bottom w:sz="2" w:val="single" w:color="D0D5DD"/>
              <w:right w:sz="2" w:val="single" w:color="D0D5DD"/>
            </w:tcBorders>
            <w:vAlign w:val="top"/>
          </w:tcPr>
          <w:p>
            <w:r>
              <w:rPr>
                <w:rFonts w:ascii="Cambria" w:hAnsi="Cambria"/>
                <w:sz w:val="16"/>
              </w:rPr>
              <w:t>forecast_score_log</w:t>
            </w:r>
          </w:p>
        </w:tc>
        <w:tc>
          <w:tcPr>
            <w:tcW w:type="dxa" w:w="5216"/>
            <w:tcBorders>
              <w:top w:sz="2" w:val="single" w:color="D0D5DD"/>
              <w:left w:sz="2" w:val="single" w:color="D0D5DD"/>
              <w:bottom w:sz="2" w:val="single" w:color="D0D5DD"/>
              <w:right w:sz="2" w:val="single" w:color="D0D5DD"/>
            </w:tcBorders>
            <w:vAlign w:val="top"/>
          </w:tcPr>
          <w:p>
            <w:r>
              <w:rPr>
                <w:rFonts w:ascii="Cambria" w:hAnsi="Cambria"/>
                <w:sz w:val="16"/>
              </w:rPr>
              <w:t>Prequential likelihood, coverage, calibration and error decomposition by model/process.</w:t>
            </w:r>
          </w:p>
        </w:tc>
        <w:tc>
          <w:tcPr>
            <w:tcW w:type="dxa" w:w="1984"/>
            <w:tcBorders>
              <w:top w:sz="2" w:val="single" w:color="D0D5DD"/>
              <w:left w:sz="2" w:val="single" w:color="D0D5DD"/>
              <w:bottom w:sz="2" w:val="single" w:color="D0D5DD"/>
              <w:right w:sz="2" w:val="single" w:color="D0D5DD"/>
            </w:tcBorders>
            <w:vAlign w:val="top"/>
          </w:tcPr>
          <w:p>
            <w:r>
              <w:rPr>
                <w:rFonts w:ascii="Cambria" w:hAnsi="Cambria"/>
                <w:sz w:val="16"/>
              </w:rPr>
              <w:t>Stage 7 and offline evaluation.</w:t>
            </w:r>
          </w:p>
        </w:tc>
      </w:tr>
      <w:tr>
        <w:trPr>
          <w:cantSplit/>
        </w:trPr>
        <w:tc>
          <w:tcPr>
            <w:tcW w:type="dxa" w:w="2154"/>
            <w:shd w:fill="F8FAFC"/>
            <w:tcBorders>
              <w:top w:sz="2" w:val="single" w:color="D0D5DD"/>
              <w:left w:sz="2" w:val="single" w:color="D0D5DD"/>
              <w:bottom w:sz="2" w:val="single" w:color="D0D5DD"/>
              <w:right w:sz="2" w:val="single" w:color="D0D5DD"/>
            </w:tcBorders>
            <w:vAlign w:val="top"/>
          </w:tcPr>
          <w:p>
            <w:r>
              <w:rPr>
                <w:rFonts w:ascii="Cambria" w:hAnsi="Cambria"/>
                <w:sz w:val="16"/>
              </w:rPr>
              <w:t>candidate_information_value</w:t>
            </w:r>
          </w:p>
        </w:tc>
        <w:tc>
          <w:tcPr>
            <w:tcW w:type="dxa" w:w="5216"/>
            <w:shd w:fill="F8FAFC"/>
            <w:tcBorders>
              <w:top w:sz="2" w:val="single" w:color="D0D5DD"/>
              <w:left w:sz="2" w:val="single" w:color="D0D5DD"/>
              <w:bottom w:sz="2" w:val="single" w:color="D0D5DD"/>
              <w:right w:sz="2" w:val="single" w:color="D0D5DD"/>
            </w:tcBorders>
            <w:vAlign w:val="top"/>
          </w:tcPr>
          <w:p>
            <w:r>
              <w:rPr>
                <w:rFonts w:ascii="Cambria" w:hAnsi="Cambria"/>
                <w:sz w:val="16"/>
              </w:rPr>
              <w:t>Expected uncertainty reduction of future telemetry or optional experiments.</w:t>
            </w:r>
          </w:p>
        </w:tc>
        <w:tc>
          <w:tcPr>
            <w:tcW w:type="dxa" w:w="1984"/>
            <w:shd w:fill="F8FAFC"/>
            <w:tcBorders>
              <w:top w:sz="2" w:val="single" w:color="D0D5DD"/>
              <w:left w:sz="2" w:val="single" w:color="D0D5DD"/>
              <w:bottom w:sz="2" w:val="single" w:color="D0D5DD"/>
              <w:right w:sz="2" w:val="single" w:color="D0D5DD"/>
            </w:tcBorders>
            <w:vAlign w:val="top"/>
          </w:tcPr>
          <w:p>
            <w:r>
              <w:rPr>
                <w:rFonts w:ascii="Cambria" w:hAnsi="Cambria"/>
                <w:sz w:val="16"/>
              </w:rPr>
              <w:t>Stage 7 active characterization.</w:t>
            </w:r>
          </w:p>
        </w:tc>
      </w:tr>
    </w:tbl>
    <w:p>
      <w:pPr>
        <w:spacing w:after="0"/>
      </w:pPr>
    </w:p>
    <w:p>
      <w:pPr>
        <w:pStyle w:val="Heading2"/>
        <w:keepNext/>
      </w:pPr>
      <w:r>
        <w:t>Contractual assumptions</w:t>
      </w:r>
    </w:p>
    <w:p>
      <w:pPr>
        <w:pStyle w:val="ListBullet"/>
        <w:ind w:left="397" w:hanging="170"/>
      </w:pPr>
      <w:r>
        <w:t>Stage 3 posterior uncertainty is retained, including multiple model and phase hypotheses.</w:t>
      </w:r>
    </w:p>
    <w:p>
      <w:pPr>
        <w:pStyle w:val="ListBullet"/>
        <w:ind w:left="397" w:hanging="170"/>
      </w:pPr>
      <w:r>
        <w:t>Latency is represented as a distribution or measured interval; forecasting to “now” is insufficient when a command takes effect later.</w:t>
      </w:r>
    </w:p>
    <w:p>
      <w:pPr>
        <w:pStyle w:val="ListBullet"/>
        <w:ind w:left="397" w:hanging="170"/>
      </w:pPr>
      <w:r>
        <w:t>The response map is valid over the forecasted state/control region or explicitly marked extrapolative.</w:t>
      </w:r>
    </w:p>
    <w:p>
      <w:pPr>
        <w:pStyle w:val="ListBullet"/>
        <w:ind w:left="397" w:hanging="170"/>
      </w:pPr>
      <w:r>
        <w:t>Future circuit context is known or scenario-weighted. A context change may alter detector sensitivity and the optimum.</w:t>
      </w:r>
    </w:p>
    <w:p>
      <w:pPr>
        <w:pStyle w:val="ListBullet"/>
        <w:ind w:left="397" w:hanging="170"/>
      </w:pPr>
      <w:r>
        <w:t>Forecast quality is continuously scored using proper probabilistic metrics.</w:t>
      </w:r>
    </w:p>
    <w:p>
      <w:pPr>
        <w:pStyle w:val="Heading1"/>
        <w:keepNext/>
      </w:pPr>
      <w:r>
        <w:t>1. Why forecasting is distinct from state estimation</w:t>
      </w:r>
    </w:p>
    <w:p>
      <w:r>
        <w:rPr>
          <w:i w:val="0"/>
        </w:rPr>
        <w:t>State estimation describes what is currently compatible with the observed detector history. Control requires the state at the time the correction is applied. If telemetry accumulation takes 0.1 s, inference and optimization take 50 ms, and waveform activation is delayed by 20 ms, the relevant prediction horizon is at least 170 ms. A fast sinusoid or RTN may change materially during this interval. Simply feeding the current posterior mean to a controller introduces systematic lag.</w:t>
      </w:r>
    </w:p>
    <w:p>
      <w:r>
        <w:rPr>
          <w:i w:val="0"/>
        </w:rPr>
        <w:t>Forecasting also creates the physical advantage over reactive RL. Once a model has inferred that an amplitude error is descending after a sinusoidal maximum, the expected direction over the next quarter period is constrained. The controller can move ahead of the observed error instead of waiting for new candidate rewards to reveal the direction.</w:t>
      </w:r>
    </w:p>
    <w:p>
      <w:pPr>
        <w:pStyle w:val="Heading1"/>
        <w:keepNext/>
      </w:pPr>
      <w:r>
        <w:t>2. Posterior propagation for each model class</w:t>
      </w:r>
    </w:p>
    <w:p>
      <w:pPr>
        <w:pStyle w:val="Heading2"/>
        <w:keepNext/>
      </w:pPr>
      <w:r>
        <w:t>2.1 Oscillator forecast</w:t>
      </w:r>
    </w:p>
    <w:p>
      <w:r>
        <w:rPr>
          <w:i w:val="0"/>
        </w:rPr>
        <w:t>For oscillator state y_t=[a_t,b_t]^T and angular frequency ω,</w:t>
      </w:r>
    </w:p>
    <w:p>
      <w:pPr>
        <w:pStyle w:val="Equation"/>
      </w:pPr>
      <w:r>
        <w:t>y_{t+h} = R(ωh)y_t + ε_h.    (1)</w:t>
      </w:r>
    </w:p>
    <w:p>
      <w:r>
        <w:rPr>
          <w:i w:val="0"/>
        </w:rPr>
        <w:t>If y_t and ω have uncertainty, samples or sigma points are propagated through the rotation. Phase uncertainty can cause a non-Gaussian annular or multimodal forecast, particularly across several periods; it must not be summarized by one Gaussian when the mean would lie near zero despite high-amplitude alternatives. Quasi-periodic models add phase diffusion or slowly changing amplitude.</w:t>
      </w:r>
    </w:p>
    <w:p>
      <w:pPr>
        <w:pStyle w:val="Heading2"/>
        <w:keepNext/>
      </w:pPr>
      <w:r>
        <w:t>2.2 RTN forecast</w:t>
      </w:r>
    </w:p>
    <w:p>
      <w:r>
        <w:rPr>
          <w:i w:val="0"/>
        </w:rPr>
        <w:t>For a two-state continuous-time Markov process with generator Q, the state-transition matrix over horizon h is P(h)=exp(Qh). Multiplying the current state-probability vector gives future occupancy. If transition rates are uncertain, integrate over their posterior. The forecast may remain bimodal in physical state; averaging the two offsets can describe a value the device never occupies and is inappropriate for regime-dependent policy switching.</w:t>
      </w:r>
    </w:p>
    <w:p>
      <w:pPr>
        <w:pStyle w:val="Heading2"/>
        <w:keepNext/>
      </w:pPr>
      <w:r>
        <w:t>2.3 OU and random-walk forecast</w:t>
      </w:r>
    </w:p>
    <w:p>
      <w:r>
        <w:rPr>
          <w:i w:val="0"/>
        </w:rPr>
        <w:t>For dξ=−κ(ξ−μ)dt+σdW, the conditional mean and variance are analytic. Mean reversion shrinks the expected deviation toward μ while uncertainty approaches the stationary variance. For a random walk, variance grows linearly with horizon. These formulas provide a transparent baseline and a test for numerical particle propagation.</w:t>
      </w:r>
    </w:p>
    <w:p>
      <w:pPr>
        <w:pStyle w:val="Heading2"/>
        <w:keepNext/>
      </w:pPr>
      <w:r>
        <w:t>2.4 Step/change forecast</w:t>
      </w:r>
    </w:p>
    <w:p>
      <w:r>
        <w:rPr>
          <w:i w:val="0"/>
        </w:rPr>
        <w:t>A changepoint model produces a mixture over “no change before h” and one or more changes. Hazard uncertainty and jump-size distribution determine tail risk. When the posterior probability of imminent change is large, Stage 5 should use robust actions and a shorter re-optimization interval rather than trusting the within-segment trajectory.</w:t>
      </w:r>
    </w:p>
    <w:p>
      <w:pPr>
        <w:pStyle w:val="Heading2"/>
        <w:keepNext/>
      </w:pPr>
      <w:r>
        <w:t>2.5 Model mixture</w:t>
      </w:r>
    </w:p>
    <w:p>
      <w:r>
        <w:rPr>
          <w:i w:val="0"/>
        </w:rPr>
        <w:t>If M models have probabilities w_m, the forecast is</w:t>
      </w:r>
    </w:p>
    <w:p>
      <w:pPr>
        <w:pStyle w:val="Equation"/>
      </w:pPr>
      <w:r>
        <w:t>p(x_{t+h}|D) = Σ_m w_m ∫ p(x_{t+h}|x_t,θ_m,m)p(x_t,θ_m|D,m) dx_t dθ_m.    (2)</w:t>
      </w:r>
    </w:p>
    <w:p>
      <w:r>
        <w:rPr>
          <w:i w:val="0"/>
        </w:rPr>
        <w:t>The mixture is preserved into the control stage. A model-averaged mean alone can be dangerously misleading when different models predict opposite movements. Model disagreement is itself an input to the trust and exploration policy.</w:t>
      </w:r>
    </w:p>
    <w:p>
      <w:pPr>
        <w:pStyle w:val="Heading1"/>
        <w:keepNext/>
      </w:pPr>
      <w:r>
        <w:t>3. Forecast horizons and latency accounting</w:t>
      </w:r>
    </w:p>
    <w:p>
      <w:r>
        <w:rPr>
          <w:i w:val="0"/>
        </w:rPr>
        <w:t>The stage produces forecasts at several horizons: the expected activation time of the next action; the times of each MPC step; the next telemetry update; and one or more diagnostic horizons. Latency distributions are convolved with process dynamics. If activation delay is random,</w:t>
      </w:r>
    </w:p>
    <w:p>
      <w:pPr>
        <w:pStyle w:val="Equation"/>
      </w:pPr>
      <w:r>
        <w:t>p(x_activation) = ∫ p(x_{t+ℓ}|D)p_latency(ℓ)dℓ.    (3)</w:t>
      </w:r>
    </w:p>
    <w:p>
      <w:r>
        <w:rPr>
          <w:i w:val="0"/>
        </w:rPr>
        <w:t>The validity horizon is the latest h for which forecast calibration and model uncertainty remain within declared limits. It may be shorter than the MPC horizon; Stage 5 must then replan or use a robust fallback beyond it. A controller should never extrapolate a sinusoid for many periods merely because a horizon was configured statically.</w:t>
      </w:r>
    </w:p>
    <w:p>
      <w:pPr>
        <w:pStyle w:val="Heading1"/>
        <w:keepNext/>
      </w:pPr>
      <w:r>
        <w:t>4. From physical-state forecast to optimum forecast</w:t>
      </w:r>
    </w:p>
    <w:p>
      <w:r>
        <w:rPr>
          <w:i w:val="0"/>
        </w:rPr>
        <w:t>Let J(u,x,c) denote the predicted QEC objective for control u, physical state x and context c. The optimum for each posterior sample is</w:t>
      </w:r>
    </w:p>
    <w:p>
      <w:pPr>
        <w:pStyle w:val="Equation"/>
      </w:pPr>
      <w:r>
        <w:t>u*(x,c) = argmin_{u in U_safe} J(u,x,c).    (4)</w:t>
      </w:r>
    </w:p>
    <w:p>
      <w:r>
        <w:rPr>
          <w:i w:val="0"/>
        </w:rPr>
        <w:t>The distribution of u* can be obtained by local analytic inversion, numerical optimization per sample, or a learned response surrogate. When the physical error directly corresponds to a control offset, feedforward may use u*=u0−Kx. In coupled systems, several controls may compensate one state and the optimum depends on shared constraints. Stage 4 reports the distribution and ambiguity rather than choosing the final action; Stage 5 owns constrained optimization.</w:t>
      </w:r>
    </w:p>
    <w:p>
      <w:r>
        <w:rPr>
          <w:i w:val="0"/>
        </w:rPr>
        <w:t>The state-to-optimum mapping has uncertainty. Calibration-response coefficients from Stage 2 are sampled jointly with x. If a response is weakly identified or outside its validity region, optimum uncertainty expands and the validity horizon contracts.</w:t>
      </w:r>
    </w:p>
    <w:p>
      <w:pPr>
        <w:pStyle w:val="Heading1"/>
        <w:keepNext/>
      </w:pPr>
      <w:r>
        <w:t>5. Detector and logical-risk forecasting</w:t>
      </w:r>
    </w:p>
    <w:p>
      <w:r>
        <w:rPr>
          <w:i w:val="0"/>
        </w:rPr>
        <w:t>A candidate future control trajectory can be pushed through the Stage-2 observation model to predict detector distributions. Selected correlations and leakage indicators should be included because a low mean detector rate can mask increased correlation. A logical-risk surrogate may map predicted local detector/error features to logical error, but it must be calibrated with independent logical evaluations and carry model uncertainty.</w:t>
      </w:r>
    </w:p>
    <w:p>
      <w:pPr>
        <w:pStyle w:val="Equation"/>
      </w:pPr>
      <w:r>
        <w:t>p(D_{t+h}|u_{t:t+h},D_1:t) = ∫ p(D_{t+h}|x_{t+h},u_{t+h})p(x_{t+h}|D_1:t)dx.    (5)</w:t>
      </w:r>
    </w:p>
    <w:p>
      <w:r>
        <w:rPr>
          <w:i w:val="0"/>
        </w:rPr>
        <w:t>The forecast reports probability of violating detector, leakage or logical-risk thresholds. Stage 5 uses these chance constraints rather than optimizing only expected rate.</w:t>
      </w:r>
    </w:p>
    <w:p>
      <w:pPr>
        <w:pStyle w:val="Heading1"/>
        <w:keepNext/>
      </w:pPr>
      <w:r>
        <w:t>6. Forecast calibration and scoring</w:t>
      </w:r>
    </w:p>
    <w:p>
      <w:r>
        <w:rPr>
          <w:i w:val="0"/>
        </w:rPr>
        <w:t>A physically plausible prediction can still be statistically miscalibrated. Every forecast is scored when the future observation arrives. Proper scores include log predictive density, Brier score for discrete states, continuous ranked probability score and empirical interval coverage. Scores are stratified by horizon, model class, region and control context.</w:t>
      </w:r>
    </w:p>
    <w:p>
      <w:r>
        <w:rPr>
          <w:i w:val="0"/>
        </w:rPr>
        <w:t>Calibration corrections, such as variance inflation or conformal residual bands, may be applied only using past data and without hiding systematic model bias. If a model repeatedly predicts the correct mean but underestimates tails, risk bounds are widened. If it predicts the wrong direction, its model probability and feedforward authority are reduced.</w:t>
      </w:r>
    </w:p>
    <w:p>
      <w:pPr>
        <w:pStyle w:val="Heading1"/>
        <w:keepNext/>
      </w:pPr>
      <w:r>
        <w:t>7. Uncertainty decomposition</w:t>
      </w:r>
    </w:p>
    <w:p>
      <w:r>
        <w:rPr>
          <w:i w:val="0"/>
        </w:rPr>
        <w:t>The forecast separates at least four contributions: current-state uncertainty, dynamical-parameter uncertainty, future process noise and model-class uncertainty. A fifth contribution is response-map uncertainty when converting state to optimum. This decomposition determines the correct amendment. More detector samples may reduce state uncertainty but cannot eliminate stochastic switching; additional system identification may reduce response uncertainty; model disagreement may require diagnostic escalation.</w:t>
      </w:r>
    </w:p>
    <w:tbl>
      <w:tblPr>
        <w:tblW w:type="auto" w:w="0"/>
        <w:jc w:val="center"/>
        <w:tblLayout w:type="autofit"/>
        <w:tblLook w:firstColumn="1" w:firstRow="1" w:lastColumn="0" w:lastRow="0" w:noHBand="0" w:noVBand="1" w:val="04A0"/>
      </w:tblPr>
      <w:tblGrid>
        <w:gridCol w:w="9638"/>
      </w:tblGrid>
      <w:tr>
        <w:tc>
          <w:tcPr>
            <w:tcW w:type="dxa" w:w="9638"/>
            <w:shd w:fill="F6F8FA"/>
            <w:tcBorders>
              <w:top w:sz="4" w:val="single" w:color="D0D5DD"/>
              <w:left w:sz="4" w:val="single" w:color="D0D5DD"/>
              <w:bottom w:sz="4" w:val="single" w:color="D0D5DD"/>
              <w:right w:sz="4" w:val="single" w:color="D0D5DD"/>
            </w:tcBorders>
            <w:vAlign w:val="center"/>
          </w:tcPr>
          <w:p>
            <w:pPr>
              <w:pStyle w:val="CodeBlock"/>
              <w:ind w:left="85" w:right="85"/>
            </w:pPr>
            <w:r>
              <w:t>ForecastBundle:</w:t>
            </w:r>
          </w:p>
          <w:p>
            <w:pPr>
              <w:pStyle w:val="CodeBlock"/>
              <w:ind w:left="85" w:right="85"/>
            </w:pPr>
            <w:r>
              <w:t xml:space="preserve">    horizons: float[H]</w:t>
            </w:r>
          </w:p>
          <w:p>
            <w:pPr>
              <w:pStyle w:val="CodeBlock"/>
              <w:ind w:left="85" w:right="85"/>
            </w:pPr>
            <w:r>
              <w:t xml:space="preserve">    state_samples_or_mixture: Distribution[H]</w:t>
            </w:r>
          </w:p>
          <w:p>
            <w:pPr>
              <w:pStyle w:val="CodeBlock"/>
              <w:ind w:left="85" w:right="85"/>
            </w:pPr>
            <w:r>
              <w:t xml:space="preserve">    regime_probabilities: array[H, regimes]</w:t>
            </w:r>
          </w:p>
          <w:p>
            <w:pPr>
              <w:pStyle w:val="CodeBlock"/>
              <w:ind w:left="85" w:right="85"/>
            </w:pPr>
            <w:r>
              <w:t xml:space="preserve">    detector_predictive: SparseDistribution[H]</w:t>
            </w:r>
          </w:p>
          <w:p>
            <w:pPr>
              <w:pStyle w:val="CodeBlock"/>
              <w:ind w:left="85" w:right="85"/>
            </w:pPr>
            <w:r>
              <w:t xml:space="preserve">    optimum_samples: array[S, H, P_local]</w:t>
            </w:r>
          </w:p>
          <w:p>
            <w:pPr>
              <w:pStyle w:val="CodeBlock"/>
              <w:ind w:left="85" w:right="85"/>
            </w:pPr>
            <w:r>
              <w:t xml:space="preserve">    risk_metrics: dict[H, Metric]</w:t>
            </w:r>
          </w:p>
          <w:p>
            <w:pPr>
              <w:pStyle w:val="CodeBlock"/>
              <w:ind w:left="85" w:right="85"/>
            </w:pPr>
            <w:r>
              <w:t xml:space="preserve">    uncertainty_breakdown: dict[H, Component]</w:t>
            </w:r>
          </w:p>
          <w:p>
            <w:pPr>
              <w:pStyle w:val="CodeBlock"/>
              <w:ind w:left="85" w:right="85"/>
            </w:pPr>
            <w:r>
              <w:t xml:space="preserve">    validity_horizon: float</w:t>
            </w:r>
          </w:p>
          <w:p>
            <w:pPr>
              <w:pStyle w:val="CodeBlock"/>
              <w:ind w:left="85" w:right="85"/>
            </w:pPr>
            <w:r>
              <w:t xml:space="preserve">    model_disagreement: array[H]</w:t>
            </w:r>
          </w:p>
          <w:p>
            <w:pPr>
              <w:pStyle w:val="CodeBlock"/>
              <w:ind w:left="85" w:right="85"/>
            </w:pPr>
            <w:r>
              <w:t xml:space="preserve">    scoring_metadata: ModelID, DataCut, Timestamp</w:t>
            </w:r>
          </w:p>
        </w:tc>
      </w:tr>
    </w:tbl>
    <w:p>
      <w:pPr>
        <w:spacing w:after="0"/>
      </w:pPr>
    </w:p>
    <w:p>
      <w:pPr>
        <w:pStyle w:val="Heading1"/>
        <w:keepNext/>
      </w:pPr>
      <w:r>
        <w:t>8. Active information and experiment value</w:t>
      </w:r>
    </w:p>
    <w:p>
      <w:r>
        <w:rPr>
          <w:i w:val="0"/>
        </w:rPr>
        <w:t>Forecasting also estimates where uncertainty will matter most. For candidate telemetry or a targeted experiment a, the expected value of information may be approximated by the expected reduction in future control regret or logical-risk uncertainty. Stage 4 supplies this quantity; Stage 7 decides whether to execute the experiment. This prevents characterization from being triggered merely because one parameter is uncertain when that uncertainty has no effect on the next control decision.</w:t>
      </w:r>
    </w:p>
    <w:p>
      <w:pPr>
        <w:pStyle w:val="Heading1"/>
        <w:keepNext/>
      </w:pPr>
      <w:r>
        <w:t>9. Minimum viable, ideal and speculative implementations</w:t>
      </w:r>
    </w:p>
    <w:tbl>
      <w:tblPr>
        <w:tblW w:type="auto" w:w="0"/>
        <w:jc w:val="center"/>
        <w:tblLayout w:type="fixed"/>
        <w:tblLook w:firstColumn="1" w:firstRow="1" w:lastColumn="0" w:lastRow="0" w:noHBand="0" w:noVBand="1" w:val="04A0"/>
      </w:tblPr>
      <w:tblGrid>
        <w:gridCol w:w="2381"/>
        <w:gridCol w:w="6917"/>
      </w:tblGrid>
      <w:tr>
        <w:trPr>
          <w:cantSplit/>
        </w:trPr>
        <w:tc>
          <w:tcPr>
            <w:tcW w:type="dxa" w:w="4819"/>
            <w:shd w:fill="E8F5EE"/>
            <w:tcBorders>
              <w:top w:sz="4" w:val="single" w:color="D0D5DD"/>
              <w:left w:sz="4" w:val="single" w:color="D0D5DD"/>
              <w:bottom w:sz="4" w:val="single" w:color="D0D5DD"/>
              <w:right w:sz="4" w:val="single" w:color="D0D5DD"/>
            </w:tcBorders>
            <w:vAlign w:val="top"/>
          </w:tcPr>
          <w:p>
            <w:r>
              <w:rPr>
                <w:rFonts w:ascii="Aptos" w:hAnsi="Aptos"/>
                <w:b/>
                <w:color w:val="027A48"/>
                <w:sz w:val="19"/>
              </w:rPr>
              <w:t>Minimum viable implementation</w:t>
            </w:r>
          </w:p>
        </w:tc>
        <w:tc>
          <w:tcPr>
            <w:tcW w:type="dxa" w:w="4819"/>
            <w:shd w:fill="E8F5EE"/>
            <w:tcBorders>
              <w:top w:sz="4" w:val="single" w:color="D0D5DD"/>
              <w:left w:sz="4" w:val="single" w:color="D0D5DD"/>
              <w:bottom w:sz="4" w:val="single" w:color="D0D5DD"/>
              <w:right w:sz="4" w:val="single" w:color="D0D5DD"/>
            </w:tcBorders>
            <w:vAlign w:val="top"/>
          </w:tcPr>
          <w:p>
            <w:r>
              <w:t>The MVP propagates posterior samples or analytic distributions for the finite Stage-3 model bank at exact activation and MPC horizons. It preserves bimodal RTN states and multimodal oscillator phase, performs model averaging, maps samples through a local response model to an optimum distribution, predicts detector-rate distributions and reports a validity horizon. It scores every forecast online. This is sufficient to anticipate known sinusoidal motion and recurrent discrete states, giving the staged controller its principal advantage over reactive RL.</w:t>
            </w:r>
          </w:p>
        </w:tc>
      </w:tr>
      <w:tr>
        <w:trPr>
          <w:cantSplit/>
        </w:trPr>
        <w:tc>
          <w:tcPr>
            <w:tcW w:type="dxa" w:w="4819"/>
            <w:shd w:fill="EAF2FF"/>
            <w:tcBorders>
              <w:top w:sz="4" w:val="single" w:color="D0D5DD"/>
              <w:left w:sz="4" w:val="single" w:color="D0D5DD"/>
              <w:bottom w:sz="4" w:val="single" w:color="D0D5DD"/>
              <w:right w:sz="4" w:val="single" w:color="D0D5DD"/>
            </w:tcBorders>
            <w:vAlign w:val="top"/>
          </w:tcPr>
          <w:p>
            <w:r>
              <w:rPr>
                <w:rFonts w:ascii="Aptos" w:hAnsi="Aptos"/>
                <w:b/>
                <w:color w:val="2F6FDB"/>
                <w:sz w:val="19"/>
              </w:rPr>
              <w:t>Ideal full implementation</w:t>
            </w:r>
          </w:p>
        </w:tc>
        <w:tc>
          <w:tcPr>
            <w:tcW w:type="dxa" w:w="4819"/>
            <w:shd w:fill="EAF2FF"/>
            <w:tcBorders>
              <w:top w:sz="4" w:val="single" w:color="D0D5DD"/>
              <w:left w:sz="4" w:val="single" w:color="D0D5DD"/>
              <w:bottom w:sz="4" w:val="single" w:color="D0D5DD"/>
              <w:right w:sz="4" w:val="single" w:color="D0D5DD"/>
            </w:tcBorders>
            <w:vAlign w:val="top"/>
          </w:tcPr>
          <w:p>
            <w:r>
              <w:t>The ideal implementation performs nonlinear, correlated and control-dependent forecasting across local and common-mode processes; includes changepoint hazards, semi-Markov dwell times and parameter resets; propagates sparse detector-correlation and logical-risk surrogates; quantifies distribution shift; and automatically selects horizon and telemetry cadence according to forecast value. It uses GPU/accelerator sample propagation where required and maintains proper calibration across contexts.</w:t>
            </w:r>
          </w:p>
        </w:tc>
      </w:tr>
      <w:tr>
        <w:trPr>
          <w:cantSplit/>
        </w:trPr>
        <w:tc>
          <w:tcPr>
            <w:tcW w:type="dxa" w:w="4819"/>
            <w:shd w:fill="F1ECFF"/>
            <w:tcBorders>
              <w:top w:sz="4" w:val="single" w:color="D0D5DD"/>
              <w:left w:sz="4" w:val="single" w:color="D0D5DD"/>
              <w:bottom w:sz="4" w:val="single" w:color="D0D5DD"/>
              <w:right w:sz="4" w:val="single" w:color="D0D5DD"/>
            </w:tcBorders>
            <w:vAlign w:val="top"/>
          </w:tcPr>
          <w:p>
            <w:r>
              <w:rPr>
                <w:rFonts w:ascii="Aptos" w:hAnsi="Aptos"/>
                <w:b/>
                <w:color w:val="6941C6"/>
                <w:sz w:val="19"/>
              </w:rPr>
              <w:t>Plausible extension — may fail</w:t>
            </w:r>
          </w:p>
        </w:tc>
        <w:tc>
          <w:tcPr>
            <w:tcW w:type="dxa" w:w="4819"/>
            <w:shd w:fill="F1ECFF"/>
            <w:tcBorders>
              <w:top w:sz="4" w:val="single" w:color="D0D5DD"/>
              <w:left w:sz="4" w:val="single" w:color="D0D5DD"/>
              <w:bottom w:sz="4" w:val="single" w:color="D0D5DD"/>
              <w:right w:sz="4" w:val="single" w:color="D0D5DD"/>
            </w:tcBorders>
            <w:vAlign w:val="top"/>
          </w:tcPr>
          <w:p>
            <w:r>
              <w:t>A neural state-space model, graph transformer or neural operator could learn residual dynamics and long-range dependencies not in the physical bank. It may fail through unstable rollout, spurious cross-device transfer or poor tail calibration. It is introduced as an ensemble residual/proposal whose output is bounded by the physical and unknown-process forecasts, not as an unchecked replacement.</w:t>
            </w:r>
          </w:p>
        </w:tc>
      </w:tr>
    </w:tbl>
    <w:p>
      <w:pPr>
        <w:spacing w:after="0"/>
      </w:pPr>
    </w:p>
    <w:p>
      <w:pPr>
        <w:pStyle w:val="Heading1"/>
        <w:keepNext/>
      </w:pPr>
      <w:r>
        <w:t>10. Failure mechanisms and required amendments</w:t>
      </w:r>
    </w:p>
    <w:tbl>
      <w:tblPr>
        <w:tblW w:type="auto" w:w="0"/>
        <w:jc w:val="center"/>
        <w:tblLayout w:type="fixed"/>
        <w:tblLook w:firstColumn="1" w:firstRow="1" w:lastColumn="0" w:lastRow="0" w:noHBand="0" w:noVBand="1" w:val="04A0"/>
      </w:tblPr>
      <w:tblGrid>
        <w:gridCol w:w="3213"/>
        <w:gridCol w:w="3213"/>
        <w:gridCol w:w="3213"/>
      </w:tblGrid>
      <w:tr>
        <w:trPr>
          <w:tblHeader w:val="true"/>
        </w:trPr>
        <w:tc>
          <w:tcPr>
            <w:tcW w:type="dxa" w:w="2098"/>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Failure mechanism</w:t>
            </w:r>
          </w:p>
        </w:tc>
        <w:tc>
          <w:tcPr>
            <w:tcW w:type="dxa" w:w="2835"/>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Mechanism</w:t>
            </w:r>
          </w:p>
        </w:tc>
        <w:tc>
          <w:tcPr>
            <w:tcW w:type="dxa" w:w="4422"/>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5"/>
              </w:rPr>
              <w:t>Non-compromising amendment</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Forecast uses current state instead of activation state</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Latency creates systematic phase lag.</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Forecast through measured acquisition, compute and actuation delay distributions; update latency online; replan when activation confirmation differs.</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Multimodal distribution collapsed to a mean</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Average of RTN states or phase modes is not physically occupied.</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Preserve mixture/samples and optimize scenarios or regime-conditioned policies; never feed only the mean when modes imply different actions.</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Long-horizon overconfidence</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Parameter/model uncertainty compounds but is ignored.</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Propagate all uncertainty, score by horizon, shorten validity horizon and use robust MPC beyond it.</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Unexpected changepoint invalidates trajectory</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Within-segment model extrapolates through a jump.</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Include hazard mixture, predictive-surprise alarm and immediate horizon truncation; freeze aggressive feedforward until re-inference.</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Response map is wrong</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State forecast is accurate but optimum mapping is biased.</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Sample response uncertainty, validate detector predictions under candidate controls and update Stage 2; limit action to validity region.</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Model averaging hides disagreement</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Opposite forecasts cancel in the mean.</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Report model-specific actions, disagreement and tail risk; Stage 5 selects robust or information-gathering action.</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Forecast score improves but control does not</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Proper score emphasizes irrelevant dimensions.</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Weight evaluation by control sensitivity and report downstream regret; retain proper probabilistic scoring to avoid gaming.</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Control affects dynamics</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Actuation changes heating, switching rate or oscillator phase.</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Use controlled transition models p(x_{t+1}|x_t,u_t), learn effects from interventions and include planned actions in propagation.</w:t>
            </w:r>
          </w:p>
        </w:tc>
      </w:tr>
      <w:tr>
        <w:trPr>
          <w:cantSplit/>
        </w:trPr>
        <w:tc>
          <w:tcPr>
            <w:tcW w:type="dxa" w:w="2098"/>
            <w:tcBorders>
              <w:top w:sz="2" w:val="single" w:color="D0D5DD"/>
              <w:left w:sz="2" w:val="single" w:color="D0D5DD"/>
              <w:bottom w:sz="2" w:val="single" w:color="D0D5DD"/>
              <w:right w:sz="2" w:val="single" w:color="D0D5DD"/>
            </w:tcBorders>
            <w:vAlign w:val="top"/>
          </w:tcPr>
          <w:p>
            <w:r>
              <w:rPr>
                <w:rFonts w:ascii="Cambria" w:hAnsi="Cambria"/>
                <w:sz w:val="15"/>
              </w:rPr>
              <w:t>Rare tails underestimated</w:t>
            </w:r>
          </w:p>
        </w:tc>
        <w:tc>
          <w:tcPr>
            <w:tcW w:type="dxa" w:w="2835"/>
            <w:tcBorders>
              <w:top w:sz="2" w:val="single" w:color="D0D5DD"/>
              <w:left w:sz="2" w:val="single" w:color="D0D5DD"/>
              <w:bottom w:sz="2" w:val="single" w:color="D0D5DD"/>
              <w:right w:sz="2" w:val="single" w:color="D0D5DD"/>
            </w:tcBorders>
            <w:vAlign w:val="top"/>
          </w:tcPr>
          <w:p>
            <w:r>
              <w:rPr>
                <w:rFonts w:ascii="Cambria" w:hAnsi="Cambria"/>
                <w:sz w:val="15"/>
              </w:rPr>
              <w:t>Gaussian process-noise assumptions miss large jumps.</w:t>
            </w:r>
          </w:p>
        </w:tc>
        <w:tc>
          <w:tcPr>
            <w:tcW w:type="dxa" w:w="4422"/>
            <w:tcBorders>
              <w:top w:sz="2" w:val="single" w:color="D0D5DD"/>
              <w:left w:sz="2" w:val="single" w:color="D0D5DD"/>
              <w:bottom w:sz="2" w:val="single" w:color="D0D5DD"/>
              <w:right w:sz="2" w:val="single" w:color="D0D5DD"/>
            </w:tcBorders>
            <w:vAlign w:val="top"/>
          </w:tcPr>
          <w:p>
            <w:r>
              <w:rPr>
                <w:rFonts w:ascii="Cambria" w:hAnsi="Cambria"/>
                <w:sz w:val="15"/>
              </w:rPr>
              <w:t>Use heavy-tailed innovations, empirical residual mixtures, stress scenarios and chance constraints calibrated to rare-event data.</w:t>
            </w:r>
          </w:p>
        </w:tc>
      </w:tr>
      <w:tr>
        <w:trPr>
          <w:cantSplit/>
        </w:trPr>
        <w:tc>
          <w:tcPr>
            <w:tcW w:type="dxa" w:w="2098"/>
            <w:shd w:fill="F8FAFC"/>
            <w:tcBorders>
              <w:top w:sz="2" w:val="single" w:color="D0D5DD"/>
              <w:left w:sz="2" w:val="single" w:color="D0D5DD"/>
              <w:bottom w:sz="2" w:val="single" w:color="D0D5DD"/>
              <w:right w:sz="2" w:val="single" w:color="D0D5DD"/>
            </w:tcBorders>
            <w:vAlign w:val="top"/>
          </w:tcPr>
          <w:p>
            <w:r>
              <w:rPr>
                <w:rFonts w:ascii="Cambria" w:hAnsi="Cambria"/>
                <w:sz w:val="15"/>
              </w:rPr>
              <w:t>Neural residual dominates physical model</w:t>
            </w:r>
          </w:p>
        </w:tc>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5"/>
              </w:rPr>
              <w:t>Data-rich correlational model overrides safe extrapolation.</w:t>
            </w:r>
          </w:p>
        </w:tc>
        <w:tc>
          <w:tcPr>
            <w:tcW w:type="dxa" w:w="4422"/>
            <w:shd w:fill="F8FAFC"/>
            <w:tcBorders>
              <w:top w:sz="2" w:val="single" w:color="D0D5DD"/>
              <w:left w:sz="2" w:val="single" w:color="D0D5DD"/>
              <w:bottom w:sz="2" w:val="single" w:color="D0D5DD"/>
              <w:right w:sz="2" w:val="single" w:color="D0D5DD"/>
            </w:tcBorders>
            <w:vAlign w:val="top"/>
          </w:tcPr>
          <w:p>
            <w:r>
              <w:rPr>
                <w:rFonts w:ascii="Cambria" w:hAnsi="Cambria"/>
                <w:sz w:val="15"/>
              </w:rPr>
              <w:t>Gate by OOD and calibration tests, cap authority, ensemble with physical/unknown models and preserve supervisor abstention.</w:t>
            </w:r>
          </w:p>
        </w:tc>
      </w:tr>
    </w:tbl>
    <w:p>
      <w:pPr>
        <w:spacing w:after="0"/>
      </w:pPr>
    </w:p>
    <w:p>
      <w:pPr>
        <w:pStyle w:val="Heading1"/>
        <w:keepNext/>
      </w:pPr>
      <w:r>
        <w:t>11. Validation programme and acceptance gates</w:t>
      </w:r>
    </w:p>
    <w:p>
      <w:r>
        <w:rPr>
          <w:i w:val="0"/>
        </w:rPr>
        <w:t>Forecasting is validated before it is allowed to control. Use held-out trajectories, rolling-origin evaluation and synthetic processes with known parameters. Compare persistence, reactive last-value, sequential-HDFA, joint physical forecast and optional learned residual models. The primary scientific question is whether forecast information reduces closed-loop sample cost and regret, not only whether a curve looks smooth.</w:t>
      </w:r>
    </w:p>
    <w:tbl>
      <w:tblPr>
        <w:tblW w:type="auto" w:w="0"/>
        <w:jc w:val="center"/>
        <w:tblLayout w:type="fixed"/>
        <w:tblLook w:firstColumn="1" w:firstRow="1" w:lastColumn="0" w:lastRow="0" w:noHBand="0" w:noVBand="1" w:val="04A0"/>
      </w:tblPr>
      <w:tblGrid>
        <w:gridCol w:w="4819"/>
        <w:gridCol w:w="4819"/>
      </w:tblGrid>
      <w:tr>
        <w:trPr>
          <w:tblHeader w:val="true"/>
        </w:trPr>
        <w:tc>
          <w:tcPr>
            <w:tcW w:type="dxa" w:w="2835"/>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Metric</w:t>
            </w:r>
          </w:p>
        </w:tc>
        <w:tc>
          <w:tcPr>
            <w:tcW w:type="dxa" w:w="6520"/>
            <w:shd w:fill="1F2D3D"/>
            <w:tcBorders>
              <w:top w:sz="4" w:val="single" w:color="FFFFFF"/>
              <w:left w:sz="4" w:val="single" w:color="FFFFFF"/>
              <w:bottom w:sz="4" w:val="single" w:color="FFFFFF"/>
              <w:right w:sz="4" w:val="single" w:color="FFFFFF"/>
            </w:tcBorders>
            <w:vAlign w:val="center"/>
          </w:tcPr>
          <w:p>
            <w:r>
              <w:rPr>
                <w:rFonts w:ascii="Aptos" w:hAnsi="Aptos"/>
                <w:b/>
                <w:color w:val="FFFFFF"/>
                <w:sz w:val="16"/>
              </w:rPr>
              <w:t>Acceptance criterion</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Proper score</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Improves over persistence and sequential baselines at control-relevant horizons.</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Coverage</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Credible intervals and event probabilities are calibrated by horizon and regime.</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Direction accuracy</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Correctly predicts sign of optimum motion for structured drift at target confidence.</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Validity horizon</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Threshold violations beyond declared horizon occur at the stated rate.</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Latency robustness</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Performance maintained under measured jitter and delayed activation.</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Control value</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Stage-5 controller using forecasts reduces recovery regret and candidate count relative to no-forecast control.</w:t>
            </w:r>
          </w:p>
        </w:tc>
      </w:tr>
      <w:tr>
        <w:trPr>
          <w:cantSplit/>
        </w:trPr>
        <w:tc>
          <w:tcPr>
            <w:tcW w:type="dxa" w:w="2835"/>
            <w:tcBorders>
              <w:top w:sz="2" w:val="single" w:color="D0D5DD"/>
              <w:left w:sz="2" w:val="single" w:color="D0D5DD"/>
              <w:bottom w:sz="2" w:val="single" w:color="D0D5DD"/>
              <w:right w:sz="2" w:val="single" w:color="D0D5DD"/>
            </w:tcBorders>
            <w:vAlign w:val="top"/>
          </w:tcPr>
          <w:p>
            <w:r>
              <w:rPr>
                <w:rFonts w:ascii="Cambria" w:hAnsi="Cambria"/>
                <w:sz w:val="16"/>
              </w:rPr>
              <w:t>OOD behaviour</w:t>
            </w:r>
          </w:p>
        </w:tc>
        <w:tc>
          <w:tcPr>
            <w:tcW w:type="dxa" w:w="6520"/>
            <w:tcBorders>
              <w:top w:sz="2" w:val="single" w:color="D0D5DD"/>
              <w:left w:sz="2" w:val="single" w:color="D0D5DD"/>
              <w:bottom w:sz="2" w:val="single" w:color="D0D5DD"/>
              <w:right w:sz="2" w:val="single" w:color="D0D5DD"/>
            </w:tcBorders>
            <w:vAlign w:val="top"/>
          </w:tcPr>
          <w:p>
            <w:r>
              <w:rPr>
                <w:rFonts w:ascii="Cambria" w:hAnsi="Cambria"/>
                <w:sz w:val="16"/>
              </w:rPr>
              <w:t>Out-of-bank or reset scenarios increase uncertainty and shorten horizon before unsafe feedforward.</w:t>
            </w:r>
          </w:p>
        </w:tc>
      </w:tr>
      <w:tr>
        <w:trPr>
          <w:cantSplit/>
        </w:trPr>
        <w:tc>
          <w:tcPr>
            <w:tcW w:type="dxa" w:w="2835"/>
            <w:shd w:fill="F8FAFC"/>
            <w:tcBorders>
              <w:top w:sz="2" w:val="single" w:color="D0D5DD"/>
              <w:left w:sz="2" w:val="single" w:color="D0D5DD"/>
              <w:bottom w:sz="2" w:val="single" w:color="D0D5DD"/>
              <w:right w:sz="2" w:val="single" w:color="D0D5DD"/>
            </w:tcBorders>
            <w:vAlign w:val="top"/>
          </w:tcPr>
          <w:p>
            <w:r>
              <w:rPr>
                <w:rFonts w:ascii="Cambria" w:hAnsi="Cambria"/>
                <w:sz w:val="16"/>
              </w:rPr>
              <w:t>Multimodality</w:t>
            </w:r>
          </w:p>
        </w:tc>
        <w:tc>
          <w:tcPr>
            <w:tcW w:type="dxa" w:w="6520"/>
            <w:shd w:fill="F8FAFC"/>
            <w:tcBorders>
              <w:top w:sz="2" w:val="single" w:color="D0D5DD"/>
              <w:left w:sz="2" w:val="single" w:color="D0D5DD"/>
              <w:bottom w:sz="2" w:val="single" w:color="D0D5DD"/>
              <w:right w:sz="2" w:val="single" w:color="D0D5DD"/>
            </w:tcBorders>
            <w:vAlign w:val="top"/>
          </w:tcPr>
          <w:p>
            <w:r>
              <w:rPr>
                <w:rFonts w:ascii="Cambria" w:hAnsi="Cambria"/>
                <w:sz w:val="16"/>
              </w:rPr>
              <w:t>RTN and phase-mixture tests avoid mean-state actions that are worse than regime-conditioned alternatives.</w:t>
            </w:r>
          </w:p>
        </w:tc>
      </w:tr>
    </w:tbl>
    <w:p>
      <w:pPr>
        <w:spacing w:after="0"/>
      </w:pPr>
    </w:p>
    <w:p>
      <w:pPr>
        <w:pStyle w:val="Heading1"/>
        <w:keepNext/>
      </w:pPr>
      <w:r>
        <w:t>12. Handover to Stage 5</w:t>
      </w:r>
    </w:p>
    <w:p>
      <w:r>
        <w:rPr>
          <w:i w:val="0"/>
        </w:rPr>
        <w:t>Stage 5 receives a ForecastBundle containing posterior samples or mixtures at every action horizon, optimum samples, detector and logical-risk predictions, active model constraints, latency assumptions, validity horizon and model-disagreement measures. The bundle also specifies which controls or physical directions are not reliably forecast. Stage 5 must not extrapolate beyond the validity horizon without a robust fallback or immediate replanning.</w:t>
      </w:r>
    </w:p>
    <w:p>
      <w:pPr>
        <w:pStyle w:val="Heading1"/>
        <w:keepNext/>
      </w:pPr>
      <w:r>
        <w:t>References</w:t>
      </w:r>
    </w:p>
    <w:p>
      <w:pPr>
        <w:pStyle w:val="SmallNote"/>
      </w:pPr>
      <w:r>
        <w:t>[1] Google Quantum AI and Google DeepMind, “Reinforcement learning control of quantum error correction,” Nature 655, 879–885 (2026), doi:10.1038/s41586-026-10759-2.</w:t>
      </w:r>
    </w:p>
    <w:p>
      <w:pPr>
        <w:pStyle w:val="SmallNote"/>
      </w:pPr>
      <w:r>
        <w:t>[2] Google Quantum AI and Google DeepMind, Supplementary Information for “Reinforcement learning control of quantum error correction” (2026).</w:t>
      </w:r>
    </w:p>
    <w:p>
      <w:pPr>
        <w:pStyle w:val="SmallNote"/>
      </w:pPr>
      <w:r>
        <w:t>[3] A. Agarwal, L. P. Lindoy, D. Lall, S. E. de Graaf, T. Lindström and I. Rungger, “Fast-tracking and disentangling of qubit noise fluctuations using minimal-data averaging and hierarchical discrete fluctuation auto-segmentation,” arXiv:2505.23622 (2025).</w:t>
      </w:r>
    </w:p>
    <w:p>
      <w:pPr>
        <w:pStyle w:val="SmallNote"/>
      </w:pPr>
      <w:r>
        <w:t>[4] Y. Chengyu, R. Meister, C. Carty, S.-K. Lin and R. Bondesan, “Bayesian Optimization for Quantum Error-Correcting Code Discovery,” arXiv:2601.18562 (2026).</w:t>
      </w:r>
    </w:p>
    <w:p>
      <w:pPr>
        <w:pStyle w:val="SmallNote"/>
      </w:pPr>
      <w:r>
        <w:t>[5] V. Gebhart et al., “Learning quantum systems,” Nature Reviews Physics 5, 141–156 (2023), doi:10.1038/s42254-022-00552-1.</w:t>
      </w:r>
    </w:p>
    <w:p>
      <w:pPr>
        <w:pStyle w:val="SmallNote"/>
      </w:pPr>
      <w:r>
        <w:t>[6] C. Granade et al., “Practical Bayesian tomography,” New Journal of Physics 18, 033024 (2016).</w:t>
      </w:r>
    </w:p>
    <w:p>
      <w:pPr>
        <w:pStyle w:val="SmallNote"/>
      </w:pPr>
      <w:r>
        <w:t>[7] R. Blume-Kohout et al., “Using pyGSTi for quantum processor characterization and benchmarking,” Sandia National Laboratories report SAND2022-XXXX (2022).</w:t>
      </w:r>
    </w:p>
    <w:p>
      <w:pPr>
        <w:pStyle w:val="SmallNote"/>
      </w:pPr>
      <w:r>
        <w:t>[8] S. Särkkä and L. Svensson, Bayesian Filtering and Smoothing, 2nd ed. (Cambridge University Press, 2023).</w:t>
      </w:r>
    </w:p>
    <w:p>
      <w:pPr>
        <w:pStyle w:val="SmallNote"/>
      </w:pPr>
      <w:r>
        <w:t>[9] R. E. Kalman, “A new approach to linear filtering and prediction problems,” Journal of Basic Engineering 82, 35–45 (1960).</w:t>
      </w:r>
    </w:p>
    <w:p>
      <w:pPr>
        <w:pStyle w:val="SmallNote"/>
      </w:pPr>
      <w:r>
        <w:t>[10] R. E. Bellman, Dynamic Programming (Princeton University Press, 1957).</w:t>
      </w:r>
    </w:p>
    <w:p>
      <w:pPr>
        <w:pStyle w:val="SmallNote"/>
      </w:pPr>
      <w:r>
        <w:t>[11] J. B. Rawlings, D. Q. Mayne and M. Diehl, Model Predictive Control: Theory, Computation, and Design, 2nd ed. (Nob Hill, 2020).</w:t>
      </w:r>
    </w:p>
    <w:p>
      <w:pPr>
        <w:pStyle w:val="SmallNote"/>
      </w:pPr>
      <w:r>
        <w:t>[12] R. S. Sutton and A. G. Barto, Reinforcement Learning: An Introduction, 2nd ed. (MIT Press, 2018).</w:t>
      </w:r>
    </w:p>
    <w:p>
      <w:pPr>
        <w:pStyle w:val="SmallNote"/>
      </w:pPr>
      <w:r>
        <w:t>[13] R. B. Adams and D. J. C. MacKay, “Bayesian online changepoint detection,” arXiv:0710.3742 (2007).</w:t>
      </w:r>
    </w:p>
    <w:p>
      <w:pPr>
        <w:pStyle w:val="SmallNote"/>
      </w:pPr>
      <w:r>
        <w:t>[14] L. R. Rabiner, “A tutorial on hidden Markov models and selected applications in speech recognition,” Proceedings of the IEEE 77, 257–286 (1989).</w:t>
      </w:r>
    </w:p>
    <w:sectPr w:rsidR="00FC693F" w:rsidRPr="0006063C" w:rsidSect="00034616">
      <w:headerReference w:type="default" r:id="rId9"/>
      <w:footerReference w:type="default" r:id="rId10"/>
      <w:pgSz w:w="11906" w:h="16838"/>
      <w:pgMar w:top="1020"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4A5568"/>
        <w:sz w:val="17"/>
      </w:rPr>
      <w:t>Stage 4 — probabilistic forecasting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71" w:lineRule="auto"/>
    </w:pPr>
    <w:rPr>
      <w:rFonts w:ascii="Cambria" w:hAnsi="Cambria" w:eastAsia="Cambr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b/>
      <w:bCs/>
      <w:color w:val="1F2D3D"/>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w:hAnsi="Aptos"/>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A556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F2D3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i/>
      <w:iCs/>
      <w:color w:val="4A5568"/>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69" w:hanging="170"/>
      <w:contextualSpacing/>
    </w:pPr>
    <w:rPr>
      <w:rFonts w:ascii="Cambria" w:hAnsi="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Cambria" w:hAnsi="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keepLines/>
      <w:spacing w:before="100" w:after="140"/>
      <w:jc w:val="center"/>
    </w:pPr>
    <w:rPr>
      <w:rFonts w:ascii="Cambria Math" w:hAnsi="Cambria Math"/>
      <w:sz w:val="21"/>
    </w:rPr>
  </w:style>
  <w:style w:type="paragraph" w:customStyle="1" w:styleId="CodeBlock">
    <w:name w:val="Code Block"/>
    <w:pPr>
      <w:spacing w:before="80" w:after="100" w:line="240" w:lineRule="auto"/>
      <w:ind w:left="283" w:right="283"/>
    </w:pPr>
    <w:rPr>
      <w:rFonts w:ascii="Consolas" w:hAnsi="Consolas"/>
      <w:sz w:val="17"/>
    </w:rPr>
  </w:style>
  <w:style w:type="paragraph" w:customStyle="1" w:styleId="CaptionCustom">
    <w:name w:val="Caption Custom"/>
    <w:pPr>
      <w:keepNext/>
      <w:spacing w:before="60" w:after="160"/>
    </w:pPr>
    <w:rPr>
      <w:rFonts w:ascii="Aptos" w:hAnsi="Aptos"/>
      <w:i/>
      <w:color w:val="4A5568"/>
      <w:sz w:val="17"/>
    </w:rPr>
  </w:style>
  <w:style w:type="paragraph" w:customStyle="1" w:styleId="SmallNote">
    <w:name w:val="Small Note"/>
    <w:pPr>
      <w:spacing w:after="60"/>
    </w:pPr>
    <w:rPr>
      <w:rFonts w:ascii="Aptos" w:hAnsi="Aptos"/>
      <w:color w:val="4A556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