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7 — Supervisory Control, Safety, Escalation and Continual Learning</w:t>
      </w:r>
    </w:p>
    <w:p>
      <w:pPr>
        <w:spacing w:after="200"/>
        <w:jc w:val="center"/>
      </w:pPr>
      <w:r>
        <w:rPr>
          <w:color w:val="2F6FDB"/>
          <w:sz w:val="20"/>
        </w:rPr>
        <w:t>━━━━━━━━━━━━━━━━━━━━━━━━━━━━━━━━━━━━━━━━━━━━</w:t>
      </w:r>
    </w:p>
    <w:p>
      <w:pPr>
        <w:pStyle w:val="Subtitle"/>
        <w:jc w:val="center"/>
      </w:pPr>
      <w:r>
        <w:t>Arbitration of operating modes, rollback, targeted characterization and model lifecycle</w:t>
      </w:r>
    </w:p>
    <w:p>
      <w:pPr>
        <w:jc w:val="center"/>
      </w:pPr>
      <w:r>
        <w:rPr>
          <w:rFonts w:ascii="Aptos" w:hAnsi="Aptos"/>
          <w:i/>
          <w:color w:val="4A5568"/>
          <w:sz w:val="20"/>
        </w:rPr>
        <w:t>Stage 7 of the staged physics-informed calibration architecture</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Stage 7 is the explicit supervisory layer that decides which estimator and controller is allowed to act, when a forecast should be trusted, when residual RL should explore, when the system must roll back, and when native QEC data are insufficient and a targeted characterization experiment is unavoidable. It receives uncertainty, validity, latency, safety and performance diagnostics from every stage. The minimum viable implementation is a deterministic, auditable state machine with hard invariants and conservative but performance-preserving transitions. The ideal implementation is a decision-theoretic partially observable supervisor with formally verified safety properties and calibrated value-of-information decisions. This layer prevents a sophisticated inference or learning component from silently operating outside its assumptions. It also manages model recurrence and continual learning: a repeated fluctuation regime may reuse a previous dynamical model and residual policy only after validation, while obsolete response maps are invalidated automatically. Any compromise with uninterrupted computation—for example, a dedicated diagnostic experiment—is declared, measured and justified by an information-theoretic need rather than hidden inside the controller.</w:t>
      </w:r>
    </w:p>
    <w:p>
      <w:pPr>
        <w:jc w:val="center"/>
      </w:pPr>
      <w:r>
        <w:drawing>
          <wp:inline xmlns:a="http://schemas.openxmlformats.org/drawingml/2006/main" xmlns:pic="http://schemas.openxmlformats.org/drawingml/2006/picture">
            <wp:extent cx="6120000" cy="1195346"/>
            <wp:docPr id="1" name="Picture 1"/>
            <wp:cNvGraphicFramePr>
              <a:graphicFrameLocks noChangeAspect="1"/>
            </wp:cNvGraphicFramePr>
            <a:graphic>
              <a:graphicData uri="http://schemas.openxmlformats.org/drawingml/2006/picture">
                <pic:pic>
                  <pic:nvPicPr>
                    <pic:cNvPr id="0" name="stage7_contract.png"/>
                    <pic:cNvPicPr/>
                  </pic:nvPicPr>
                  <pic:blipFill>
                    <a:blip r:embed="rId11"/>
                    <a:stretch>
                      <a:fillRect/>
                    </a:stretch>
                  </pic:blipFill>
                  <pic:spPr>
                    <a:xfrm>
                      <a:off x="0" y="0"/>
                      <a:ext cx="6120000" cy="1195346"/>
                    </a:xfrm>
                    <a:prstGeom prst="rect"/>
                  </pic:spPr>
                </pic:pic>
              </a:graphicData>
            </a:graphic>
          </wp:inline>
        </w:drawing>
      </w:r>
    </w:p>
    <w:p>
      <w:pPr>
        <w:pStyle w:val="CaptionCustom"/>
        <w:jc w:val="center"/>
      </w:pPr>
      <w:r>
        <w:t>Figure 1. Stage 7 is not another optimizer. It authorizes, limits or rejects the outputs of other stages and maintains an auditable operating mode.</w:t>
      </w:r>
    </w:p>
    <w:p>
      <w:pPr>
        <w:pStyle w:val="Heading1"/>
        <w:keepNext/>
      </w:pPr>
      <w:r>
        <w:t>Stage contract: exact inputs, exact outputs and validity conditions</w:t>
      </w:r>
    </w:p>
    <w:p>
      <w:r>
        <w:rPr>
          <w:i w:val="0"/>
        </w:rPr>
        <w:t>The stage answers “which control pathway is justified by the current evidence, and what must happen when its assumptions fail?” It owns mode transitions, rollback and diagnostic escalation.</w:t>
      </w:r>
    </w:p>
    <w:p>
      <w:pPr>
        <w:pStyle w:val="Heading2"/>
        <w:keepNext/>
      </w:pPr>
      <w:r>
        <w:t>Inputs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Source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stage_health_packets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Validity, uncertainty, OOD, latency, solver, convergence, damage and data-quality reports from Stages 0–6.</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All stages.</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current_policy_and_snapshots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Controller-confirmed policy, baseline/residual decomposition, rollback hashes and activation state.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Controller, Stages 0, 5 and 6.</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performance_stream</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Detector vectors, leakage/correlation sentinels, logical evaluations and calibration-regret estimates.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1, 4 and decoder interface.</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safety_invariants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Hard bounds, maximum degradation, damage budget, timeout, fail-safe policy and prohibited transitions.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0/system governance.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mode_transition_rules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Thresholds, hysteresis, dwell times, required evidence and authorized actions for each mode.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Version-controlled supervisor specification.</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experiment_catalogue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Targeted characterization experiments, expected information, duration, risks and prerequisites.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0 and active-learning library.</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model_registry</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Versions, training data, validity regions, prior regimes, response maps and residual policies.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2–6.</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mission_context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Logical workload criticality, allowable interruption, decoder capacity and maintenance window.</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Application/QEC scheduler.</w:t>
            </w:r>
          </w:p>
        </w:tc>
      </w:tr>
    </w:tbl>
    <w:p>
      <w:pPr>
        <w:spacing w:after="0"/>
      </w:pPr>
    </w:p>
    <w:p>
      <w:pPr>
        <w:pStyle w:val="Heading2"/>
        <w:keepNext/>
      </w:pPr>
      <w:r>
        <w:t>Outputs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Consumer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authorized_mode</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BOOTSTRAP, NOMINAL_PREDICTIVE, RESIDUAL_LEARNING, LOCAL_RECOVERY, UNKNOWN_EVENT, DIAGNOSTIC, DEGRADED or FAIL_SAFE.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All stages/controller.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action_authorization</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Approved, clipped, delayed, rejected or rolled-back control package with reason.</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Controller.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transition_record</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Previous/new mode, evidence, thresholds, timestamp, model versions and expected exit condition.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Audit and operator.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rollback_or_freeze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Snapshot to restore, controls to freeze and exploration permissions.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5, 6 and controller.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diagnostic_plan</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Selected experiment, expected information gain, interruption cost and post-test decision rule.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0/experiment orchestrator.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model_lifecycle_action</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Validate, promote, quarantine, retrain, invalidate, merge or archive model/policy.</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2–6.</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decoder_interface_action</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Optional decoder-prior update, increased conservatism or logical-workload restriction.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Decoder/QEC scheduler.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system_status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Human-readable and machine-readable health, uncertainty and expected recovery time.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Operator and orchestration layer.</w:t>
            </w:r>
          </w:p>
        </w:tc>
      </w:tr>
    </w:tbl>
    <w:p>
      <w:pPr>
        <w:spacing w:after="0"/>
      </w:pPr>
    </w:p>
    <w:p>
      <w:pPr>
        <w:pStyle w:val="Heading2"/>
        <w:keepNext/>
      </w:pPr>
      <w:r>
        <w:t>Contractual assumptions</w:t>
      </w:r>
    </w:p>
    <w:p>
      <w:pPr>
        <w:pStyle w:val="ListBullet"/>
        <w:ind w:left="397" w:hanging="170"/>
      </w:pPr>
      <w:r>
        <w:t>Every stage emits explicit invalidity and uncertainty; absence of a warning is not inferred from missing telemetry.</w:t>
      </w:r>
    </w:p>
    <w:p>
      <w:pPr>
        <w:pStyle w:val="ListBullet"/>
        <w:ind w:left="397" w:hanging="170"/>
      </w:pPr>
      <w:r>
        <w:t>The controller can atomically apply and restore versioned policies.</w:t>
      </w:r>
    </w:p>
    <w:p>
      <w:pPr>
        <w:pStyle w:val="ListBullet"/>
        <w:ind w:left="397" w:hanging="170"/>
      </w:pPr>
      <w:r>
        <w:t>Hard safety invariants cannot be relaxed by a learned model or local optimizer.</w:t>
      </w:r>
    </w:p>
    <w:p>
      <w:pPr>
        <w:pStyle w:val="ListBullet"/>
        <w:ind w:left="397" w:hanging="170"/>
      </w:pPr>
      <w:r>
        <w:t>Diagnostic interruption costs and extra measurements are included in benchmark accounting.</w:t>
      </w:r>
    </w:p>
    <w:p>
      <w:pPr>
        <w:pStyle w:val="ListBullet"/>
        <w:ind w:left="397" w:hanging="170"/>
      </w:pPr>
      <w:r>
        <w:t>A human may stop or veto for safety, but manual tuning is not hidden inside an automated-performance result.</w:t>
      </w:r>
    </w:p>
    <w:p>
      <w:pPr>
        <w:pStyle w:val="Heading1"/>
        <w:keepNext/>
      </w:pPr>
      <w:r>
        <w:t>1. Why an explicit supervisor is required</w:t>
      </w:r>
    </w:p>
    <w:p>
      <w:r>
        <w:rPr>
          <w:i w:val="0"/>
        </w:rPr>
        <w:t>The stages have different failure signatures and timescales. A low detector rate does not prove the physical model is valid; a high forecast confidence does not guarantee the response map is correct; an RL gradient can be statistically significant but unsafe; and a solver can return a feasible vector after the forecast has become stale. A monolithic controller can conceal these distinctions. The supervisor makes them explicit and ensures that no component silently continues when its assumptions fail.</w:t>
      </w:r>
    </w:p>
    <w:p>
      <w:r>
        <w:rPr>
          <w:i w:val="0"/>
        </w:rPr>
        <w:t>The supervisor is also where unavoidable compromises are declared. Native detector-only operation is preferred because it avoids interrupting QEC. Nevertheless, if two physical hypotheses remain observationally equivalent but require different corrections, additional information is necessary. Stage 7 decides whether to inject safe excitation, change QEC context or pause for a targeted experiment, and charges the resulting downtime to the architecture.</w:t>
      </w:r>
    </w:p>
    <w:p>
      <w:pPr>
        <w:pStyle w:val="Heading1"/>
        <w:keepNext/>
      </w:pPr>
      <w:r>
        <w:t>2. Operating modes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Mode</w:t>
            </w:r>
          </w:p>
        </w:tc>
        <w:tc>
          <w:tcPr>
            <w:tcW w:type="dxa" w:w="7370"/>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authorized behaviour</w:t>
            </w:r>
          </w:p>
        </w:tc>
      </w:tr>
      <w:tr>
        <w:trPr>
          <w:cantSplit/>
        </w:trPr>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BOOTSTRAP</w:t>
            </w:r>
          </w:p>
        </w:tc>
        <w:tc>
          <w:tcPr>
            <w:tcW w:type="dxa" w:w="7370"/>
            <w:tcBorders>
              <w:top w:sz="2" w:val="single" w:color="D0D5DD"/>
              <w:left w:sz="2" w:val="single" w:color="D0D5DD"/>
              <w:bottom w:sz="2" w:val="single" w:color="D0D5DD"/>
              <w:right w:sz="2" w:val="single" w:color="D0D5DD"/>
            </w:tcBorders>
            <w:vAlign w:val="top"/>
          </w:tcPr>
          <w:p>
            <w:r>
              <w:rPr>
                <w:rFonts w:ascii="Cambria" w:hAnsi="Cambria"/>
                <w:sz w:val="16"/>
              </w:rPr>
              <w:t>Stage 0 is constructing or revalidating the QEC-operable baseline. Dedicated characterization allowed; no claim of uninterrupted QEC.</w:t>
            </w:r>
          </w:p>
        </w:tc>
      </w:tr>
      <w:tr>
        <w:trPr>
          <w:cantSplit/>
        </w:trPr>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NOMINAL_PREDICTIVE</w:t>
            </w:r>
          </w:p>
        </w:tc>
        <w:tc>
          <w:tcPr>
            <w:tcW w:type="dxa" w:w="7370"/>
            <w:shd w:fill="F8FAFC"/>
            <w:tcBorders>
              <w:top w:sz="2" w:val="single" w:color="D0D5DD"/>
              <w:left w:sz="2" w:val="single" w:color="D0D5DD"/>
              <w:bottom w:sz="2" w:val="single" w:color="D0D5DD"/>
              <w:right w:sz="2" w:val="single" w:color="D0D5DD"/>
            </w:tcBorders>
            <w:vAlign w:val="top"/>
          </w:tcPr>
          <w:p>
            <w:r>
              <w:rPr>
                <w:rFonts w:ascii="Cambria" w:hAnsi="Cambria"/>
                <w:sz w:val="16"/>
              </w:rPr>
              <w:t>Stages 2–5 are valid; forecast confidence adequate; Stage 5 applies predictive baseline; residual exploration minimal or paused.</w:t>
            </w:r>
          </w:p>
        </w:tc>
      </w:tr>
      <w:tr>
        <w:trPr>
          <w:cantSplit/>
        </w:trPr>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RESIDUAL_LEARNING</w:t>
            </w:r>
          </w:p>
        </w:tc>
        <w:tc>
          <w:tcPr>
            <w:tcW w:type="dxa" w:w="7370"/>
            <w:tcBorders>
              <w:top w:sz="2" w:val="single" w:color="D0D5DD"/>
              <w:left w:sz="2" w:val="single" w:color="D0D5DD"/>
              <w:bottom w:sz="2" w:val="single" w:color="D0D5DD"/>
              <w:right w:sz="2" w:val="single" w:color="D0D5DD"/>
            </w:tcBorders>
            <w:vAlign w:val="top"/>
          </w:tcPr>
          <w:p>
            <w:r>
              <w:rPr>
                <w:rFonts w:ascii="Cambria" w:hAnsi="Cambria"/>
                <w:sz w:val="16"/>
              </w:rPr>
              <w:t>Predictive baseline remains safe, but residual uncertainty or bias justifies Stage-6 exploration within budget.</w:t>
            </w:r>
          </w:p>
        </w:tc>
      </w:tr>
      <w:tr>
        <w:trPr>
          <w:cantSplit/>
        </w:trPr>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LOCAL_RECOVERY</w:t>
            </w:r>
          </w:p>
        </w:tc>
        <w:tc>
          <w:tcPr>
            <w:tcW w:type="dxa" w:w="7370"/>
            <w:shd w:fill="F8FAFC"/>
            <w:tcBorders>
              <w:top w:sz="2" w:val="single" w:color="D0D5DD"/>
              <w:left w:sz="2" w:val="single" w:color="D0D5DD"/>
              <w:bottom w:sz="2" w:val="single" w:color="D0D5DD"/>
              <w:right w:sz="2" w:val="single" w:color="D0D5DD"/>
            </w:tcBorders>
            <w:vAlign w:val="top"/>
          </w:tcPr>
          <w:p>
            <w:r>
              <w:rPr>
                <w:rFonts w:ascii="Cambria" w:hAnsi="Cambria"/>
                <w:sz w:val="16"/>
              </w:rPr>
              <w:t>A localized unfamiliar change is identified. Affected controls are isolated; targeted Stage-2 identification, short MPC probes or widened local residual learning run.</w:t>
            </w:r>
          </w:p>
        </w:tc>
      </w:tr>
      <w:tr>
        <w:trPr>
          <w:cantSplit/>
        </w:trPr>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UNKNOWN_EVENT</w:t>
            </w:r>
          </w:p>
        </w:tc>
        <w:tc>
          <w:tcPr>
            <w:tcW w:type="dxa" w:w="7370"/>
            <w:tcBorders>
              <w:top w:sz="2" w:val="single" w:color="D0D5DD"/>
              <w:left w:sz="2" w:val="single" w:color="D0D5DD"/>
              <w:bottom w:sz="2" w:val="single" w:color="D0D5DD"/>
              <w:right w:sz="2" w:val="single" w:color="D0D5DD"/>
            </w:tcBorders>
            <w:vAlign w:val="top"/>
          </w:tcPr>
          <w:p>
            <w:r>
              <w:rPr>
                <w:rFonts w:ascii="Cambria" w:hAnsi="Cambria"/>
                <w:sz w:val="16"/>
              </w:rPr>
              <w:t>Model-bank/OOD evidence or broad correlated anomaly. Forecast authority is reduced, exploration frozen and common-mode diagnosis initiated.</w:t>
            </w:r>
          </w:p>
        </w:tc>
      </w:tr>
      <w:tr>
        <w:trPr>
          <w:cantSplit/>
        </w:trPr>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DIAGNOSTIC</w:t>
            </w:r>
          </w:p>
        </w:tc>
        <w:tc>
          <w:tcPr>
            <w:tcW w:type="dxa" w:w="7370"/>
            <w:shd w:fill="F8FAFC"/>
            <w:tcBorders>
              <w:top w:sz="2" w:val="single" w:color="D0D5DD"/>
              <w:left w:sz="2" w:val="single" w:color="D0D5DD"/>
              <w:bottom w:sz="2" w:val="single" w:color="D0D5DD"/>
              <w:right w:sz="2" w:val="single" w:color="D0D5DD"/>
            </w:tcBorders>
            <w:vAlign w:val="top"/>
          </w:tcPr>
          <w:p>
            <w:r>
              <w:rPr>
                <w:rFonts w:ascii="Cambria" w:hAnsi="Cambria"/>
                <w:sz w:val="16"/>
              </w:rPr>
              <w:t>A selected dedicated experiment or alternate QEC context is executed because native data are insufficient. Cost and decision rule are explicit.</w:t>
            </w:r>
          </w:p>
        </w:tc>
      </w:tr>
      <w:tr>
        <w:trPr>
          <w:cantSplit/>
        </w:trPr>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DEGRADED</w:t>
            </w:r>
          </w:p>
        </w:tc>
        <w:tc>
          <w:tcPr>
            <w:tcW w:type="dxa" w:w="7370"/>
            <w:tcBorders>
              <w:top w:sz="2" w:val="single" w:color="D0D5DD"/>
              <w:left w:sz="2" w:val="single" w:color="D0D5DD"/>
              <w:bottom w:sz="2" w:val="single" w:color="D0D5DD"/>
              <w:right w:sz="2" w:val="single" w:color="D0D5DD"/>
            </w:tcBorders>
            <w:vAlign w:val="top"/>
          </w:tcPr>
          <w:p>
            <w:r>
              <w:rPr>
                <w:rFonts w:ascii="Cambria" w:hAnsi="Cambria"/>
                <w:sz w:val="16"/>
              </w:rPr>
              <w:t>No currently valid policy meets nominal performance but hardware remains safe. Workload may be restricted, decoder conservatism increased and recovery attempted.</w:t>
            </w:r>
          </w:p>
        </w:tc>
      </w:tr>
      <w:tr>
        <w:trPr>
          <w:cantSplit/>
        </w:trPr>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FAIL_SAFE</w:t>
            </w:r>
          </w:p>
        </w:tc>
        <w:tc>
          <w:tcPr>
            <w:tcW w:type="dxa" w:w="7370"/>
            <w:shd w:fill="F8FAFC"/>
            <w:tcBorders>
              <w:top w:sz="2" w:val="single" w:color="D0D5DD"/>
              <w:left w:sz="2" w:val="single" w:color="D0D5DD"/>
              <w:bottom w:sz="2" w:val="single" w:color="D0D5DD"/>
              <w:right w:sz="2" w:val="single" w:color="D0D5DD"/>
            </w:tcBorders>
            <w:vAlign w:val="top"/>
          </w:tcPr>
          <w:p>
            <w:r>
              <w:rPr>
                <w:rFonts w:ascii="Cambria" w:hAnsi="Cambria"/>
                <w:sz w:val="16"/>
              </w:rPr>
              <w:t>Hard invariant, catastrophic event or controller inconsistency. Restore emergency policy, stop unsafe pulses and preserve audit state.</w:t>
            </w:r>
          </w:p>
        </w:tc>
      </w:tr>
    </w:tbl>
    <w:p>
      <w:pPr>
        <w:spacing w:after="0"/>
      </w:pPr>
    </w:p>
    <w:p>
      <w:pPr>
        <w:pStyle w:val="Heading1"/>
        <w:keepNext/>
      </w:pPr>
      <w:r>
        <w:t>3. Safety invariants</w:t>
      </w:r>
    </w:p>
    <w:p>
      <w:r>
        <w:rPr>
          <w:i w:val="0"/>
        </w:rPr>
        <w:t>Invariants are predicates that must hold before and after every action. They include absolute hardware bounds, pulse compiler feasibility, maximum slew, thermal duty, maximum candidate degradation, cumulative exploration damage, policy-hash consistency, data-quality validity and required rollback availability. They are checked independently of the proposing stage.</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authorize(action):</w:t>
            </w:r>
          </w:p>
          <w:p>
            <w:pPr>
              <w:pStyle w:val="CodeBlock"/>
              <w:ind w:left="85" w:right="85"/>
            </w:pPr>
            <w:r>
              <w:t xml:space="preserve">    require action.policy_hash is new_and_complete</w:t>
            </w:r>
          </w:p>
          <w:p>
            <w:pPr>
              <w:pStyle w:val="CodeBlock"/>
              <w:ind w:left="85" w:right="85"/>
            </w:pPr>
            <w:r>
              <w:t xml:space="preserve">    require hard_parameter_bounds(action)</w:t>
            </w:r>
          </w:p>
          <w:p>
            <w:pPr>
              <w:pStyle w:val="CodeBlock"/>
              <w:ind w:left="85" w:right="85"/>
            </w:pPr>
            <w:r>
              <w:t xml:space="preserve">    require slew_and_shared_resource_constraints(action)</w:t>
            </w:r>
          </w:p>
          <w:p>
            <w:pPr>
              <w:pStyle w:val="CodeBlock"/>
              <w:ind w:left="85" w:right="85"/>
            </w:pPr>
            <w:r>
              <w:t xml:space="preserve">    require action.forecast_not_stale</w:t>
            </w:r>
          </w:p>
          <w:p>
            <w:pPr>
              <w:pStyle w:val="CodeBlock"/>
              <w:ind w:left="85" w:right="85"/>
            </w:pPr>
            <w:r>
              <w:t xml:space="preserve">    require action.model_validity_or_declared_fallback</w:t>
            </w:r>
          </w:p>
          <w:p>
            <w:pPr>
              <w:pStyle w:val="CodeBlock"/>
              <w:ind w:left="85" w:right="85"/>
            </w:pPr>
            <w:r>
              <w:t xml:space="preserve">    require predicted_risk &lt;= authorized_limit</w:t>
            </w:r>
          </w:p>
          <w:p>
            <w:pPr>
              <w:pStyle w:val="CodeBlock"/>
              <w:ind w:left="85" w:right="85"/>
            </w:pPr>
            <w:r>
              <w:t xml:space="preserve">    require rollback_snapshot exists</w:t>
            </w:r>
          </w:p>
          <w:p>
            <w:pPr>
              <w:pStyle w:val="CodeBlock"/>
              <w:ind w:left="85" w:right="85"/>
            </w:pPr>
            <w:r>
              <w:t xml:space="preserve">    require telemetry_pipeline_ready(action.policy_hash)</w:t>
            </w:r>
          </w:p>
          <w:p>
            <w:pPr>
              <w:pStyle w:val="CodeBlock"/>
              <w:ind w:left="85" w:right="85"/>
            </w:pPr>
            <w:r>
              <w:t xml:space="preserve">    return APPROVED else REJECT_WITH_REASON</w:t>
            </w:r>
          </w:p>
        </w:tc>
      </w:tr>
    </w:tbl>
    <w:p>
      <w:pPr>
        <w:spacing w:after="0"/>
      </w:pPr>
    </w:p>
    <w:p>
      <w:r>
        <w:rPr>
          <w:i w:val="0"/>
        </w:rPr>
        <w:t>A learned supervisor may eventually rank actions, but it cannot override these invariants. Changes to an invariant are configuration/governance events requiring explicit approval and retrospective reporting.</w:t>
      </w:r>
    </w:p>
    <w:p>
      <w:pPr>
        <w:pStyle w:val="Heading1"/>
        <w:keepNext/>
      </w:pPr>
      <w:r>
        <w:t>4. Transition logic, hysteresis and anti-chattering</w:t>
      </w:r>
    </w:p>
    <w:p>
      <w:r>
        <w:rPr>
          <w:i w:val="0"/>
        </w:rPr>
        <w:t>Mode transitions use posterior probabilities and performance trends, not one noisy sample. Entry and exit thresholds differ, and minimum dwell times prevent rapid switching. For example, a change alarm may enter LOCAL_RECOVERY at probability 0.95, but the system returns to NOMINAL only after change probability falls below 0.2, forecast coverage recovers and independent validation passes for several windows.</w:t>
      </w:r>
    </w:p>
    <w:p>
      <w:r>
        <w:rPr>
          <w:i w:val="0"/>
        </w:rPr>
        <w:t>Thresholds are calibrated by fault-injection tests and cost asymmetry. Missing a catastrophic event is more costly than a false local-recovery trigger; frequent diagnostic interruptions may be more costly than a short period of residual learning. The rationale and empirical operating curve are documented.</w:t>
      </w:r>
    </w:p>
    <w:p>
      <w:pPr>
        <w:pStyle w:val="Heading1"/>
        <w:keepNext/>
      </w:pPr>
      <w:r>
        <w:t>5. Monitoring hierarchy</w:t>
      </w:r>
    </w:p>
    <w:p>
      <w:pPr>
        <w:pStyle w:val="Heading2"/>
        <w:keepNext/>
      </w:pPr>
      <w:r>
        <w:t>5.1 Data integrity</w:t>
      </w:r>
    </w:p>
    <w:p>
      <w:r>
        <w:rPr>
          <w:i w:val="0"/>
        </w:rPr>
        <w:t>Hard-invalid Stage-1 data block all physical and learning updates. The system may continue at a validated fixed policy for a bounded time if safe, but no model is updated from corrupted telemetry.</w:t>
      </w:r>
    </w:p>
    <w:p>
      <w:pPr>
        <w:pStyle w:val="Heading2"/>
        <w:keepNext/>
      </w:pPr>
      <w:r>
        <w:t>5.2 Inference and forecast validity</w:t>
      </w:r>
    </w:p>
    <w:p>
      <w:r>
        <w:rPr>
          <w:i w:val="0"/>
        </w:rPr>
        <w:t>Low observability, high unknown-model mass, posterior predictive failure, online/offline divergence or expired validity horizon reduces predictive authority. Depending on severity, the supervisor expands safe system identification, enters local recovery or diagnostics.</w:t>
      </w:r>
    </w:p>
    <w:p>
      <w:pPr>
        <w:pStyle w:val="Heading2"/>
        <w:keepNext/>
      </w:pPr>
      <w:r>
        <w:t>5.3 Control and learning health</w:t>
      </w:r>
    </w:p>
    <w:p>
      <w:r>
        <w:rPr>
          <w:i w:val="0"/>
        </w:rPr>
        <w:t>Active constraints, solver failure, residual growth, covariance collapse, exploration damage and objective mismatch are monitored. Persistent residual bias indicates that the physical model should absorb a new process rather than letting RL compensate indefinitely.</w:t>
      </w:r>
    </w:p>
    <w:p>
      <w:pPr>
        <w:pStyle w:val="Heading2"/>
        <w:keepNext/>
      </w:pPr>
      <w:r>
        <w:t>5.4 QEC performance</w:t>
      </w:r>
    </w:p>
    <w:p>
      <w:r>
        <w:rPr>
          <w:i w:val="0"/>
        </w:rPr>
        <w:t>Detector averages, spatial maxima, correlations, leakage indicators and periodic logical evaluations are monitored. A statistically significant divergence between detector surrogate and logical performance immediately limits the offending objective and triggers rollback or diagnostic analysis.</w:t>
      </w:r>
    </w:p>
    <w:p>
      <w:pPr>
        <w:pStyle w:val="Heading1"/>
        <w:keepNext/>
      </w:pPr>
      <w:r>
        <w:t>6. Escalation and targeted characterization</w:t>
      </w:r>
    </w:p>
    <w:p>
      <w:r>
        <w:rPr>
          <w:i w:val="0"/>
        </w:rPr>
        <w:t>A diagnostic experiment is selected only when it is expected to change a control decision. For candidate experiment a and competing hypotheses H, the supervisor estimates expected reduction in control regret or logical-risk uncertainty divided by interruption cost:</w:t>
      </w:r>
    </w:p>
    <w:p>
      <w:pPr>
        <w:pStyle w:val="Equation"/>
      </w:pPr>
      <w:r>
        <w:t>V(a) = [E U_before − E U_after(a)] / [time(a) + λ risk(a)].    (1)</w:t>
      </w:r>
    </w:p>
    <w:p>
      <w:r>
        <w:rPr>
          <w:i w:val="0"/>
        </w:rPr>
        <w:t>Examples include a short Ramsey sequence to resolve detuning sign, a leakage-sensitive sequence, a readout reassignment check, a basis/context change that separates two response patterns, or a local antithetic calibration probe. The plan states what observation would support each next action. An experiment is not run merely to improve scientific interpretation when both hypotheses require the same control.</w:t>
      </w:r>
    </w:p>
    <w:tbl>
      <w:tblPr>
        <w:tblW w:type="auto" w:w="0"/>
        <w:jc w:val="center"/>
        <w:tblLayout w:type="autofit"/>
        <w:tblLook w:firstColumn="1" w:firstRow="1" w:lastColumn="0" w:lastRow="0" w:noHBand="0" w:noVBand="1" w:val="04A0"/>
      </w:tblPr>
      <w:tblGrid>
        <w:gridCol w:w="9638"/>
      </w:tblGrid>
      <w:tr>
        <w:tc>
          <w:tcPr>
            <w:tcW w:type="dxa" w:w="9638"/>
            <w:shd w:fill="FFF3E0"/>
            <w:tcBorders>
              <w:top w:sz="8" w:val="single" w:color="B54708"/>
              <w:left w:sz="8" w:val="single" w:color="B54708"/>
              <w:bottom w:sz="4" w:val="single" w:color="D0D5DD"/>
              <w:right w:sz="4" w:val="single" w:color="D0D5DD"/>
            </w:tcBorders>
          </w:tcPr>
          <w:p>
            <w:r>
              <w:rPr>
                <w:rFonts w:ascii="Aptos" w:hAnsi="Aptos"/>
                <w:b/>
                <w:color w:val="B54708"/>
                <w:sz w:val="20"/>
              </w:rPr>
              <w:t>Explicit compromise</w:t>
            </w:r>
          </w:p>
          <w:p>
            <w:pPr>
              <w:spacing w:after="20"/>
            </w:pPr>
            <w:r>
              <w:t>Targeted characterization interrupts or modifies nominal QEC and therefore violates the strictest “same detector stream and no more” operating condition. It is authorized only when native data are information-theoretically insufficient for a decision that matters. Its shots, duration and logical interruption are reported separately. The architecture does not disguise this cost or claim that software can infer information absent from the measurements.</w:t>
            </w:r>
          </w:p>
        </w:tc>
      </w:tr>
    </w:tbl>
    <w:p>
      <w:pPr>
        <w:spacing w:after="0"/>
      </w:pPr>
    </w:p>
    <w:p>
      <w:pPr>
        <w:pStyle w:val="Heading1"/>
        <w:keepNext/>
      </w:pPr>
      <w:r>
        <w:t>7. Rollback and recovery</w:t>
      </w:r>
    </w:p>
    <w:p>
      <w:r>
        <w:rPr>
          <w:i w:val="0"/>
        </w:rPr>
        <w:t>Before every accepted update, the supervisor stores a controller-confirmed snapshot and expected baseline telemetry. Rollback is atomic: all parameters in a policy patch are restored together, the new hash is acknowledged, Stage 1 changes attribution, and stale model/replay data are marked. Partial rollback is allowed only for explicitly independent regions and after shared-resource checks.</w:t>
      </w:r>
    </w:p>
    <w:p>
      <w:r>
        <w:rPr>
          <w:i w:val="0"/>
        </w:rPr>
        <w:t>Recovery verifies the rollback rather than assuming it. If detector performance does not return to the expected distribution, the previous policy is no longer valid under the current device state and the system enters UNKNOWN_EVENT or BOOTSTRAP. Repeated failed rollbacks indicate hardware or response-map change, not optimizer bad luck.</w:t>
      </w:r>
    </w:p>
    <w:p>
      <w:pPr>
        <w:pStyle w:val="Heading1"/>
        <w:keepNext/>
      </w:pPr>
      <w:r>
        <w:t>8. Model lifecycle and recurring regimes</w:t>
      </w:r>
    </w:p>
    <w:p>
      <w:r>
        <w:rPr>
          <w:i w:val="0"/>
        </w:rPr>
        <w:t>Every response model, dynamical model, forecast calibrator, MPC configuration and residual policy has a version, training interval, validity region and performance history. Models progress through candidate, validated, promoted, quarantined and archived states. A model is promoted only after held-out predictive and closed-loop tests. Online adaptation creates a new version rather than silently mutating the deployed model.</w:t>
      </w:r>
    </w:p>
    <w:p>
      <w:r>
        <w:rPr>
          <w:i w:val="0"/>
        </w:rPr>
        <w:t>When Stage 3 recognizes a previously observed regime, the supervisor may warm-start its state, dynamical parameters, MPC trajectory and residual policy. It first performs a short validation against current detector response because device ageing or other changes can make a visually similar regime operationally different. Failed recurrence validation creates a new regime version rather than overwriting history.</w:t>
      </w:r>
    </w:p>
    <w:p>
      <w:pPr>
        <w:pStyle w:val="Heading1"/>
        <w:keepNext/>
      </w:pPr>
      <w:r>
        <w:t>9. Decoder and workload interface</w:t>
      </w:r>
    </w:p>
    <w:p>
      <w:r>
        <w:rPr>
          <w:i w:val="0"/>
        </w:rPr>
        <w:t>The calibration controller does not replace the decoder, but it can provide uncertainty-aware noise information. A detected leakage or correlated event may justify temporary decoder-prior changes, erasure flags, increased matching weights or logical workload restrictions. Decoder updates require their own safety and validation because a wrong prior can increase logical error even if physical control improves.</w:t>
      </w:r>
    </w:p>
    <w:p>
      <w:r>
        <w:rPr>
          <w:i w:val="0"/>
        </w:rPr>
        <w:t>The workload scheduler may postpone sensitive logical operations during UNKNOWN_EVENT or DIAGNOSTIC modes, use spare regions, or reduce code deformation. These actions introduce application overhead and must be reported separately from calibration gains.</w:t>
      </w:r>
    </w:p>
    <w:p>
      <w:pPr>
        <w:pStyle w:val="Heading1"/>
        <w:keepNext/>
      </w:pPr>
      <w:r>
        <w:t>10. Detailed MVP state machine</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on each supervisor tick:</w:t>
            </w:r>
          </w:p>
          <w:p>
            <w:pPr>
              <w:pStyle w:val="CodeBlock"/>
              <w:ind w:left="85" w:right="85"/>
            </w:pPr>
            <w:r>
              <w:t xml:space="preserve">    ingest_stage_health_and_confirm_policy()</w:t>
            </w:r>
          </w:p>
          <w:p>
            <w:pPr>
              <w:pStyle w:val="CodeBlock"/>
              <w:ind w:left="85" w:right="85"/>
            </w:pPr>
            <w:r>
              <w:t xml:space="preserve">    if hard_invariant_failed or controller_state_inconsistent:</w:t>
            </w:r>
          </w:p>
          <w:p>
            <w:pPr>
              <w:pStyle w:val="CodeBlock"/>
              <w:ind w:left="85" w:right="85"/>
            </w:pPr>
            <w:r>
              <w:t xml:space="preserve">        enter(FAIL_SAFE); restore_emergency_policy(); return</w:t>
            </w:r>
          </w:p>
          <w:p>
            <w:pPr>
              <w:pStyle w:val="CodeBlock"/>
              <w:ind w:left="85" w:right="85"/>
            </w:pPr>
            <w:r>
              <w:t xml:space="preserve">    if stage1_data_hard_invalid:</w:t>
            </w:r>
          </w:p>
          <w:p>
            <w:pPr>
              <w:pStyle w:val="CodeBlock"/>
              <w:ind w:left="85" w:right="85"/>
            </w:pPr>
            <w:r>
              <w:t xml:space="preserve">        freeze_model_updates(); remain_fixed_or_enter(DEGRADED); return</w:t>
            </w:r>
          </w:p>
          <w:p>
            <w:pPr>
              <w:pStyle w:val="CodeBlock"/>
              <w:ind w:left="85" w:right="85"/>
            </w:pPr>
            <w:r>
              <w:t xml:space="preserve">    if bootstrap_required_or_graph_invalid_broadly:</w:t>
            </w:r>
          </w:p>
          <w:p>
            <w:pPr>
              <w:pStyle w:val="CodeBlock"/>
              <w:ind w:left="85" w:right="85"/>
            </w:pPr>
            <w:r>
              <w:t xml:space="preserve">        enter(BOOTSTRAP); authorize_stage0(); return</w:t>
            </w:r>
          </w:p>
          <w:p>
            <w:pPr>
              <w:pStyle w:val="CodeBlock"/>
              <w:ind w:left="85" w:right="85"/>
            </w:pPr>
            <w:r>
              <w:t xml:space="preserve">    if broad_ood_or_catastrophic_change:</w:t>
            </w:r>
          </w:p>
          <w:p>
            <w:pPr>
              <w:pStyle w:val="CodeBlock"/>
              <w:ind w:left="85" w:right="85"/>
            </w:pPr>
            <w:r>
              <w:t xml:space="preserve">        freeze_exploration(); rollback_if_beneficial(); enter(UNKNOWN_EVENT); return</w:t>
            </w:r>
          </w:p>
          <w:p>
            <w:pPr>
              <w:pStyle w:val="CodeBlock"/>
              <w:ind w:left="85" w:right="85"/>
            </w:pPr>
            <w:r>
              <w:t xml:space="preserve">    if local_change_high_probability:</w:t>
            </w:r>
          </w:p>
          <w:p>
            <w:pPr>
              <w:pStyle w:val="CodeBlock"/>
              <w:ind w:left="85" w:right="85"/>
            </w:pPr>
            <w:r>
              <w:t xml:space="preserve">        enter(LOCAL_RECOVERY); authorize_local_identification(); return</w:t>
            </w:r>
          </w:p>
          <w:p>
            <w:pPr>
              <w:pStyle w:val="CodeBlock"/>
              <w:ind w:left="85" w:right="85"/>
            </w:pPr>
            <w:r>
              <w:t xml:space="preserve">    if observation_nonidentifiable_and_decision_sensitive:</w:t>
            </w:r>
          </w:p>
          <w:p>
            <w:pPr>
              <w:pStyle w:val="CodeBlock"/>
              <w:ind w:left="85" w:right="85"/>
            </w:pPr>
            <w:r>
              <w:t xml:space="preserve">        plan = select_targeted_experiment(); enter(DIAGNOSTIC); execute(plan); return</w:t>
            </w:r>
          </w:p>
          <w:p>
            <w:pPr>
              <w:pStyle w:val="CodeBlock"/>
              <w:ind w:left="85" w:right="85"/>
            </w:pPr>
            <w:r>
              <w:t xml:space="preserve">    if forecast_valid_and_residual_small:</w:t>
            </w:r>
          </w:p>
          <w:p>
            <w:pPr>
              <w:pStyle w:val="CodeBlock"/>
              <w:ind w:left="85" w:right="85"/>
            </w:pPr>
            <w:r>
              <w:t xml:space="preserve">        enter(NOMINAL_PREDICTIVE); authorize_stage5(); return</w:t>
            </w:r>
          </w:p>
          <w:p>
            <w:pPr>
              <w:pStyle w:val="CodeBlock"/>
              <w:ind w:left="85" w:right="85"/>
            </w:pPr>
            <w:r>
              <w:t xml:space="preserve">    if forecast_valid_and_residual_learning_safe:</w:t>
            </w:r>
          </w:p>
          <w:p>
            <w:pPr>
              <w:pStyle w:val="CodeBlock"/>
              <w:ind w:left="85" w:right="85"/>
            </w:pPr>
            <w:r>
              <w:t xml:space="preserve">        enter(RESIDUAL_LEARNING); authorize_stage5_and_stage6(); return</w:t>
            </w:r>
          </w:p>
          <w:p>
            <w:pPr>
              <w:pStyle w:val="CodeBlock"/>
              <w:ind w:left="85" w:right="85"/>
            </w:pPr>
            <w:r>
              <w:t xml:space="preserve">    enter(DEGRADED); use_safest_validated_policy_and_reassess()</w:t>
            </w:r>
          </w:p>
        </w:tc>
      </w:tr>
    </w:tbl>
    <w:p>
      <w:pPr>
        <w:spacing w:after="0"/>
      </w:pPr>
    </w:p>
    <w:p>
      <w:pPr>
        <w:pStyle w:val="Heading1"/>
        <w:keepNext/>
      </w:pPr>
      <w:r>
        <w:t>11. Minimum viable, ideal and speculative implementations</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The MVP is a deterministic, version-controlled state machine implementing the eight modes, hard invariants, hysteretic transitions, atomic rollback, exploration budgets, OOD/change triggers, targeted-experiment selection from a finite catalogue, model versioning and an immutable audit log. It automatically reverts to a reproduced full-RL baseline when physical forecasts are uninformative and escalates to Stage 0 only when QEC observability is lost. This supervisor is sufficient to preserve the performance gains of the staged MVP without allowing a bad physical prediction to become a systematic error.</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ideal implementation formulates supervision as a constrained partially observable decision process whose actions include estimator mode, telemetry cadence, diagnostic experiment, MPC authority, residual exploration and decoder/workload adaptation. It uses calibrated cost models, formal verification of hard invariants, probabilistic runtime assurance, causal incident analysis and cross-device model governance. Learned decision support may rank options, but formally checked constraints remain authoritative.</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fully self-managing system could jointly adapt calibration, decoder, code layout and application mapping across a large processor. It may fail because objectives conflict, system identification is incomplete and rare-event safety cannot be learned from available data. It should be introduced as a slower planning layer with explicit human/governance review, not as an unconstrained online authority.</w:t>
            </w:r>
          </w:p>
        </w:tc>
      </w:tr>
    </w:tbl>
    <w:p>
      <w:pPr>
        <w:spacing w:after="0"/>
      </w:pPr>
    </w:p>
    <w:p>
      <w:pPr>
        <w:pStyle w:val="Heading1"/>
        <w:keepNext/>
      </w:pPr>
      <w:r>
        <w:t>12. Failure mechanisms and required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Mechanism</w:t>
            </w:r>
          </w:p>
        </w:tc>
        <w:tc>
          <w:tcPr>
            <w:tcW w:type="dxa" w:w="442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Non-compromising amendment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Mode chattering</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Noisy metrics repeatedly cross thresholds.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posterior probabilities, separate entry/exit thresholds, minimum dwell times and transition costs; preserve fast fail-safe path for hard violations.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Thresholds hide poor performance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Conservative rules keep system safe but negate forecast advantage.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Calibrate operating curves on fault injection, optimize expected regret subject to invariants and report performance-risk frontier. Conservatism must be justified, not assumed virtuous.</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Supervisor misses a common-mode event</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Local stages each appear marginally valid.</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Monitor cross-region residual coherence, controller/environment telemetry and global detector motifs; include broad-event mode and shared rollback.</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Rollback policy is stale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Restored controls no longer match device state.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Verify rollback with expected telemetry; if validation fails, enter UNKNOWN_EVENT/BOOTSTRAP rather than repeated rollback.</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Diagnostic experiments become frequent</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Native inference remains weak and interruptions erase the claimed benefit.</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Track diagnostic fraction as primary metric, improve observability/response models and require value-of-information threshold. If frequent diagnostics remain necessary, narrow the native-only claim explicitly.</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Learned model is promoted too early</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Good in-sample performance fails under new regime.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held-out temporal/device splits, shadow deployment, calibrated uncertainty and rollback; promotion is separate from training.</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Recurring regime misidentified</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Stored policy applied to superficially similar but changed hardware state.</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Short validation, response-map comparison and probabilistic warm start; create new version on mismatch.</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Objective mismatch detected late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Logical error rises between sparse evaluations.</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correlation/leakage sentinels and conservative logical-risk surrogate, increase evaluation cadence when risk rises, and count overhead explicitly.</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Operator intervention contaminates automation claim</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Manual tuning occurs without record.</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All changes pass through controller API and audit log; emergency manual actions terminate automated benchmark segment.</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Supervisor itself fails or stalls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Central process becomes single point of failure.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Runtime watchdog, redundant minimal safety monitor, deterministic fail-safe policy and formally tested recovery. Complex decision logic is not in the lowest-level interlock.</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Compromise is hidden</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Extra measurements, pauses or workload changes make staged system appear better.</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Report detector cycles, wall time, diagnostic shots, downtime, code/decoder changes and logical workload separately; use matched accounting with baseline.</w:t>
            </w:r>
          </w:p>
        </w:tc>
      </w:tr>
    </w:tbl>
    <w:p>
      <w:pPr>
        <w:spacing w:after="0"/>
      </w:pPr>
    </w:p>
    <w:p>
      <w:pPr>
        <w:pStyle w:val="Heading1"/>
        <w:keepNext/>
      </w:pPr>
      <w:r>
        <w:t>13. Validation programme and acceptance gates</w:t>
      </w:r>
    </w:p>
    <w:p>
      <w:r>
        <w:rPr>
          <w:i w:val="0"/>
        </w:rPr>
        <w:t>The supervisor is tested by systematic fault injection: corrupted telemetry, stale forecasts, wrong physical model, solver infeasibility, excessive RL damage, broad correlated events, failed rollback, policy-hash mismatch and diagnostic ambiguity. Tests verify both the selected mode and the exact reason. End-to-end benchmarks compare performance with and without the supervisor to ensure safety does not silently remove the intended gains.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Metric</w:t>
            </w:r>
          </w:p>
        </w:tc>
        <w:tc>
          <w:tcPr>
            <w:tcW w:type="dxa" w:w="6520"/>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Acceptance criterion</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Hard safety</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All injected invariant violations rejected or driven to FAIL_SAFE before execution.</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Transition correctness</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Expected modes and actions selected for a complete labelled fault suite.</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Chattering</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Transition rate remains below declared bound without delaying critical alarms.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Rollback</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Atomic restoration and verification pass in all recoverable fault tests.</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Diagnostic value</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Selected experiment resolves decision-relevant ambiguity at lower expected cost than alternatives.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Downtime accounting</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All diagnostic, bootstrap and workload interruptions reported and included in regret.</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Performance preservation</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Supervisor-enabled staged MVP meets system-level ≥10× recovery-sample and ≥5× regret targets under structured drift.</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Baseline fallback</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When physical structure is absent, authorized full-RL mode matches validated reference performance.</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Auditability</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Every action reconstructible from immutable inputs, model versions, thresholds and policy hashes.</w:t>
            </w:r>
          </w:p>
        </w:tc>
      </w:tr>
    </w:tbl>
    <w:p>
      <w:pPr>
        <w:spacing w:after="0"/>
      </w:pPr>
    </w:p>
    <w:p>
      <w:pPr>
        <w:pStyle w:val="Heading1"/>
        <w:keepNext/>
      </w:pPr>
      <w:r>
        <w:t>14. End-to-end output and research record</w:t>
      </w:r>
    </w:p>
    <w:p>
      <w:r>
        <w:rPr>
          <w:i w:val="0"/>
        </w:rPr>
        <w:t>Stage 7 produces the definitive experiment log: which stage acted, which evidence justified it, what control was executed, what uncertainty and constraints applied, whether extra measurement or downtime occurred, and how the device and logical performance responded. This log is the basis for scientific comparison. It allows the project to distinguish a genuine gain from physical prediction, a gain from faster software, a gain from extra diagnostic measurements and a gain from changing the QEC or workload context.</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 7 — supervision and safety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