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646" w:rsidRDefault="005A7398" w:rsidP="00951BDC">
      <w:pPr>
        <w:spacing w:line="360" w:lineRule="auto"/>
        <w:jc w:val="center"/>
      </w:pPr>
      <w:r>
        <w:rPr>
          <w:noProof/>
          <w:lang w:val="en-US"/>
        </w:rPr>
        <w:drawing>
          <wp:inline distT="0" distB="0" distL="0" distR="0">
            <wp:extent cx="1905642" cy="190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F_zenklas_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5642" cy="1908000"/>
                    </a:xfrm>
                    <a:prstGeom prst="rect">
                      <a:avLst/>
                    </a:prstGeom>
                  </pic:spPr>
                </pic:pic>
              </a:graphicData>
            </a:graphic>
          </wp:inline>
        </w:drawing>
      </w:r>
    </w:p>
    <w:p w:rsidR="005A7398" w:rsidRDefault="005A7398" w:rsidP="00951BDC">
      <w:pPr>
        <w:spacing w:line="360" w:lineRule="auto"/>
        <w:jc w:val="center"/>
      </w:pPr>
    </w:p>
    <w:p w:rsidR="005A7398" w:rsidRDefault="005A7398" w:rsidP="00951BDC">
      <w:pPr>
        <w:spacing w:line="360" w:lineRule="auto"/>
        <w:jc w:val="center"/>
      </w:pPr>
      <w:r>
        <w:t>VILNIAUS UNIVERSITETAS</w:t>
      </w:r>
    </w:p>
    <w:p w:rsidR="005A7398" w:rsidRDefault="005A7398" w:rsidP="00951BDC">
      <w:pPr>
        <w:spacing w:line="360" w:lineRule="auto"/>
        <w:jc w:val="center"/>
      </w:pPr>
      <w:r>
        <w:t>MATEMATIKOS IR INFORMATIKOS FAKULTETAS</w:t>
      </w:r>
    </w:p>
    <w:p w:rsidR="005A7398" w:rsidRDefault="005A7398" w:rsidP="00951BDC">
      <w:pPr>
        <w:spacing w:line="360" w:lineRule="auto"/>
        <w:jc w:val="center"/>
      </w:pPr>
      <w:r>
        <w:t>EKONOMETRINĖS ANALIZĖS KATEDRA</w:t>
      </w:r>
    </w:p>
    <w:p w:rsidR="005A7398" w:rsidRDefault="005A7398" w:rsidP="00951BDC">
      <w:pPr>
        <w:spacing w:line="360" w:lineRule="auto"/>
        <w:jc w:val="center"/>
      </w:pPr>
    </w:p>
    <w:p w:rsidR="005A7398" w:rsidRDefault="005A7398" w:rsidP="00951BDC">
      <w:pPr>
        <w:spacing w:line="360" w:lineRule="auto"/>
        <w:jc w:val="center"/>
      </w:pPr>
      <w:r>
        <w:t>Milda Pieškutė</w:t>
      </w:r>
      <w:r w:rsidR="00516692">
        <w:t xml:space="preserve"> ir Raigardas Balužis</w:t>
      </w:r>
    </w:p>
    <w:p w:rsidR="005A7398" w:rsidRDefault="005A7398" w:rsidP="00951BDC">
      <w:pPr>
        <w:spacing w:line="360" w:lineRule="auto"/>
        <w:jc w:val="center"/>
      </w:pPr>
    </w:p>
    <w:p w:rsidR="005A7398" w:rsidRDefault="005A7398" w:rsidP="00951BDC">
      <w:pPr>
        <w:spacing w:line="360" w:lineRule="auto"/>
        <w:jc w:val="center"/>
      </w:pPr>
      <w:r>
        <w:t>„</w:t>
      </w:r>
      <w:r w:rsidR="00516692" w:rsidRPr="00516692">
        <w:t>Užimtumo Lietuvoje 2011-2016m. statistinė analizė</w:t>
      </w:r>
      <w:r>
        <w:t>“</w:t>
      </w:r>
    </w:p>
    <w:p w:rsidR="005A7398" w:rsidRDefault="005A7398" w:rsidP="00951BDC">
      <w:pPr>
        <w:spacing w:line="360" w:lineRule="auto"/>
        <w:jc w:val="center"/>
      </w:pPr>
      <w:r>
        <w:t>Kursinis darbas</w:t>
      </w:r>
    </w:p>
    <w:p w:rsidR="005A7398" w:rsidRDefault="005A7398" w:rsidP="00951BDC">
      <w:pPr>
        <w:spacing w:line="360" w:lineRule="auto"/>
        <w:jc w:val="center"/>
      </w:pPr>
      <w:r>
        <w:t>Vadovas doc. Gediminas Murauskas</w:t>
      </w:r>
    </w:p>
    <w:p w:rsidR="00516692" w:rsidRDefault="00516692" w:rsidP="00951BDC">
      <w:pPr>
        <w:spacing w:line="360" w:lineRule="auto"/>
        <w:jc w:val="center"/>
      </w:pPr>
    </w:p>
    <w:p w:rsidR="00516692" w:rsidRDefault="00516692" w:rsidP="00951BDC">
      <w:pPr>
        <w:spacing w:line="360" w:lineRule="auto"/>
        <w:jc w:val="center"/>
      </w:pPr>
    </w:p>
    <w:p w:rsidR="005A7398" w:rsidRDefault="005A7398" w:rsidP="00951BDC">
      <w:pPr>
        <w:spacing w:line="360" w:lineRule="auto"/>
        <w:jc w:val="center"/>
      </w:pPr>
      <w:r>
        <w:t>Vilnius, 2017</w:t>
      </w:r>
    </w:p>
    <w:p w:rsidR="005A7398" w:rsidRDefault="005A7398" w:rsidP="00951BDC">
      <w:pPr>
        <w:spacing w:line="360" w:lineRule="auto"/>
        <w:jc w:val="center"/>
      </w:pPr>
    </w:p>
    <w:p w:rsidR="005A7398" w:rsidRDefault="005A7398" w:rsidP="00951BDC">
      <w:pPr>
        <w:spacing w:line="360" w:lineRule="auto"/>
      </w:pPr>
      <w:r>
        <w:br w:type="page"/>
      </w:r>
    </w:p>
    <w:p w:rsidR="003E222F" w:rsidRPr="009A44C8" w:rsidRDefault="003E222F" w:rsidP="00951BDC">
      <w:pPr>
        <w:spacing w:line="360" w:lineRule="auto"/>
        <w:rPr>
          <w:b/>
          <w:sz w:val="32"/>
        </w:rPr>
      </w:pPr>
      <w:r w:rsidRPr="009A44C8">
        <w:rPr>
          <w:b/>
          <w:sz w:val="32"/>
        </w:rPr>
        <w:lastRenderedPageBreak/>
        <w:t>Santrauka</w:t>
      </w:r>
    </w:p>
    <w:p w:rsidR="003E222F" w:rsidRDefault="003E222F" w:rsidP="00951BDC">
      <w:pPr>
        <w:spacing w:line="360" w:lineRule="auto"/>
        <w:rPr>
          <w:sz w:val="32"/>
        </w:rPr>
      </w:pPr>
      <w:r>
        <w:rPr>
          <w:sz w:val="32"/>
        </w:rPr>
        <w:br w:type="page"/>
      </w:r>
    </w:p>
    <w:sdt>
      <w:sdtPr>
        <w:rPr>
          <w:rFonts w:ascii="Times New Roman" w:hAnsi="Times New Roman" w:cs="Times New Roman"/>
          <w:b/>
          <w:color w:val="auto"/>
        </w:rPr>
        <w:id w:val="1436951459"/>
        <w:docPartObj>
          <w:docPartGallery w:val="Table of Contents"/>
          <w:docPartUnique/>
        </w:docPartObj>
      </w:sdtPr>
      <w:sdtEndPr>
        <w:rPr>
          <w:rFonts w:eastAsiaTheme="minorHAnsi" w:cs="Arial"/>
          <w:bCs/>
          <w:noProof/>
          <w:color w:val="222222"/>
          <w:sz w:val="24"/>
          <w:szCs w:val="21"/>
          <w:lang w:val="lt-LT"/>
        </w:rPr>
      </w:sdtEndPr>
      <w:sdtContent>
        <w:p w:rsidR="002139D4" w:rsidRPr="002139D4" w:rsidRDefault="002139D4">
          <w:pPr>
            <w:pStyle w:val="TOCHeading"/>
            <w:rPr>
              <w:rFonts w:ascii="Times New Roman" w:hAnsi="Times New Roman" w:cs="Times New Roman"/>
              <w:b/>
              <w:color w:val="auto"/>
            </w:rPr>
          </w:pPr>
          <w:proofErr w:type="spellStart"/>
          <w:r w:rsidRPr="002139D4">
            <w:rPr>
              <w:rFonts w:ascii="Times New Roman" w:hAnsi="Times New Roman" w:cs="Times New Roman"/>
              <w:b/>
              <w:color w:val="auto"/>
            </w:rPr>
            <w:t>Turinys</w:t>
          </w:r>
          <w:proofErr w:type="spellEnd"/>
        </w:p>
        <w:p w:rsidR="002139D4" w:rsidRDefault="002139D4">
          <w:pPr>
            <w:pStyle w:val="TOC1"/>
            <w:tabs>
              <w:tab w:val="left" w:pos="440"/>
              <w:tab w:val="right" w:leader="dot" w:pos="9016"/>
            </w:tabs>
            <w:rPr>
              <w:rFonts w:cstheme="minorBidi"/>
              <w:noProof/>
            </w:rPr>
          </w:pPr>
          <w:r>
            <w:fldChar w:fldCharType="begin"/>
          </w:r>
          <w:r>
            <w:instrText xml:space="preserve"> TOC \o "1-3" \h \z \u </w:instrText>
          </w:r>
          <w:r>
            <w:fldChar w:fldCharType="separate"/>
          </w:r>
          <w:hyperlink w:anchor="_Toc499509647" w:history="1">
            <w:r w:rsidRPr="0016324C">
              <w:rPr>
                <w:rStyle w:val="Hyperlink"/>
                <w:noProof/>
              </w:rPr>
              <w:t>1.</w:t>
            </w:r>
            <w:r>
              <w:rPr>
                <w:rFonts w:cstheme="minorBidi"/>
                <w:noProof/>
              </w:rPr>
              <w:tab/>
            </w:r>
            <w:r w:rsidRPr="0016324C">
              <w:rPr>
                <w:rStyle w:val="Hyperlink"/>
                <w:noProof/>
              </w:rPr>
              <w:t>Įvadas</w:t>
            </w:r>
            <w:r>
              <w:rPr>
                <w:noProof/>
                <w:webHidden/>
              </w:rPr>
              <w:tab/>
            </w:r>
            <w:r>
              <w:rPr>
                <w:noProof/>
                <w:webHidden/>
              </w:rPr>
              <w:fldChar w:fldCharType="begin"/>
            </w:r>
            <w:r>
              <w:rPr>
                <w:noProof/>
                <w:webHidden/>
              </w:rPr>
              <w:instrText xml:space="preserve"> PAGEREF _Toc499509647 \h </w:instrText>
            </w:r>
            <w:r>
              <w:rPr>
                <w:noProof/>
                <w:webHidden/>
              </w:rPr>
            </w:r>
            <w:r>
              <w:rPr>
                <w:noProof/>
                <w:webHidden/>
              </w:rPr>
              <w:fldChar w:fldCharType="separate"/>
            </w:r>
            <w:r>
              <w:rPr>
                <w:noProof/>
                <w:webHidden/>
              </w:rPr>
              <w:t>4</w:t>
            </w:r>
            <w:r>
              <w:rPr>
                <w:noProof/>
                <w:webHidden/>
              </w:rPr>
              <w:fldChar w:fldCharType="end"/>
            </w:r>
          </w:hyperlink>
        </w:p>
        <w:p w:rsidR="002139D4" w:rsidRDefault="002139D4">
          <w:pPr>
            <w:pStyle w:val="TOC1"/>
            <w:tabs>
              <w:tab w:val="left" w:pos="440"/>
              <w:tab w:val="right" w:leader="dot" w:pos="9016"/>
            </w:tabs>
            <w:rPr>
              <w:rFonts w:cstheme="minorBidi"/>
              <w:noProof/>
            </w:rPr>
          </w:pPr>
          <w:hyperlink w:anchor="_Toc499509648" w:history="1">
            <w:r w:rsidRPr="0016324C">
              <w:rPr>
                <w:rStyle w:val="Hyperlink"/>
                <w:noProof/>
              </w:rPr>
              <w:t>2.</w:t>
            </w:r>
            <w:r>
              <w:rPr>
                <w:rFonts w:cstheme="minorBidi"/>
                <w:noProof/>
              </w:rPr>
              <w:tab/>
            </w:r>
            <w:r w:rsidRPr="0016324C">
              <w:rPr>
                <w:rStyle w:val="Hyperlink"/>
                <w:noProof/>
              </w:rPr>
              <w:t>Literatūros apžvalga</w:t>
            </w:r>
            <w:r>
              <w:rPr>
                <w:noProof/>
                <w:webHidden/>
              </w:rPr>
              <w:tab/>
            </w:r>
            <w:r>
              <w:rPr>
                <w:noProof/>
                <w:webHidden/>
              </w:rPr>
              <w:fldChar w:fldCharType="begin"/>
            </w:r>
            <w:r>
              <w:rPr>
                <w:noProof/>
                <w:webHidden/>
              </w:rPr>
              <w:instrText xml:space="preserve"> PAGEREF _Toc499509648 \h </w:instrText>
            </w:r>
            <w:r>
              <w:rPr>
                <w:noProof/>
                <w:webHidden/>
              </w:rPr>
            </w:r>
            <w:r>
              <w:rPr>
                <w:noProof/>
                <w:webHidden/>
              </w:rPr>
              <w:fldChar w:fldCharType="separate"/>
            </w:r>
            <w:r>
              <w:rPr>
                <w:noProof/>
                <w:webHidden/>
              </w:rPr>
              <w:t>5</w:t>
            </w:r>
            <w:r>
              <w:rPr>
                <w:noProof/>
                <w:webHidden/>
              </w:rPr>
              <w:fldChar w:fldCharType="end"/>
            </w:r>
          </w:hyperlink>
        </w:p>
        <w:p w:rsidR="002139D4" w:rsidRDefault="002139D4">
          <w:pPr>
            <w:pStyle w:val="TOC1"/>
            <w:tabs>
              <w:tab w:val="left" w:pos="440"/>
              <w:tab w:val="right" w:leader="dot" w:pos="9016"/>
            </w:tabs>
            <w:rPr>
              <w:rFonts w:cstheme="minorBidi"/>
              <w:noProof/>
            </w:rPr>
          </w:pPr>
          <w:hyperlink w:anchor="_Toc499509649" w:history="1">
            <w:r w:rsidRPr="0016324C">
              <w:rPr>
                <w:rStyle w:val="Hyperlink"/>
                <w:noProof/>
              </w:rPr>
              <w:t>3.</w:t>
            </w:r>
            <w:r>
              <w:rPr>
                <w:rFonts w:cstheme="minorBidi"/>
                <w:noProof/>
              </w:rPr>
              <w:tab/>
            </w:r>
            <w:r w:rsidRPr="0016324C">
              <w:rPr>
                <w:rStyle w:val="Hyperlink"/>
                <w:noProof/>
              </w:rPr>
              <w:t>Statistinė analizė</w:t>
            </w:r>
            <w:r>
              <w:rPr>
                <w:noProof/>
                <w:webHidden/>
              </w:rPr>
              <w:tab/>
            </w:r>
            <w:r>
              <w:rPr>
                <w:noProof/>
                <w:webHidden/>
              </w:rPr>
              <w:fldChar w:fldCharType="begin"/>
            </w:r>
            <w:r>
              <w:rPr>
                <w:noProof/>
                <w:webHidden/>
              </w:rPr>
              <w:instrText xml:space="preserve"> PAGEREF _Toc499509649 \h </w:instrText>
            </w:r>
            <w:r>
              <w:rPr>
                <w:noProof/>
                <w:webHidden/>
              </w:rPr>
            </w:r>
            <w:r>
              <w:rPr>
                <w:noProof/>
                <w:webHidden/>
              </w:rPr>
              <w:fldChar w:fldCharType="separate"/>
            </w:r>
            <w:r>
              <w:rPr>
                <w:noProof/>
                <w:webHidden/>
              </w:rPr>
              <w:t>6</w:t>
            </w:r>
            <w:r>
              <w:rPr>
                <w:noProof/>
                <w:webHidden/>
              </w:rPr>
              <w:fldChar w:fldCharType="end"/>
            </w:r>
          </w:hyperlink>
        </w:p>
        <w:p w:rsidR="002139D4" w:rsidRDefault="002139D4">
          <w:pPr>
            <w:pStyle w:val="TOC2"/>
            <w:tabs>
              <w:tab w:val="right" w:leader="dot" w:pos="9016"/>
            </w:tabs>
            <w:rPr>
              <w:rFonts w:cstheme="minorBidi"/>
              <w:noProof/>
            </w:rPr>
          </w:pPr>
          <w:hyperlink w:anchor="_Toc499509650" w:history="1">
            <w:r w:rsidRPr="0016324C">
              <w:rPr>
                <w:rStyle w:val="Hyperlink"/>
                <w:noProof/>
              </w:rPr>
              <w:t>3.1 Duomenys</w:t>
            </w:r>
            <w:r>
              <w:rPr>
                <w:noProof/>
                <w:webHidden/>
              </w:rPr>
              <w:tab/>
            </w:r>
            <w:r>
              <w:rPr>
                <w:noProof/>
                <w:webHidden/>
              </w:rPr>
              <w:fldChar w:fldCharType="begin"/>
            </w:r>
            <w:r>
              <w:rPr>
                <w:noProof/>
                <w:webHidden/>
              </w:rPr>
              <w:instrText xml:space="preserve"> PAGEREF _Toc499509650 \h </w:instrText>
            </w:r>
            <w:r>
              <w:rPr>
                <w:noProof/>
                <w:webHidden/>
              </w:rPr>
            </w:r>
            <w:r>
              <w:rPr>
                <w:noProof/>
                <w:webHidden/>
              </w:rPr>
              <w:fldChar w:fldCharType="separate"/>
            </w:r>
            <w:r>
              <w:rPr>
                <w:noProof/>
                <w:webHidden/>
              </w:rPr>
              <w:t>6</w:t>
            </w:r>
            <w:r>
              <w:rPr>
                <w:noProof/>
                <w:webHidden/>
              </w:rPr>
              <w:fldChar w:fldCharType="end"/>
            </w:r>
          </w:hyperlink>
        </w:p>
        <w:p w:rsidR="002139D4" w:rsidRDefault="002139D4">
          <w:pPr>
            <w:pStyle w:val="TOC2"/>
            <w:tabs>
              <w:tab w:val="right" w:leader="dot" w:pos="9016"/>
            </w:tabs>
            <w:rPr>
              <w:rFonts w:cstheme="minorBidi"/>
              <w:noProof/>
            </w:rPr>
          </w:pPr>
          <w:hyperlink w:anchor="_Toc499509651" w:history="1">
            <w:r w:rsidRPr="0016324C">
              <w:rPr>
                <w:rStyle w:val="Hyperlink"/>
                <w:noProof/>
              </w:rPr>
              <w:t>3.2 Tyrime vartojamos sąvokos</w:t>
            </w:r>
            <w:r>
              <w:rPr>
                <w:noProof/>
                <w:webHidden/>
              </w:rPr>
              <w:tab/>
            </w:r>
            <w:r>
              <w:rPr>
                <w:noProof/>
                <w:webHidden/>
              </w:rPr>
              <w:fldChar w:fldCharType="begin"/>
            </w:r>
            <w:r>
              <w:rPr>
                <w:noProof/>
                <w:webHidden/>
              </w:rPr>
              <w:instrText xml:space="preserve"> PAGEREF _Toc499509651 \h </w:instrText>
            </w:r>
            <w:r>
              <w:rPr>
                <w:noProof/>
                <w:webHidden/>
              </w:rPr>
            </w:r>
            <w:r>
              <w:rPr>
                <w:noProof/>
                <w:webHidden/>
              </w:rPr>
              <w:fldChar w:fldCharType="separate"/>
            </w:r>
            <w:r>
              <w:rPr>
                <w:noProof/>
                <w:webHidden/>
              </w:rPr>
              <w:t>6</w:t>
            </w:r>
            <w:r>
              <w:rPr>
                <w:noProof/>
                <w:webHidden/>
              </w:rPr>
              <w:fldChar w:fldCharType="end"/>
            </w:r>
          </w:hyperlink>
        </w:p>
        <w:p w:rsidR="002139D4" w:rsidRDefault="002139D4">
          <w:pPr>
            <w:pStyle w:val="TOC1"/>
            <w:tabs>
              <w:tab w:val="left" w:pos="440"/>
              <w:tab w:val="right" w:leader="dot" w:pos="9016"/>
            </w:tabs>
            <w:rPr>
              <w:rFonts w:cstheme="minorBidi"/>
              <w:noProof/>
            </w:rPr>
          </w:pPr>
          <w:hyperlink w:anchor="_Toc499509652" w:history="1">
            <w:r w:rsidRPr="0016324C">
              <w:rPr>
                <w:rStyle w:val="Hyperlink"/>
                <w:noProof/>
              </w:rPr>
              <w:t>4.</w:t>
            </w:r>
            <w:r>
              <w:rPr>
                <w:rFonts w:cstheme="minorBidi"/>
                <w:noProof/>
              </w:rPr>
              <w:tab/>
            </w:r>
            <w:r w:rsidRPr="0016324C">
              <w:rPr>
                <w:rStyle w:val="Hyperlink"/>
                <w:noProof/>
              </w:rPr>
              <w:t>Ekonometrinė duomenų analizė</w:t>
            </w:r>
            <w:r>
              <w:rPr>
                <w:noProof/>
                <w:webHidden/>
              </w:rPr>
              <w:tab/>
            </w:r>
            <w:r>
              <w:rPr>
                <w:noProof/>
                <w:webHidden/>
              </w:rPr>
              <w:fldChar w:fldCharType="begin"/>
            </w:r>
            <w:r>
              <w:rPr>
                <w:noProof/>
                <w:webHidden/>
              </w:rPr>
              <w:instrText xml:space="preserve"> PAGEREF _Toc499509652 \h </w:instrText>
            </w:r>
            <w:r>
              <w:rPr>
                <w:noProof/>
                <w:webHidden/>
              </w:rPr>
            </w:r>
            <w:r>
              <w:rPr>
                <w:noProof/>
                <w:webHidden/>
              </w:rPr>
              <w:fldChar w:fldCharType="separate"/>
            </w:r>
            <w:r>
              <w:rPr>
                <w:noProof/>
                <w:webHidden/>
              </w:rPr>
              <w:t>10</w:t>
            </w:r>
            <w:r>
              <w:rPr>
                <w:noProof/>
                <w:webHidden/>
              </w:rPr>
              <w:fldChar w:fldCharType="end"/>
            </w:r>
          </w:hyperlink>
        </w:p>
        <w:p w:rsidR="002139D4" w:rsidRDefault="002139D4">
          <w:pPr>
            <w:pStyle w:val="TOC2"/>
            <w:tabs>
              <w:tab w:val="right" w:leader="dot" w:pos="9016"/>
            </w:tabs>
            <w:rPr>
              <w:rFonts w:cstheme="minorBidi"/>
              <w:noProof/>
            </w:rPr>
          </w:pPr>
          <w:hyperlink w:anchor="_Toc499509653" w:history="1">
            <w:r w:rsidRPr="0016324C">
              <w:rPr>
                <w:rStyle w:val="Hyperlink"/>
                <w:noProof/>
              </w:rPr>
              <w:t>4.1 Dvinarė logistinė regresija</w:t>
            </w:r>
            <w:r>
              <w:rPr>
                <w:noProof/>
                <w:webHidden/>
              </w:rPr>
              <w:tab/>
            </w:r>
            <w:r>
              <w:rPr>
                <w:noProof/>
                <w:webHidden/>
              </w:rPr>
              <w:fldChar w:fldCharType="begin"/>
            </w:r>
            <w:r>
              <w:rPr>
                <w:noProof/>
                <w:webHidden/>
              </w:rPr>
              <w:instrText xml:space="preserve"> PAGEREF _Toc499509653 \h </w:instrText>
            </w:r>
            <w:r>
              <w:rPr>
                <w:noProof/>
                <w:webHidden/>
              </w:rPr>
            </w:r>
            <w:r>
              <w:rPr>
                <w:noProof/>
                <w:webHidden/>
              </w:rPr>
              <w:fldChar w:fldCharType="separate"/>
            </w:r>
            <w:r>
              <w:rPr>
                <w:noProof/>
                <w:webHidden/>
              </w:rPr>
              <w:t>10</w:t>
            </w:r>
            <w:r>
              <w:rPr>
                <w:noProof/>
                <w:webHidden/>
              </w:rPr>
              <w:fldChar w:fldCharType="end"/>
            </w:r>
          </w:hyperlink>
        </w:p>
        <w:p w:rsidR="002139D4" w:rsidRDefault="002139D4">
          <w:pPr>
            <w:pStyle w:val="TOC2"/>
            <w:tabs>
              <w:tab w:val="right" w:leader="dot" w:pos="9016"/>
            </w:tabs>
            <w:rPr>
              <w:rFonts w:cstheme="minorBidi"/>
              <w:noProof/>
            </w:rPr>
          </w:pPr>
          <w:hyperlink w:anchor="_Toc499509654" w:history="1">
            <w:r w:rsidRPr="0016324C">
              <w:rPr>
                <w:rStyle w:val="Hyperlink"/>
                <w:noProof/>
              </w:rPr>
              <w:t>4.2 Modelio tinkamumas</w:t>
            </w:r>
            <w:r>
              <w:rPr>
                <w:noProof/>
                <w:webHidden/>
              </w:rPr>
              <w:tab/>
            </w:r>
            <w:r>
              <w:rPr>
                <w:noProof/>
                <w:webHidden/>
              </w:rPr>
              <w:fldChar w:fldCharType="begin"/>
            </w:r>
            <w:r>
              <w:rPr>
                <w:noProof/>
                <w:webHidden/>
              </w:rPr>
              <w:instrText xml:space="preserve"> PAGEREF _Toc499509654 \h </w:instrText>
            </w:r>
            <w:r>
              <w:rPr>
                <w:noProof/>
                <w:webHidden/>
              </w:rPr>
            </w:r>
            <w:r>
              <w:rPr>
                <w:noProof/>
                <w:webHidden/>
              </w:rPr>
              <w:fldChar w:fldCharType="separate"/>
            </w:r>
            <w:r>
              <w:rPr>
                <w:noProof/>
                <w:webHidden/>
              </w:rPr>
              <w:t>12</w:t>
            </w:r>
            <w:r>
              <w:rPr>
                <w:noProof/>
                <w:webHidden/>
              </w:rPr>
              <w:fldChar w:fldCharType="end"/>
            </w:r>
          </w:hyperlink>
        </w:p>
        <w:p w:rsidR="002139D4" w:rsidRDefault="002139D4">
          <w:pPr>
            <w:pStyle w:val="TOC1"/>
            <w:tabs>
              <w:tab w:val="left" w:pos="440"/>
              <w:tab w:val="right" w:leader="dot" w:pos="9016"/>
            </w:tabs>
            <w:rPr>
              <w:rFonts w:cstheme="minorBidi"/>
              <w:noProof/>
            </w:rPr>
          </w:pPr>
          <w:hyperlink w:anchor="_Toc499509655" w:history="1">
            <w:r w:rsidRPr="0016324C">
              <w:rPr>
                <w:rStyle w:val="Hyperlink"/>
                <w:noProof/>
              </w:rPr>
              <w:t>5.</w:t>
            </w:r>
            <w:r>
              <w:rPr>
                <w:rFonts w:cstheme="minorBidi"/>
                <w:noProof/>
              </w:rPr>
              <w:tab/>
            </w:r>
            <w:r w:rsidRPr="0016324C">
              <w:rPr>
                <w:rStyle w:val="Hyperlink"/>
                <w:noProof/>
              </w:rPr>
              <w:t>Literatūros sąrašas</w:t>
            </w:r>
            <w:r>
              <w:rPr>
                <w:noProof/>
                <w:webHidden/>
              </w:rPr>
              <w:tab/>
            </w:r>
            <w:r>
              <w:rPr>
                <w:noProof/>
                <w:webHidden/>
              </w:rPr>
              <w:fldChar w:fldCharType="begin"/>
            </w:r>
            <w:r>
              <w:rPr>
                <w:noProof/>
                <w:webHidden/>
              </w:rPr>
              <w:instrText xml:space="preserve"> PAGEREF _Toc499509655 \h </w:instrText>
            </w:r>
            <w:r>
              <w:rPr>
                <w:noProof/>
                <w:webHidden/>
              </w:rPr>
            </w:r>
            <w:r>
              <w:rPr>
                <w:noProof/>
                <w:webHidden/>
              </w:rPr>
              <w:fldChar w:fldCharType="separate"/>
            </w:r>
            <w:r>
              <w:rPr>
                <w:noProof/>
                <w:webHidden/>
              </w:rPr>
              <w:t>13</w:t>
            </w:r>
            <w:r>
              <w:rPr>
                <w:noProof/>
                <w:webHidden/>
              </w:rPr>
              <w:fldChar w:fldCharType="end"/>
            </w:r>
          </w:hyperlink>
        </w:p>
        <w:p w:rsidR="002139D4" w:rsidRDefault="002139D4">
          <w:r>
            <w:rPr>
              <w:b/>
              <w:bCs/>
              <w:noProof/>
            </w:rPr>
            <w:fldChar w:fldCharType="end"/>
          </w:r>
        </w:p>
      </w:sdtContent>
    </w:sdt>
    <w:p w:rsidR="005A7398" w:rsidRDefault="005A7398" w:rsidP="00951BDC">
      <w:pPr>
        <w:spacing w:line="360" w:lineRule="auto"/>
        <w:rPr>
          <w:sz w:val="36"/>
        </w:rPr>
      </w:pPr>
    </w:p>
    <w:p w:rsidR="00AA2D1B" w:rsidRDefault="00AA2D1B">
      <w:pPr>
        <w:pStyle w:val="TOC3"/>
        <w:ind w:left="446"/>
      </w:pPr>
    </w:p>
    <w:p w:rsidR="009A44C8" w:rsidRDefault="009A44C8" w:rsidP="00951BDC">
      <w:pPr>
        <w:spacing w:line="360" w:lineRule="auto"/>
        <w:rPr>
          <w:sz w:val="36"/>
        </w:rPr>
      </w:pPr>
    </w:p>
    <w:p w:rsidR="002139D4" w:rsidRDefault="002139D4" w:rsidP="00951BDC">
      <w:pPr>
        <w:spacing w:line="360" w:lineRule="auto"/>
        <w:rPr>
          <w:sz w:val="36"/>
        </w:rPr>
      </w:pPr>
    </w:p>
    <w:p w:rsidR="002139D4" w:rsidRDefault="002139D4" w:rsidP="00951BDC">
      <w:pPr>
        <w:spacing w:line="360" w:lineRule="auto"/>
        <w:rPr>
          <w:sz w:val="36"/>
        </w:rPr>
      </w:pPr>
    </w:p>
    <w:p w:rsidR="002139D4" w:rsidRPr="009A44C8" w:rsidRDefault="002139D4" w:rsidP="00951BDC">
      <w:pPr>
        <w:spacing w:line="360" w:lineRule="auto"/>
        <w:rPr>
          <w:sz w:val="36"/>
        </w:rPr>
      </w:pPr>
      <w:bookmarkStart w:id="0" w:name="_GoBack"/>
      <w:bookmarkEnd w:id="0"/>
    </w:p>
    <w:p w:rsidR="003E222F" w:rsidRDefault="003E222F" w:rsidP="00951BDC">
      <w:pPr>
        <w:spacing w:line="360" w:lineRule="auto"/>
      </w:pPr>
      <w:r>
        <w:br w:type="page"/>
      </w:r>
    </w:p>
    <w:p w:rsidR="00DB4152" w:rsidRPr="002139D4" w:rsidRDefault="00DB4152" w:rsidP="002139D4">
      <w:pPr>
        <w:pStyle w:val="header1"/>
        <w:outlineLvl w:val="0"/>
      </w:pPr>
      <w:bookmarkStart w:id="1" w:name="_Toc499509647"/>
      <w:r w:rsidRPr="002139D4">
        <w:lastRenderedPageBreak/>
        <w:t>Įvadas</w:t>
      </w:r>
      <w:bookmarkEnd w:id="1"/>
    </w:p>
    <w:p w:rsidR="00427D00" w:rsidRPr="003E222F" w:rsidRDefault="00516692" w:rsidP="00951BDC">
      <w:pPr>
        <w:spacing w:line="360" w:lineRule="auto"/>
      </w:pPr>
      <w:r w:rsidRPr="00516692">
        <w:t xml:space="preserve">Šalies statistiniai užimtumo rodikliai yra vieni iš svarbiausių makroekonominių parametrų, kalbant apie šalies ekonominę sveikatą, formuojant politiką. </w:t>
      </w:r>
      <w:r w:rsidR="00606437">
        <w:t xml:space="preserve">Užimtumas ir nedarbas </w:t>
      </w:r>
      <w:r w:rsidR="002302D0">
        <w:t xml:space="preserve">taip pat </w:t>
      </w:r>
      <w:r w:rsidR="00606437">
        <w:t>yra svarbiausi socialiniai rodikliai naudojami nagrinėjant darbo rinkų raidą.</w:t>
      </w:r>
      <w:r w:rsidR="0009531D">
        <w:t xml:space="preserve"> Remdamiesi šiais duomenimis centriniai bankai, vyriausybės formuoja palūkanų normas ir kitus svarbius makroekonomius rodiklius. </w:t>
      </w:r>
    </w:p>
    <w:p w:rsidR="00B90569" w:rsidRDefault="00516692" w:rsidP="00951BDC">
      <w:pPr>
        <w:spacing w:line="360" w:lineRule="auto"/>
      </w:pPr>
      <w:r w:rsidRPr="00516692">
        <w:t>Mūsų kursinio darbo tikslas buvo ištirti užimtumo pokyčius Lietuvoje 2011 – 2016 metais</w:t>
      </w:r>
      <w:r>
        <w:t xml:space="preserve"> ir atlikti jų statistinę analizę</w:t>
      </w:r>
      <w:r w:rsidRPr="00516692">
        <w:t>. Yra gana daug įdomių klausimų, kuriuos galima užduoti, kalbant apie darbo rinkos situaciją, tačiau mes nusprendėme pažiūrėti, kaip skiriasi neaktyvių ir bedarbių sudėtis, kaip keitėsi nedarbo ir užimtumo rodikliai, paži</w:t>
      </w:r>
      <w:r w:rsidR="00606437">
        <w:t>ū</w:t>
      </w:r>
      <w:r w:rsidRPr="00516692">
        <w:t xml:space="preserve">rėti, ar yra reikšmingų skirtumų kuriuos lemia regionai, lytis ar išsilavinimas. </w:t>
      </w:r>
    </w:p>
    <w:p w:rsidR="00B90569" w:rsidRPr="002139D4" w:rsidRDefault="00FC1735" w:rsidP="002139D4">
      <w:pPr>
        <w:pStyle w:val="header1"/>
        <w:outlineLvl w:val="0"/>
      </w:pPr>
      <w:r w:rsidRPr="002139D4">
        <w:br w:type="page"/>
      </w:r>
      <w:bookmarkStart w:id="2" w:name="_Toc499509648"/>
      <w:r w:rsidR="00B90569" w:rsidRPr="002139D4">
        <w:lastRenderedPageBreak/>
        <w:t>Literatūros apžvalga</w:t>
      </w:r>
      <w:bookmarkEnd w:id="2"/>
    </w:p>
    <w:p w:rsidR="00B90569" w:rsidRDefault="00B90569" w:rsidP="00951BDC">
      <w:pPr>
        <w:spacing w:line="360" w:lineRule="auto"/>
      </w:pPr>
      <w:r>
        <w:t xml:space="preserve">Visų pirma, norėtume pažymėti, jog platesnių tyrimų, susijusių su užimtumu Lietuvoje nėra itin daug. </w:t>
      </w:r>
      <w:r w:rsidR="00951BDC">
        <w:t xml:space="preserve">Iš esmės, tyrimai, susiję su nedarbo lygiu Lietuvoje buvo pradėti vykdyti </w:t>
      </w:r>
      <w:r>
        <w:t>Tai tik padidina šio darbo aktualumą ir svarbą. Turbūt reikšmingiausia a</w:t>
      </w:r>
      <w:r w:rsidR="00951BDC">
        <w:t>nalizė šia tema yra Eurostat'o „Užimtumo statistika“</w:t>
      </w:r>
      <w:r>
        <w:t>, kuri leidžia pažvlegti į Liet</w:t>
      </w:r>
      <w:r w:rsidR="00951BDC">
        <w:t xml:space="preserve">uvos padėtį Europos kontekste. </w:t>
      </w:r>
    </w:p>
    <w:p w:rsidR="00B90569" w:rsidRDefault="00B90569" w:rsidP="00951BDC">
      <w:pPr>
        <w:spacing w:line="360" w:lineRule="auto"/>
      </w:pPr>
      <w:r>
        <w:t xml:space="preserve">Taigi pažvelgus į analizę </w:t>
      </w:r>
      <w:r w:rsidR="00951BDC">
        <w:t>„Užimtumo statistika“</w:t>
      </w:r>
      <w:r>
        <w:t xml:space="preserve"> galime išskirti</w:t>
      </w:r>
      <w:r w:rsidR="00951BDC">
        <w:t xml:space="preserve"> tokius svarbiausius teiginius:</w:t>
      </w:r>
    </w:p>
    <w:p w:rsidR="00B90569" w:rsidRDefault="00B90569" w:rsidP="00951BDC">
      <w:pPr>
        <w:pStyle w:val="ListParagraph"/>
        <w:numPr>
          <w:ilvl w:val="0"/>
          <w:numId w:val="3"/>
        </w:numPr>
        <w:spacing w:line="360" w:lineRule="auto"/>
      </w:pPr>
      <w:r>
        <w:t>2016 m. buvo pasiektas didžiausias kada nors užregistruotas ES užimtumo vidurkis 20-64 m. amžiaus grupei. [</w:t>
      </w:r>
      <w:r w:rsidRPr="00951BDC">
        <w:rPr>
          <w:color w:val="FF0000"/>
        </w:rPr>
        <w:t>Eurostat2</w:t>
      </w:r>
      <w:r>
        <w:t>]</w:t>
      </w:r>
    </w:p>
    <w:p w:rsidR="00B90569" w:rsidRDefault="00B90569" w:rsidP="00951BDC">
      <w:pPr>
        <w:pStyle w:val="ListParagraph"/>
        <w:numPr>
          <w:ilvl w:val="0"/>
          <w:numId w:val="3"/>
        </w:numPr>
        <w:spacing w:line="360" w:lineRule="auto"/>
      </w:pPr>
      <w:r>
        <w:t>Pagal 20-64 m. užimtųjų lygį valstybėje, Europą galima būtų skirstyti į kelias grupes:</w:t>
      </w:r>
    </w:p>
    <w:p w:rsidR="00B90569" w:rsidRDefault="00B90569" w:rsidP="00951BDC">
      <w:pPr>
        <w:pStyle w:val="ListParagraph"/>
        <w:numPr>
          <w:ilvl w:val="1"/>
          <w:numId w:val="3"/>
        </w:numPr>
        <w:spacing w:line="360" w:lineRule="auto"/>
      </w:pPr>
      <w:r>
        <w:t>šalys, kuriose užimtumo lygis siekia 70-79% (Lietuva, Latvija, Estija, Jungtinė Karalystė, Prancūzija, Vokietija, Suomija ir kt.)</w:t>
      </w:r>
    </w:p>
    <w:p w:rsidR="00B90569" w:rsidRDefault="00B90569" w:rsidP="00951BDC">
      <w:pPr>
        <w:pStyle w:val="ListParagraph"/>
        <w:numPr>
          <w:ilvl w:val="1"/>
          <w:numId w:val="3"/>
        </w:numPr>
        <w:spacing w:line="360" w:lineRule="auto"/>
      </w:pPr>
      <w:r>
        <w:t>šalys, kuriose užimtumo lygis siekia 60-69% (Ispanija, Italija, Kroatija, Lenkija, Slovakija, Rumunija, Bulgarija, Belgija ir kt.)</w:t>
      </w:r>
    </w:p>
    <w:p w:rsidR="00B90569" w:rsidRDefault="00B90569" w:rsidP="00951BDC">
      <w:pPr>
        <w:pStyle w:val="ListParagraph"/>
        <w:numPr>
          <w:ilvl w:val="1"/>
          <w:numId w:val="3"/>
        </w:numPr>
        <w:spacing w:line="360" w:lineRule="auto"/>
      </w:pPr>
      <w:r>
        <w:t>šalys, kuriose užimtumo lygis nesiekia 60% (buvusi Jugoslavijos Respublika, Makedo</w:t>
      </w:r>
      <w:r w:rsidR="00951BDC">
        <w:t>nija, Graikija, Turkija ir kt.)</w:t>
      </w:r>
    </w:p>
    <w:p w:rsidR="00B90569" w:rsidRDefault="00B90569" w:rsidP="00951BDC">
      <w:pPr>
        <w:pStyle w:val="ListParagraph"/>
        <w:numPr>
          <w:ilvl w:val="0"/>
          <w:numId w:val="3"/>
        </w:numPr>
        <w:spacing w:line="360" w:lineRule="auto"/>
      </w:pPr>
      <w:r>
        <w:t>Analizuojant užimtumo skirtumus tarp vyrų ir moterų pastebimas sumažėjęs skirtumas tarp lyčių. Daugiausia skirtumas mažėjo dėl išaugusio moterų užimtumo (Ispanija, Nyderlandai), tačiau ir dėl kai kurių valtybių vyrų užimtu</w:t>
      </w:r>
      <w:r w:rsidR="00951BDC">
        <w:t>mo mažėjimo (Graikija, Kipras).</w:t>
      </w:r>
      <w:r>
        <w:t xml:space="preserve"> </w:t>
      </w:r>
    </w:p>
    <w:p w:rsidR="00B90569" w:rsidRDefault="00951BDC" w:rsidP="00951BDC">
      <w:pPr>
        <w:pStyle w:val="ListParagraph"/>
        <w:numPr>
          <w:ilvl w:val="0"/>
          <w:numId w:val="3"/>
        </w:numPr>
        <w:spacing w:line="360" w:lineRule="auto"/>
      </w:pPr>
      <w:r>
        <w:t>„</w:t>
      </w:r>
      <w:r w:rsidR="00B90569">
        <w:t xml:space="preserve">Moterų užimtumo lygis mažesnis už vyrų užimtumo lygį visais metais visose šalyse, išskyrus dvi išimtis: Latviją ir Lietuvą 2010 m. po to, kai smarkiai sumažėjo vyrų užimtumo lygis ir daug mažiau </w:t>
      </w:r>
      <w:r>
        <w:t>sumažėjo moterų užimtumo lygis.“ [</w:t>
      </w:r>
      <w:r w:rsidRPr="00951BDC">
        <w:rPr>
          <w:color w:val="FF0000"/>
        </w:rPr>
        <w:t>Eurostat1</w:t>
      </w:r>
      <w:r>
        <w:t>]</w:t>
      </w:r>
    </w:p>
    <w:p w:rsidR="00B90569" w:rsidRDefault="00B90569" w:rsidP="00951BDC">
      <w:pPr>
        <w:pStyle w:val="ListParagraph"/>
        <w:numPr>
          <w:ilvl w:val="0"/>
          <w:numId w:val="3"/>
        </w:numPr>
        <w:spacing w:line="360" w:lineRule="auto"/>
      </w:pPr>
      <w:r>
        <w:t>Užimtumo lygis skiriasi ir nuo išsilavinimo. Tyrime pabrėžiama, kad tokiose valstybėse kaip Lietuva, Lenkija, Belgija, Bulgarija, Čekija ir kt. labai svarbu turėti bent vidutinio lygio išsilavinimą norint rasti darbą.</w:t>
      </w:r>
    </w:p>
    <w:p w:rsidR="00B90569" w:rsidRDefault="00B90569" w:rsidP="00951BDC">
      <w:pPr>
        <w:spacing w:line="360" w:lineRule="auto"/>
      </w:pPr>
      <w:r>
        <w:t xml:space="preserve">  </w:t>
      </w:r>
    </w:p>
    <w:p w:rsidR="00B90569" w:rsidRDefault="00B90569" w:rsidP="00951BDC">
      <w:pPr>
        <w:spacing w:line="360" w:lineRule="auto"/>
      </w:pPr>
    </w:p>
    <w:p w:rsidR="00B90569" w:rsidRDefault="00B90569" w:rsidP="00951BDC">
      <w:pPr>
        <w:spacing w:line="360" w:lineRule="auto"/>
      </w:pPr>
      <w:r>
        <w:t>[</w:t>
      </w:r>
      <w:r w:rsidRPr="00951BDC">
        <w:rPr>
          <w:color w:val="FF0000"/>
        </w:rPr>
        <w:t>Eurostat1</w:t>
      </w:r>
      <w:r>
        <w:t>]</w:t>
      </w:r>
      <w:r>
        <w:br w:type="page"/>
      </w:r>
    </w:p>
    <w:p w:rsidR="0009531D" w:rsidRPr="002139D4" w:rsidRDefault="0009531D" w:rsidP="002139D4">
      <w:pPr>
        <w:pStyle w:val="header1"/>
        <w:outlineLvl w:val="0"/>
      </w:pPr>
      <w:r w:rsidRPr="002139D4">
        <w:lastRenderedPageBreak/>
        <w:t xml:space="preserve"> </w:t>
      </w:r>
      <w:bookmarkStart w:id="3" w:name="_Toc499509649"/>
      <w:r w:rsidRPr="002139D4">
        <w:t>Statistinė analizė</w:t>
      </w:r>
      <w:bookmarkEnd w:id="3"/>
    </w:p>
    <w:p w:rsidR="00951BDC" w:rsidRPr="0009531D" w:rsidRDefault="00645A71" w:rsidP="002139D4">
      <w:pPr>
        <w:pStyle w:val="Header2"/>
        <w:outlineLvl w:val="1"/>
      </w:pPr>
      <w:bookmarkStart w:id="4" w:name="_Toc499509650"/>
      <w:r w:rsidRPr="0009531D">
        <w:t>3.1</w:t>
      </w:r>
      <w:r w:rsidR="00AA2D1B" w:rsidRPr="0009531D">
        <w:t xml:space="preserve"> </w:t>
      </w:r>
      <w:r w:rsidR="00951BDC" w:rsidRPr="0009531D">
        <w:t>Duomenys</w:t>
      </w:r>
      <w:bookmarkEnd w:id="4"/>
    </w:p>
    <w:p w:rsidR="00645A71" w:rsidRDefault="00951BDC" w:rsidP="00951BDC">
      <w:pPr>
        <w:spacing w:line="360" w:lineRule="auto"/>
      </w:pPr>
      <w:r>
        <w:t>Darbe naudojami 2011-2016 metų Gyventojų užimtumo statistinio tyrimo duomenys (angl. Labour force survey). Šis tyrimas atliekamas nuo 1998 m. Nuo 2002 m. skelbiami ketvirtiniai ir metiniai tyrimo rezultatai. Tyrimo ketvirčio imtis – apie 8 tūkst. namų ūkių. Vieno ketvirčio apklausoje dalyvauja apie 13 tūkst. 15 metų ir vyresnių gyventojų ir apie 2 tūkst. vaikų iki 15 metų amžiaus.</w:t>
      </w:r>
      <w:r w:rsidR="0009531D">
        <w:t xml:space="preserve"> Duomenys gauti sudarant anketas su klausimais apie respondentų užimtumą, jų darbovietės charakteristikas, pačių respondentų išsilavinimą, šeimyninę padėtį ir kitas charakteristikas. </w:t>
      </w:r>
      <w:r>
        <w:t>Tyrimas atliekamas visose Europos Sąjungos šalyse taikant tas pačias sąvokas ir klasifikator</w:t>
      </w:r>
      <w:r w:rsidR="00645A71">
        <w:t>ius.</w:t>
      </w:r>
    </w:p>
    <w:p w:rsidR="00951BDC" w:rsidRPr="00645A71" w:rsidRDefault="00951BDC" w:rsidP="002139D4">
      <w:pPr>
        <w:pStyle w:val="Header2"/>
        <w:outlineLvl w:val="1"/>
      </w:pPr>
      <w:bookmarkStart w:id="5" w:name="_Toc499509651"/>
      <w:r w:rsidRPr="00645A71">
        <w:t>3.2 Tyrime vartojamos sąvokos</w:t>
      </w:r>
      <w:bookmarkEnd w:id="5"/>
    </w:p>
    <w:p w:rsidR="0009531D" w:rsidRPr="0009531D" w:rsidRDefault="0009531D" w:rsidP="00645A71">
      <w:pPr>
        <w:spacing w:line="360" w:lineRule="auto"/>
      </w:pPr>
      <w:r>
        <w:t>Tiriant užimtumą naudojama daug teorinių sąvokų, kurių apibrėžimus pateikiamia žemi</w:t>
      </w:r>
      <w:r>
        <w:t>au:</w:t>
      </w:r>
    </w:p>
    <w:p w:rsidR="00645A71" w:rsidRDefault="00951BDC" w:rsidP="00645A71">
      <w:pPr>
        <w:spacing w:line="360" w:lineRule="auto"/>
      </w:pPr>
      <w:r w:rsidRPr="00645A71">
        <w:rPr>
          <w:i/>
        </w:rPr>
        <w:t>Bedarbis</w:t>
      </w:r>
      <w:r>
        <w:t xml:space="preserve"> – nedirbantis 15–74 metų amžiaus asmuo, kuris aktyviai ieško darbo (per paskutines keturias savaites) ir per apibrėžtą laikotarpį (dvi savaites) gali pradėti dirbti. </w:t>
      </w:r>
    </w:p>
    <w:p w:rsidR="00951BDC" w:rsidRDefault="00951BDC" w:rsidP="00645A71">
      <w:pPr>
        <w:spacing w:line="360" w:lineRule="auto"/>
      </w:pPr>
      <w:r w:rsidRPr="00645A71">
        <w:rPr>
          <w:i/>
        </w:rPr>
        <w:t>Darbas ne visą darbo laiką</w:t>
      </w:r>
      <w:r>
        <w:t xml:space="preserve"> – darbas, dirbamas ne visą teisės aktų ar kolektyvinės sutarties nustatytą darbo laiko trukmę. </w:t>
      </w:r>
    </w:p>
    <w:p w:rsidR="00645A71" w:rsidRDefault="00951BDC" w:rsidP="00645A71">
      <w:pPr>
        <w:spacing w:line="360" w:lineRule="auto"/>
      </w:pPr>
      <w:r w:rsidRPr="00645A71">
        <w:rPr>
          <w:i/>
        </w:rPr>
        <w:t>Darbas visą darbo laiką</w:t>
      </w:r>
      <w:r>
        <w:t xml:space="preserve"> – darbas, dirbamas visą teisės aktų ar kolektyvinės sutarties nustatytą darbo laiko trukmę. </w:t>
      </w:r>
    </w:p>
    <w:p w:rsidR="00951BDC" w:rsidRDefault="00951BDC" w:rsidP="00645A71">
      <w:pPr>
        <w:spacing w:line="360" w:lineRule="auto"/>
      </w:pPr>
      <w:r w:rsidRPr="00645A71">
        <w:rPr>
          <w:i/>
        </w:rPr>
        <w:t>Darbo jėga</w:t>
      </w:r>
      <w:r>
        <w:t xml:space="preserve"> – užimti gyventojai ir bedarbiai. </w:t>
      </w:r>
    </w:p>
    <w:p w:rsidR="00951BDC" w:rsidRDefault="00951BDC" w:rsidP="00645A71">
      <w:pPr>
        <w:spacing w:line="360" w:lineRule="auto"/>
      </w:pPr>
      <w:r w:rsidRPr="00645A71">
        <w:rPr>
          <w:i/>
        </w:rPr>
        <w:t>Darbo jėgos aktyvumo lygis</w:t>
      </w:r>
      <w:r>
        <w:t xml:space="preserve"> – rodiklis, išreiškiamas pasirinktos amžiaus grupės darbo jėgos ir to paties amžiaus visų gyventojų santykiu. </w:t>
      </w:r>
    </w:p>
    <w:p w:rsidR="00951BDC" w:rsidRDefault="00951BDC" w:rsidP="00645A71">
      <w:pPr>
        <w:spacing w:line="360" w:lineRule="auto"/>
      </w:pPr>
      <w:r w:rsidRPr="00645A71">
        <w:rPr>
          <w:i/>
        </w:rPr>
        <w:t>Ilgalaikis bedarbis</w:t>
      </w:r>
      <w:r>
        <w:t xml:space="preserve"> – bedarbis, ieškantis darbo vienus metus ar ilgiau.</w:t>
      </w:r>
    </w:p>
    <w:p w:rsidR="00951BDC" w:rsidRDefault="00951BDC" w:rsidP="00645A71">
      <w:pPr>
        <w:spacing w:line="360" w:lineRule="auto"/>
      </w:pPr>
      <w:r w:rsidRPr="00645A71">
        <w:rPr>
          <w:i/>
        </w:rPr>
        <w:t>Ilgalaikio nedarbo</w:t>
      </w:r>
      <w:r>
        <w:t xml:space="preserve"> </w:t>
      </w:r>
      <w:r w:rsidRPr="00645A71">
        <w:rPr>
          <w:i/>
        </w:rPr>
        <w:t>lygis</w:t>
      </w:r>
      <w:r>
        <w:t xml:space="preserve"> – rodiklis, išreiškiamas ilgalaikių bedarbių ir darbo jėgos santykiu. </w:t>
      </w:r>
    </w:p>
    <w:p w:rsidR="00645A71" w:rsidRDefault="00951BDC" w:rsidP="00645A71">
      <w:pPr>
        <w:spacing w:line="360" w:lineRule="auto"/>
      </w:pPr>
      <w:r w:rsidRPr="00645A71">
        <w:rPr>
          <w:i/>
        </w:rPr>
        <w:t>Namų ūkis</w:t>
      </w:r>
      <w:r>
        <w:t xml:space="preserve"> – atskirai gyvenantis vienas asmuo arba grupė viename būste gyvenančių asmenų, kurie dalijasi išlaidas ir bendrai</w:t>
      </w:r>
      <w:r w:rsidR="00645A71">
        <w:t xml:space="preserve"> </w:t>
      </w:r>
      <w:r>
        <w:t xml:space="preserve">apsirūpina gyventi būtinomis priemonėmis. </w:t>
      </w:r>
    </w:p>
    <w:p w:rsidR="00645A71" w:rsidRDefault="00951BDC" w:rsidP="00645A71">
      <w:pPr>
        <w:spacing w:line="360" w:lineRule="auto"/>
      </w:pPr>
      <w:r w:rsidRPr="00645A71">
        <w:rPr>
          <w:i/>
        </w:rPr>
        <w:t>Neaktyvūs gyventojai</w:t>
      </w:r>
      <w:r>
        <w:t xml:space="preserve"> – nedirbantys ir neieškantys darbo gyventojai, kurių negalima priskirti nei prie užimtų gyventojų, nei prie bedarbių. Tai vaikai, nedirbantys mokiniai ir studentai, namų šeimininkės (-ai), nedirbantys pensininkai, neįgalieji, nuteistieji, asmenys, praradę viltį rasti darbą.</w:t>
      </w:r>
    </w:p>
    <w:p w:rsidR="00645A71" w:rsidRDefault="00951BDC" w:rsidP="00645A71">
      <w:pPr>
        <w:spacing w:line="360" w:lineRule="auto"/>
      </w:pPr>
      <w:r w:rsidRPr="00645A71">
        <w:rPr>
          <w:i/>
        </w:rPr>
        <w:lastRenderedPageBreak/>
        <w:t>Nedarbo lygis</w:t>
      </w:r>
      <w:r>
        <w:t xml:space="preserve"> – rodiklis, išreiškiamas bedarbių ir darbo jėgos santykiu. </w:t>
      </w:r>
    </w:p>
    <w:p w:rsidR="00951BDC" w:rsidRDefault="00951BDC" w:rsidP="00645A71">
      <w:pPr>
        <w:spacing w:line="360" w:lineRule="auto"/>
      </w:pPr>
      <w:r w:rsidRPr="00645A71">
        <w:rPr>
          <w:i/>
        </w:rPr>
        <w:t>Samdomasis darbuotojas</w:t>
      </w:r>
      <w:r>
        <w:t xml:space="preserve"> – asmuo, pagal sutartį su darbdaviu įsipareigojęs dirbti arba eiti tam tikras pareigas pagal darbovietėje nustatytą darbo tvarką ir gaunantis sulygtą darbo užmokestį. Įskaitomi dirbantys tiek pagal rašytinę darbo sutartį,</w:t>
      </w:r>
      <w:r w:rsidR="00645A71">
        <w:t xml:space="preserve"> tiek pagal žodinį susitarimą. </w:t>
      </w:r>
      <w:r w:rsidRPr="00645A71">
        <w:rPr>
          <w:i/>
        </w:rPr>
        <w:t>Savarankiškai be samdomųjų darbuotojų dirbantis asmuo</w:t>
      </w:r>
      <w:r>
        <w:t xml:space="preserve"> – kitų darbuotojų nesamdantis asmuo, turintis savo verslą, dirbantis pagal verslo liudijimą ar ūkininkaujantis, negaunantis atlyginimo, bet turintis pelno, pajamų. </w:t>
      </w:r>
    </w:p>
    <w:p w:rsidR="00645A71" w:rsidRDefault="00951BDC" w:rsidP="00645A71">
      <w:pPr>
        <w:spacing w:line="360" w:lineRule="auto"/>
      </w:pPr>
      <w:r w:rsidRPr="00645A71">
        <w:rPr>
          <w:i/>
        </w:rPr>
        <w:t>Savarankiškai su samdomaisiais darbuotojais dirbantis asmuo</w:t>
      </w:r>
      <w:r>
        <w:t xml:space="preserve"> – bent vieną darbuotoją samdantis asmuo, turintis savo verslą ar ūkininkaujantis, negaunantis atlyginimo, bet turintis pelno, pajamų.</w:t>
      </w:r>
    </w:p>
    <w:p w:rsidR="00951BDC" w:rsidRDefault="00951BDC" w:rsidP="00645A71">
      <w:pPr>
        <w:spacing w:line="360" w:lineRule="auto"/>
      </w:pPr>
      <w:r w:rsidRPr="00645A71">
        <w:rPr>
          <w:i/>
        </w:rPr>
        <w:t>Užimti gyventojai</w:t>
      </w:r>
      <w:r>
        <w:t xml:space="preserve"> – 15 metų ir vyresni asmenys, dirbantys bet kokį darbą, gaunantys už jį darbo užmokestį pinigais ar išmoką natūra arba turintys pajamų ar pelno. Tyrime užimtais gyventojais laikomi 15 metų ir vyresni gyventojai, tiriamąją savaitę ne trumpiau kaip valandą dirbę bet kokį darbą, už kurį gavo darbo užmokestį pinigais ar išmoką natūra ar iš kurio turėjo pelno ar pajamų, taip pat gyventojai, kurie turėjo darbą, bet tiriamąją savaitę laikinai nedirbo. </w:t>
      </w:r>
    </w:p>
    <w:p w:rsidR="00645A71" w:rsidRDefault="00951BDC" w:rsidP="00645A71">
      <w:pPr>
        <w:spacing w:line="360" w:lineRule="auto"/>
      </w:pPr>
      <w:r w:rsidRPr="00645A71">
        <w:rPr>
          <w:i/>
        </w:rPr>
        <w:t>Užimtumo lygis</w:t>
      </w:r>
      <w:r>
        <w:t xml:space="preserve"> – rodiklis, išreiškiamas pasirinktos amžiaus grupės užimtų gyventojų ir to paties amžiaus visų gyventojų santykiu.</w:t>
      </w:r>
    </w:p>
    <w:p w:rsidR="00B90569" w:rsidRPr="0009531D" w:rsidRDefault="0009531D" w:rsidP="00645A71">
      <w:pPr>
        <w:spacing w:line="360" w:lineRule="auto"/>
        <w:rPr>
          <w:b/>
          <w:sz w:val="28"/>
        </w:rPr>
      </w:pPr>
      <w:r w:rsidRPr="0009531D">
        <w:rPr>
          <w:b/>
          <w:sz w:val="28"/>
        </w:rPr>
        <w:t>3.2 Pirminė duomenų analizė</w:t>
      </w:r>
    </w:p>
    <w:p w:rsidR="000401E7" w:rsidRDefault="00F33A2B" w:rsidP="000401E7">
      <w:pPr>
        <w:spacing w:line="360" w:lineRule="auto"/>
      </w:pPr>
      <w:r>
        <w:t>Nagrinėjant užimtumo duomenis galima išskirti daug skirtingų pjūvių, pagal kuriuos galima atskleisti pasiskirstymą tarp bedarbių, užimtųjų. Lietuvos</w:t>
      </w:r>
      <w:r w:rsidR="004B4995">
        <w:t xml:space="preserve"> atveju, visų pirma galima išskirti geografinį kontektą. </w:t>
      </w:r>
    </w:p>
    <w:p w:rsidR="00F33A2B" w:rsidRDefault="004B4995" w:rsidP="000401E7">
      <w:pPr>
        <w:spacing w:line="360" w:lineRule="auto"/>
      </w:pPr>
      <w:r>
        <w:t>Nedarbo lygis skirtinguose Lietuvos regionuose kai kuriais metais skyrėsi net daugiau nei du kartus (žr. 1 pav.), pavyzdžiui, 2013 metais Utenos apskirtyje nedarbo lygis siekė net 17.52</w:t>
      </w:r>
      <w:r>
        <w:rPr>
          <w:lang w:val="en-US"/>
        </w:rPr>
        <w:t xml:space="preserve">%, o </w:t>
      </w:r>
      <w:proofErr w:type="spellStart"/>
      <w:r>
        <w:rPr>
          <w:lang w:val="en-US"/>
        </w:rPr>
        <w:t>tais</w:t>
      </w:r>
      <w:proofErr w:type="spellEnd"/>
      <w:r>
        <w:rPr>
          <w:lang w:val="en-US"/>
        </w:rPr>
        <w:t xml:space="preserve"> pa</w:t>
      </w:r>
      <w:r>
        <w:t>čiais metais Klaipėdos apskiries nedarbo lygis buvo 6.72</w:t>
      </w:r>
      <w:r>
        <w:rPr>
          <w:lang w:val="en-US"/>
        </w:rPr>
        <w:t>%</w:t>
      </w:r>
      <w:r>
        <w:t xml:space="preserve">. </w:t>
      </w:r>
    </w:p>
    <w:p w:rsidR="004B4995" w:rsidRDefault="004B4995" w:rsidP="000401E7">
      <w:pPr>
        <w:spacing w:line="360" w:lineRule="auto"/>
      </w:pPr>
      <w:r>
        <w:t xml:space="preserve">Taip pat pastebime, kad </w:t>
      </w:r>
      <w:r w:rsidR="00336016">
        <w:t xml:space="preserve">2011-2016 metais didžiausias nedarbo lygis laikėsi Utenos apskirtyje, mažiausias (išskyrus 2011 metus) – Klaidėdos apskrityje. </w:t>
      </w:r>
    </w:p>
    <w:p w:rsidR="000401E7" w:rsidRDefault="00825E02" w:rsidP="000401E7">
      <w:pPr>
        <w:spacing w:line="360" w:lineRule="auto"/>
        <w:rPr>
          <w:lang w:val="en-US"/>
        </w:rPr>
      </w:pPr>
      <w:r>
        <w:t>Didžiausias vienerių metų nedarbo lygio pokytis buvo užfiksuotas Telšių apskirtyje 2011-2012 metais, kuomet nedarbo lygis per metus sumažėjo nuo 18.88</w:t>
      </w:r>
      <w:r>
        <w:rPr>
          <w:lang w:val="en-US"/>
        </w:rPr>
        <w:t xml:space="preserve">% </w:t>
      </w:r>
      <w:proofErr w:type="spellStart"/>
      <w:r>
        <w:rPr>
          <w:lang w:val="en-US"/>
        </w:rPr>
        <w:t>iki</w:t>
      </w:r>
      <w:proofErr w:type="spellEnd"/>
      <w:r>
        <w:rPr>
          <w:lang w:val="en-US"/>
        </w:rPr>
        <w:t xml:space="preserve"> </w:t>
      </w:r>
      <w:r>
        <w:t>13.92</w:t>
      </w:r>
      <w:r>
        <w:rPr>
          <w:lang w:val="en-US"/>
        </w:rPr>
        <w:t>%</w:t>
      </w:r>
      <w:r>
        <w:t xml:space="preserve"> (4.96</w:t>
      </w:r>
      <w:r>
        <w:rPr>
          <w:lang w:val="en-US"/>
        </w:rPr>
        <w:t xml:space="preserve">% </w:t>
      </w:r>
      <w:proofErr w:type="spellStart"/>
      <w:r>
        <w:rPr>
          <w:lang w:val="en-US"/>
        </w:rPr>
        <w:t>pokytis</w:t>
      </w:r>
      <w:proofErr w:type="spellEnd"/>
      <w:r>
        <w:rPr>
          <w:lang w:val="en-US"/>
        </w:rPr>
        <w:t>).</w:t>
      </w:r>
    </w:p>
    <w:p w:rsidR="00F33A2B" w:rsidRDefault="00825E02" w:rsidP="000401E7">
      <w:pPr>
        <w:spacing w:line="360" w:lineRule="auto"/>
      </w:pPr>
      <w:r>
        <w:lastRenderedPageBreak/>
        <w:t xml:space="preserve">Taigi nedarbo lygio pjūvis pagal regionus parodo, kad Lietuvoje bedarbių pasiskirtymas pagal regionus yra gana nehomogeniškas. Vieni regionai visais tyrimo metais mažino nedabo lygi, tačiau kituose regionuose pasitaikė metų, kuomet nedarbo lygis išaugdavo. Nepaisant to, bendras nedarbo lygis Lietuvoje nuo 2011 metų iki 2016 metų </w:t>
      </w:r>
      <w:r w:rsidR="000401E7">
        <w:t>sumažėjo nuo 15.47</w:t>
      </w:r>
      <w:r w:rsidR="000401E7">
        <w:rPr>
          <w:lang w:val="en-US"/>
        </w:rPr>
        <w:t xml:space="preserve">% </w:t>
      </w:r>
      <w:r w:rsidR="000401E7">
        <w:t>iki 8.76</w:t>
      </w:r>
      <w:r w:rsidR="000401E7">
        <w:rPr>
          <w:lang w:val="en-US"/>
        </w:rPr>
        <w:t xml:space="preserve">% (6.71% </w:t>
      </w:r>
      <w:proofErr w:type="spellStart"/>
      <w:r w:rsidR="000401E7">
        <w:rPr>
          <w:lang w:val="en-US"/>
        </w:rPr>
        <w:t>pokytis</w:t>
      </w:r>
      <w:proofErr w:type="spellEnd"/>
      <w:r w:rsidR="000401E7">
        <w:rPr>
          <w:lang w:val="en-US"/>
        </w:rPr>
        <w:t>).</w:t>
      </w:r>
      <w:r w:rsidR="00F33A2B" w:rsidRPr="00F33A2B">
        <w:rPr>
          <w:noProof/>
          <w:lang w:val="en-US"/>
        </w:rPr>
        <w:drawing>
          <wp:inline distT="0" distB="0" distL="0" distR="0">
            <wp:extent cx="5918491" cy="3540940"/>
            <wp:effectExtent l="0" t="0" r="6350" b="2540"/>
            <wp:docPr id="3" name="Picture 3" descr="C:\Users\Ray-B\Desktop\3 kursas\Kursinis\grafikai\Nedarbo lygio dinamika pagal apskritis 2011-2016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y-B\Desktop\3 kursas\Kursinis\grafikai\Nedarbo lygio dinamika pagal apskritis 2011-2016 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768" cy="3553072"/>
                    </a:xfrm>
                    <a:prstGeom prst="rect">
                      <a:avLst/>
                    </a:prstGeom>
                    <a:noFill/>
                    <a:ln>
                      <a:noFill/>
                    </a:ln>
                  </pic:spPr>
                </pic:pic>
              </a:graphicData>
            </a:graphic>
          </wp:inline>
        </w:drawing>
      </w:r>
    </w:p>
    <w:p w:rsidR="00A819BF" w:rsidRPr="00155AE4" w:rsidRDefault="003E5A62" w:rsidP="00A819BF">
      <w:pPr>
        <w:pStyle w:val="Caption"/>
        <w:jc w:val="center"/>
        <w:rPr>
          <w:sz w:val="20"/>
        </w:rPr>
      </w:pPr>
      <w:r w:rsidRPr="00155AE4">
        <w:rPr>
          <w:sz w:val="20"/>
        </w:rPr>
        <w:fldChar w:fldCharType="begin"/>
      </w:r>
      <w:r w:rsidRPr="00155AE4">
        <w:rPr>
          <w:sz w:val="20"/>
        </w:rPr>
        <w:instrText xml:space="preserve"> SEQ Figure \* ARABIC </w:instrText>
      </w:r>
      <w:r w:rsidRPr="00155AE4">
        <w:rPr>
          <w:sz w:val="20"/>
        </w:rPr>
        <w:fldChar w:fldCharType="separate"/>
      </w:r>
      <w:r w:rsidR="006374C7" w:rsidRPr="00155AE4">
        <w:rPr>
          <w:noProof/>
          <w:sz w:val="20"/>
        </w:rPr>
        <w:t>1</w:t>
      </w:r>
      <w:r w:rsidRPr="00155AE4">
        <w:rPr>
          <w:noProof/>
          <w:sz w:val="20"/>
        </w:rPr>
        <w:fldChar w:fldCharType="end"/>
      </w:r>
      <w:r w:rsidR="00F33A2B" w:rsidRPr="00155AE4">
        <w:rPr>
          <w:sz w:val="20"/>
        </w:rPr>
        <w:t xml:space="preserve"> p</w:t>
      </w:r>
      <w:r w:rsidR="00A819BF" w:rsidRPr="00155AE4">
        <w:rPr>
          <w:sz w:val="20"/>
        </w:rPr>
        <w:t>av.: Nedarbo lygio dinamika</w:t>
      </w:r>
    </w:p>
    <w:p w:rsidR="00A819BF" w:rsidRDefault="00A819BF" w:rsidP="0009531D">
      <w:r>
        <w:t>Daugiausiai tarp visų užimtų žmonių  sudaro 50-54 metų amžiaus žmonės, mažiausiai – jaunimas (15-19 metų amžiaus žmonės) (žr. 2 pav.).</w:t>
      </w:r>
      <w:r w:rsidRPr="00A819BF">
        <w:rPr>
          <w:noProof/>
          <w:lang w:val="en-US"/>
        </w:rPr>
        <w:drawing>
          <wp:inline distT="0" distB="0" distL="0" distR="0">
            <wp:extent cx="5228320" cy="3072809"/>
            <wp:effectExtent l="0" t="0" r="0" b="0"/>
            <wp:docPr id="5" name="Picture 5" descr="C:\Users\Ray-B\Desktop\3 kursas\Kursinis\grafikai\Užimtu žmoniu pasiskirstymas pagal amž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y-B\Desktop\3 kursas\Kursinis\grafikai\Užimtu žmoniu pasiskirstymas pagal amži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095" cy="3096186"/>
                    </a:xfrm>
                    <a:prstGeom prst="rect">
                      <a:avLst/>
                    </a:prstGeom>
                    <a:noFill/>
                    <a:ln>
                      <a:noFill/>
                    </a:ln>
                  </pic:spPr>
                </pic:pic>
              </a:graphicData>
            </a:graphic>
          </wp:inline>
        </w:drawing>
      </w:r>
    </w:p>
    <w:p w:rsidR="00A819BF" w:rsidRDefault="003E5A62" w:rsidP="00955B1E">
      <w:pPr>
        <w:pStyle w:val="Caption"/>
        <w:jc w:val="center"/>
      </w:pPr>
      <w:r>
        <w:fldChar w:fldCharType="begin"/>
      </w:r>
      <w:r>
        <w:instrText xml:space="preserve"> SEQ Figure \* ARABIC </w:instrText>
      </w:r>
      <w:r>
        <w:fldChar w:fldCharType="separate"/>
      </w:r>
      <w:r w:rsidR="006374C7">
        <w:rPr>
          <w:noProof/>
        </w:rPr>
        <w:t>2</w:t>
      </w:r>
      <w:r>
        <w:rPr>
          <w:noProof/>
        </w:rPr>
        <w:fldChar w:fldCharType="end"/>
      </w:r>
      <w:r w:rsidR="00A819BF">
        <w:t xml:space="preserve"> pav.: Užimtųjų amžiaus pasiskirstymas</w:t>
      </w:r>
    </w:p>
    <w:p w:rsidR="00955B1E" w:rsidRPr="00630C2F" w:rsidRDefault="00BF0ABA" w:rsidP="00A819BF">
      <w:pPr>
        <w:rPr>
          <w:lang w:val="en-US"/>
        </w:rPr>
      </w:pPr>
      <w:r>
        <w:lastRenderedPageBreak/>
        <w:t>Kitas svarbus</w:t>
      </w:r>
      <w:r w:rsidR="00955B1E">
        <w:t xml:space="preserve"> pjūvis, pagal kurį galima nagrinėti užimtumo rodiklius – lytis (žr. 3 pav.). Čia pastebimas jau Literatūros apžvalgoje pažymėtas teiginys, jog Lietuvoje užimtų moterų skaičius yra nežymiai didesnis nei vyrų, priešingai nuo likusiose Europos valstybėse (išskyrus Latviją), kur tarp užimtųjų daugiau vyrų nei moterų.</w:t>
      </w:r>
    </w:p>
    <w:p w:rsidR="00955B1E" w:rsidRDefault="00955B1E" w:rsidP="0009531D">
      <w:pPr>
        <w:keepNext/>
        <w:jc w:val="center"/>
      </w:pPr>
      <w:r w:rsidRPr="00955B1E">
        <w:rPr>
          <w:noProof/>
          <w:lang w:val="en-US"/>
        </w:rPr>
        <w:drawing>
          <wp:inline distT="0" distB="0" distL="0" distR="0">
            <wp:extent cx="4963043" cy="3391786"/>
            <wp:effectExtent l="0" t="0" r="9525" b="0"/>
            <wp:docPr id="2" name="Picture 2" descr="C:\Users\Ray-B\Desktop\3 kursas\Kursinis\grafikai\Užimtumo lygis pagal ly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B\Desktop\3 kursas\Kursinis\grafikai\Užimtumo lygis pagal lyt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0139" cy="3410304"/>
                    </a:xfrm>
                    <a:prstGeom prst="rect">
                      <a:avLst/>
                    </a:prstGeom>
                    <a:noFill/>
                    <a:ln>
                      <a:noFill/>
                    </a:ln>
                  </pic:spPr>
                </pic:pic>
              </a:graphicData>
            </a:graphic>
          </wp:inline>
        </w:drawing>
      </w:r>
    </w:p>
    <w:p w:rsidR="005B21BD" w:rsidRPr="00155AE4" w:rsidRDefault="003E5A62" w:rsidP="005B21BD">
      <w:pPr>
        <w:pStyle w:val="Caption"/>
        <w:jc w:val="center"/>
        <w:rPr>
          <w:sz w:val="20"/>
        </w:rPr>
      </w:pPr>
      <w:r w:rsidRPr="00155AE4">
        <w:rPr>
          <w:sz w:val="20"/>
        </w:rPr>
        <w:fldChar w:fldCharType="begin"/>
      </w:r>
      <w:r w:rsidRPr="00155AE4">
        <w:rPr>
          <w:sz w:val="20"/>
        </w:rPr>
        <w:instrText xml:space="preserve"> SEQ Figure \* ARABIC </w:instrText>
      </w:r>
      <w:r w:rsidRPr="00155AE4">
        <w:rPr>
          <w:sz w:val="20"/>
        </w:rPr>
        <w:fldChar w:fldCharType="separate"/>
      </w:r>
      <w:r w:rsidR="006374C7" w:rsidRPr="00155AE4">
        <w:rPr>
          <w:noProof/>
          <w:sz w:val="20"/>
        </w:rPr>
        <w:t>3</w:t>
      </w:r>
      <w:r w:rsidRPr="00155AE4">
        <w:rPr>
          <w:noProof/>
          <w:sz w:val="20"/>
        </w:rPr>
        <w:fldChar w:fldCharType="end"/>
      </w:r>
      <w:r w:rsidR="00955B1E" w:rsidRPr="00155AE4">
        <w:rPr>
          <w:sz w:val="20"/>
        </w:rPr>
        <w:t xml:space="preserve"> pav.: Užimtumo lygis pagal lytį</w:t>
      </w:r>
    </w:p>
    <w:p w:rsidR="00F33A2B" w:rsidRPr="006374C7" w:rsidRDefault="006C1103" w:rsidP="002F40C9">
      <w:pPr>
        <w:spacing w:line="360" w:lineRule="auto"/>
        <w:ind w:left="360"/>
        <w:rPr>
          <w:lang w:val="en-US"/>
        </w:rPr>
      </w:pPr>
      <w:r>
        <w:t>Dar vienas socialiniuose tyrimuose dažnai minimas rodiklis yra jaunimo nedarbas. Lietuvoje 2011-2016 metų laikotarpiu matomas pakankamai stiprus jaunimo nedarbo lygio mažėjimas (žr. 4 pav.). 2011 metų pirmą ketvirtį jaunimo nedarbas siekė 35.46</w:t>
      </w:r>
      <w:r>
        <w:rPr>
          <w:lang w:val="en-US"/>
        </w:rPr>
        <w:t>%, o 2016 met</w:t>
      </w:r>
      <w:r>
        <w:t xml:space="preserve">ų primą ketvirtį </w:t>
      </w:r>
      <w:r w:rsidR="006374C7">
        <w:t>siekė 16.59</w:t>
      </w:r>
      <w:r w:rsidR="006374C7">
        <w:rPr>
          <w:lang w:val="en-US"/>
        </w:rPr>
        <w:t>%.</w:t>
      </w:r>
    </w:p>
    <w:p w:rsidR="006374C7" w:rsidRDefault="006C1103" w:rsidP="0009531D">
      <w:pPr>
        <w:keepNext/>
        <w:spacing w:line="360" w:lineRule="auto"/>
        <w:ind w:left="360"/>
        <w:jc w:val="center"/>
      </w:pPr>
      <w:r w:rsidRPr="006C1103">
        <w:rPr>
          <w:noProof/>
          <w:lang w:val="en-US"/>
        </w:rPr>
        <w:drawing>
          <wp:inline distT="0" distB="0" distL="0" distR="0">
            <wp:extent cx="4167963" cy="2898367"/>
            <wp:effectExtent l="0" t="0" r="4445" b="0"/>
            <wp:docPr id="4" name="Picture 4" descr="C:\Users\Ray-B\Desktop\3 kursas\Kursinis\grafikai\Jaunimo nedarbo lyg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B\Desktop\3 kursas\Kursinis\grafikai\Jaunimo nedarbo lygi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2271" cy="2922224"/>
                    </a:xfrm>
                    <a:prstGeom prst="rect">
                      <a:avLst/>
                    </a:prstGeom>
                    <a:noFill/>
                    <a:ln>
                      <a:noFill/>
                    </a:ln>
                  </pic:spPr>
                </pic:pic>
              </a:graphicData>
            </a:graphic>
          </wp:inline>
        </w:drawing>
      </w:r>
    </w:p>
    <w:p w:rsidR="0009531D" w:rsidRPr="002139D4" w:rsidRDefault="006374C7" w:rsidP="002139D4">
      <w:pPr>
        <w:pStyle w:val="Caption"/>
        <w:jc w:val="center"/>
        <w:rPr>
          <w:sz w:val="20"/>
        </w:rPr>
      </w:pPr>
      <w:r w:rsidRPr="00155AE4">
        <w:rPr>
          <w:sz w:val="20"/>
        </w:rPr>
        <w:fldChar w:fldCharType="begin"/>
      </w:r>
      <w:r w:rsidRPr="00155AE4">
        <w:rPr>
          <w:sz w:val="20"/>
        </w:rPr>
        <w:instrText xml:space="preserve"> SEQ Figure \* ARABIC </w:instrText>
      </w:r>
      <w:r w:rsidRPr="00155AE4">
        <w:rPr>
          <w:sz w:val="20"/>
        </w:rPr>
        <w:fldChar w:fldCharType="separate"/>
      </w:r>
      <w:r w:rsidRPr="00155AE4">
        <w:rPr>
          <w:noProof/>
          <w:sz w:val="20"/>
        </w:rPr>
        <w:t>4</w:t>
      </w:r>
      <w:r w:rsidRPr="00155AE4">
        <w:rPr>
          <w:sz w:val="20"/>
        </w:rPr>
        <w:fldChar w:fldCharType="end"/>
      </w:r>
      <w:r w:rsidRPr="00155AE4">
        <w:rPr>
          <w:sz w:val="20"/>
        </w:rPr>
        <w:t xml:space="preserve"> pav</w:t>
      </w:r>
      <w:r w:rsidR="0009531D">
        <w:rPr>
          <w:sz w:val="20"/>
        </w:rPr>
        <w:t>. Jaunimo nedarbo lygio dinamik</w:t>
      </w:r>
      <w:r w:rsidR="002139D4">
        <w:rPr>
          <w:sz w:val="20"/>
        </w:rPr>
        <w:t>a</w:t>
      </w:r>
    </w:p>
    <w:p w:rsidR="0009531D" w:rsidRPr="002139D4" w:rsidRDefault="0009531D" w:rsidP="002139D4">
      <w:pPr>
        <w:pStyle w:val="header1"/>
        <w:outlineLvl w:val="0"/>
      </w:pPr>
      <w:bookmarkStart w:id="6" w:name="_Toc499509652"/>
      <w:r w:rsidRPr="002139D4">
        <w:lastRenderedPageBreak/>
        <w:t>Ekonometrinė duomenų analizė</w:t>
      </w:r>
      <w:bookmarkEnd w:id="6"/>
    </w:p>
    <w:p w:rsidR="00155AE4" w:rsidRPr="002139D4" w:rsidRDefault="0009531D" w:rsidP="002139D4">
      <w:pPr>
        <w:pStyle w:val="Header2"/>
        <w:outlineLvl w:val="1"/>
      </w:pPr>
      <w:bookmarkStart w:id="7" w:name="_Toc499509653"/>
      <w:r w:rsidRPr="002139D4">
        <w:t>4.1</w:t>
      </w:r>
      <w:r w:rsidR="00155AE4" w:rsidRPr="002139D4">
        <w:t xml:space="preserve"> Dvinarė logistinė regresija</w:t>
      </w:r>
      <w:bookmarkEnd w:id="7"/>
    </w:p>
    <w:p w:rsidR="006374C7" w:rsidRDefault="006374C7" w:rsidP="006374C7">
      <w:pPr>
        <w:spacing w:line="360" w:lineRule="auto"/>
      </w:pPr>
      <w:r>
        <w:t>Vertiname logistinės regresijos modelį, kur Y yra dirbantis/nedirbantis. Pirmiausia tenka sujungti neužimtus ir bedarbius ir išmest jaunesnius nei 15 metų asmenis, nes jiems nepriskiriamas ekonominio aktyvumo statusas.</w:t>
      </w:r>
    </w:p>
    <w:p w:rsidR="00155AE4" w:rsidRDefault="006374C7" w:rsidP="00951BDC">
      <w:pPr>
        <w:spacing w:line="360" w:lineRule="auto"/>
      </w:pPr>
      <w:r>
        <w:t>Tiriami neaktyvūs arba bedarbiai, nuo 25 iki 54 metų amžiaus, nesimokantys, jau turėję darbą.</w:t>
      </w:r>
      <w:r w:rsidR="00155AE4">
        <w:tab/>
      </w:r>
    </w:p>
    <w:p w:rsidR="00155AE4" w:rsidRDefault="00155AE4" w:rsidP="00951BDC">
      <w:pPr>
        <w:spacing w:line="360" w:lineRule="auto"/>
      </w:pPr>
    </w:p>
    <w:p w:rsidR="006374C7" w:rsidRDefault="006374C7" w:rsidP="006374C7">
      <w:pPr>
        <w:keepNext/>
        <w:spacing w:line="360" w:lineRule="auto"/>
        <w:jc w:val="center"/>
      </w:pPr>
      <w:r w:rsidRPr="006374C7">
        <w:rPr>
          <w:noProof/>
          <w:lang w:val="en-US"/>
        </w:rPr>
        <w:drawing>
          <wp:inline distT="0" distB="0" distL="0" distR="0">
            <wp:extent cx="4238063" cy="3965575"/>
            <wp:effectExtent l="0" t="0" r="0" b="0"/>
            <wp:docPr id="7" name="Picture 7" descr="C:\Users\Ray-B\Desktop\3 kursas\Kursinis\grafikai\Koreliaciju grafik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y-B\Desktop\3 kursas\Kursinis\grafikai\Koreliaciju grafika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5718"/>
                    <a:stretch/>
                  </pic:blipFill>
                  <pic:spPr bwMode="auto">
                    <a:xfrm>
                      <a:off x="0" y="0"/>
                      <a:ext cx="4246443" cy="3973416"/>
                    </a:xfrm>
                    <a:prstGeom prst="rect">
                      <a:avLst/>
                    </a:prstGeom>
                    <a:noFill/>
                    <a:ln>
                      <a:noFill/>
                    </a:ln>
                    <a:extLst>
                      <a:ext uri="{53640926-AAD7-44D8-BBD7-CCE9431645EC}">
                        <a14:shadowObscured xmlns:a14="http://schemas.microsoft.com/office/drawing/2010/main"/>
                      </a:ext>
                    </a:extLst>
                  </pic:spPr>
                </pic:pic>
              </a:graphicData>
            </a:graphic>
          </wp:inline>
        </w:drawing>
      </w:r>
    </w:p>
    <w:p w:rsidR="006374C7" w:rsidRDefault="006374C7" w:rsidP="006374C7">
      <w:pPr>
        <w:pStyle w:val="Caption"/>
        <w:jc w:val="center"/>
      </w:pPr>
      <w:r>
        <w:fldChar w:fldCharType="begin"/>
      </w:r>
      <w:r>
        <w:instrText xml:space="preserve"> SEQ Figure \* ARABIC </w:instrText>
      </w:r>
      <w:r>
        <w:fldChar w:fldCharType="separate"/>
      </w:r>
      <w:r>
        <w:rPr>
          <w:noProof/>
        </w:rPr>
        <w:t>5</w:t>
      </w:r>
      <w:r>
        <w:fldChar w:fldCharType="end"/>
      </w:r>
      <w:r>
        <w:t xml:space="preserve"> pav.</w:t>
      </w:r>
    </w:p>
    <w:p w:rsidR="006374C7" w:rsidRPr="006374C7" w:rsidRDefault="006374C7" w:rsidP="006374C7"/>
    <w:p w:rsidR="00155AE4" w:rsidRDefault="003E222F" w:rsidP="00155AE4">
      <w:pPr>
        <w:spacing w:line="360" w:lineRule="auto"/>
        <w:jc w:val="center"/>
      </w:pPr>
      <w:r>
        <w:br w:type="page"/>
      </w:r>
    </w:p>
    <w:p w:rsidR="00155AE4" w:rsidRPr="00155AE4" w:rsidRDefault="009A44C8" w:rsidP="00155AE4">
      <w:pPr>
        <w:pStyle w:val="Caption"/>
        <w:keepNext/>
        <w:jc w:val="center"/>
        <w:rPr>
          <w:sz w:val="20"/>
        </w:rPr>
      </w:pPr>
      <w:r>
        <w:rPr>
          <w:sz w:val="20"/>
        </w:rPr>
        <w:lastRenderedPageBreak/>
        <w:fldChar w:fldCharType="begin"/>
      </w:r>
      <w:r>
        <w:rPr>
          <w:sz w:val="20"/>
        </w:rPr>
        <w:instrText xml:space="preserve"> SEQ Table \* ARABIC </w:instrText>
      </w:r>
      <w:r>
        <w:rPr>
          <w:sz w:val="20"/>
        </w:rPr>
        <w:fldChar w:fldCharType="separate"/>
      </w:r>
      <w:r>
        <w:rPr>
          <w:noProof/>
          <w:sz w:val="20"/>
        </w:rPr>
        <w:t>1</w:t>
      </w:r>
      <w:r>
        <w:rPr>
          <w:sz w:val="20"/>
        </w:rPr>
        <w:fldChar w:fldCharType="end"/>
      </w:r>
      <w:r w:rsidR="00155AE4" w:rsidRPr="00155AE4">
        <w:rPr>
          <w:sz w:val="20"/>
        </w:rPr>
        <w:t xml:space="preserve"> lent.</w:t>
      </w:r>
    </w:p>
    <w:tbl>
      <w:tblPr>
        <w:tblpPr w:leftFromText="180" w:rightFromText="180" w:horzAnchor="margin" w:tblpXSpec="center" w:tblpY="-905"/>
        <w:tblW w:w="10627" w:type="dxa"/>
        <w:tblLayout w:type="fixed"/>
        <w:tblCellMar>
          <w:left w:w="0" w:type="dxa"/>
          <w:right w:w="0" w:type="dxa"/>
        </w:tblCellMar>
        <w:tblLook w:val="0420" w:firstRow="1" w:lastRow="0" w:firstColumn="0" w:lastColumn="0" w:noHBand="0" w:noVBand="1"/>
      </w:tblPr>
      <w:tblGrid>
        <w:gridCol w:w="3455"/>
        <w:gridCol w:w="1485"/>
        <w:gridCol w:w="1904"/>
        <w:gridCol w:w="1696"/>
        <w:gridCol w:w="2087"/>
      </w:tblGrid>
      <w:tr w:rsidR="00155AE4" w:rsidRPr="00155AE4" w:rsidTr="00155AE4">
        <w:trPr>
          <w:trHeight w:val="358"/>
        </w:trPr>
        <w:tc>
          <w:tcPr>
            <w:tcW w:w="345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155AE4" w:rsidRPr="00155AE4" w:rsidRDefault="00155AE4" w:rsidP="00155AE4">
            <w:pPr>
              <w:rPr>
                <w:lang w:val="en-US"/>
              </w:rPr>
            </w:pPr>
            <w:r w:rsidRPr="00155AE4">
              <w:rPr>
                <w:b/>
                <w:bCs/>
              </w:rPr>
              <w:t>Coefficients</w:t>
            </w:r>
          </w:p>
        </w:tc>
        <w:tc>
          <w:tcPr>
            <w:tcW w:w="148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155AE4" w:rsidRPr="00155AE4" w:rsidRDefault="00155AE4" w:rsidP="00155AE4">
            <w:pPr>
              <w:rPr>
                <w:lang w:val="en-US"/>
              </w:rPr>
            </w:pPr>
            <w:r w:rsidRPr="00155AE4">
              <w:rPr>
                <w:b/>
                <w:bCs/>
              </w:rPr>
              <w:t>Estimate</w:t>
            </w:r>
          </w:p>
        </w:tc>
        <w:tc>
          <w:tcPr>
            <w:tcW w:w="190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155AE4" w:rsidRPr="00155AE4" w:rsidRDefault="00155AE4" w:rsidP="00155AE4">
            <w:pPr>
              <w:rPr>
                <w:lang w:val="en-US"/>
              </w:rPr>
            </w:pPr>
            <w:r w:rsidRPr="00155AE4">
              <w:rPr>
                <w:b/>
                <w:bCs/>
              </w:rPr>
              <w:t>Std. Error</w:t>
            </w:r>
          </w:p>
        </w:tc>
        <w:tc>
          <w:tcPr>
            <w:tcW w:w="169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155AE4" w:rsidRPr="00155AE4" w:rsidRDefault="00155AE4" w:rsidP="00155AE4">
            <w:pPr>
              <w:rPr>
                <w:lang w:val="en-US"/>
              </w:rPr>
            </w:pPr>
            <w:r w:rsidRPr="00155AE4">
              <w:rPr>
                <w:b/>
                <w:bCs/>
              </w:rPr>
              <w:t>p-value</w:t>
            </w:r>
          </w:p>
        </w:tc>
        <w:tc>
          <w:tcPr>
            <w:tcW w:w="208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155AE4" w:rsidRPr="00155AE4" w:rsidRDefault="00155AE4" w:rsidP="00155AE4">
            <w:pPr>
              <w:rPr>
                <w:lang w:val="en-US"/>
              </w:rPr>
            </w:pPr>
            <w:r w:rsidRPr="00155AE4">
              <w:rPr>
                <w:b/>
                <w:bCs/>
              </w:rPr>
              <w:t>Exp(coefficients)</w:t>
            </w:r>
          </w:p>
        </w:tc>
      </w:tr>
      <w:tr w:rsidR="00155AE4" w:rsidRPr="00155AE4" w:rsidTr="00155AE4">
        <w:trPr>
          <w:trHeight w:val="808"/>
        </w:trPr>
        <w:tc>
          <w:tcPr>
            <w:tcW w:w="345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155AE4" w:rsidRPr="00155AE4" w:rsidRDefault="00155AE4" w:rsidP="00155AE4">
            <w:pPr>
              <w:rPr>
                <w:lang w:val="en-US"/>
              </w:rPr>
            </w:pPr>
            <w:r w:rsidRPr="00155AE4">
              <w:t>Intercept</w:t>
            </w:r>
          </w:p>
        </w:tc>
        <w:tc>
          <w:tcPr>
            <w:tcW w:w="148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155AE4" w:rsidRPr="00155AE4" w:rsidRDefault="00155AE4" w:rsidP="00155AE4">
            <w:pPr>
              <w:jc w:val="center"/>
              <w:rPr>
                <w:lang w:val="en-US"/>
              </w:rPr>
            </w:pPr>
            <w:r w:rsidRPr="00155AE4">
              <w:t>-</w:t>
            </w:r>
            <w:r w:rsidRPr="00155AE4">
              <w:rPr>
                <w:lang w:val="en-US"/>
              </w:rPr>
              <w:t>3.543944</w:t>
            </w:r>
          </w:p>
        </w:tc>
        <w:tc>
          <w:tcPr>
            <w:tcW w:w="190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0.170479</w:t>
            </w:r>
          </w:p>
        </w:tc>
        <w:tc>
          <w:tcPr>
            <w:tcW w:w="169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&lt; 2e-16 ***</w:t>
            </w:r>
          </w:p>
        </w:tc>
        <w:tc>
          <w:tcPr>
            <w:tcW w:w="208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155AE4" w:rsidRPr="00155AE4" w:rsidRDefault="00155AE4" w:rsidP="00155AE4">
            <w:pPr>
              <w:jc w:val="center"/>
              <w:rPr>
                <w:lang w:val="en-US"/>
              </w:rPr>
            </w:pPr>
          </w:p>
        </w:tc>
      </w:tr>
      <w:tr w:rsidR="00155AE4" w:rsidRPr="00155AE4" w:rsidTr="00155AE4">
        <w:trPr>
          <w:trHeight w:val="814"/>
        </w:trPr>
        <w:tc>
          <w:tcPr>
            <w:tcW w:w="345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155AE4" w:rsidRPr="00155AE4" w:rsidRDefault="00155AE4" w:rsidP="00155AE4">
            <w:pPr>
              <w:rPr>
                <w:lang w:val="en-US"/>
              </w:rPr>
            </w:pPr>
            <w:proofErr w:type="spellStart"/>
            <w:r w:rsidRPr="00155AE4">
              <w:rPr>
                <w:lang w:val="en-US"/>
              </w:rPr>
              <w:t>issilavinimo_tipasgamtos</w:t>
            </w:r>
            <w:proofErr w:type="spellEnd"/>
            <w:r w:rsidRPr="00155AE4">
              <w:rPr>
                <w:lang w:val="en-US"/>
              </w:rPr>
              <w:t xml:space="preserve"> </w:t>
            </w:r>
            <w:proofErr w:type="spellStart"/>
            <w:r w:rsidRPr="00155AE4">
              <w:rPr>
                <w:lang w:val="en-US"/>
              </w:rPr>
              <w:t>mokslai</w:t>
            </w:r>
            <w:proofErr w:type="spellEnd"/>
            <w:r w:rsidRPr="00155AE4">
              <w:rPr>
                <w:lang w:val="en-US"/>
              </w:rPr>
              <w:t xml:space="preserve">, </w:t>
            </w:r>
            <w:proofErr w:type="spellStart"/>
            <w:r w:rsidRPr="00155AE4">
              <w:rPr>
                <w:lang w:val="en-US"/>
              </w:rPr>
              <w:t>matematika</w:t>
            </w:r>
            <w:proofErr w:type="spellEnd"/>
            <w:r w:rsidRPr="00155AE4">
              <w:rPr>
                <w:lang w:val="en-US"/>
              </w:rPr>
              <w:t xml:space="preserve">, </w:t>
            </w:r>
            <w:proofErr w:type="spellStart"/>
            <w:r w:rsidRPr="00155AE4">
              <w:rPr>
                <w:lang w:val="en-US"/>
              </w:rPr>
              <w:t>informatika</w:t>
            </w:r>
            <w:proofErr w:type="spellEnd"/>
            <w:r w:rsidRPr="00155AE4">
              <w:rPr>
                <w:lang w:val="en-US"/>
              </w:rPr>
              <w:t xml:space="preserve">, </w:t>
            </w:r>
            <w:proofErr w:type="spellStart"/>
            <w:r w:rsidRPr="00155AE4">
              <w:rPr>
                <w:lang w:val="en-US"/>
              </w:rPr>
              <w:t>inzinerija</w:t>
            </w:r>
            <w:proofErr w:type="spellEnd"/>
          </w:p>
        </w:tc>
        <w:tc>
          <w:tcPr>
            <w:tcW w:w="148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1.101156</w:t>
            </w:r>
          </w:p>
        </w:tc>
        <w:tc>
          <w:tcPr>
            <w:tcW w:w="19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0.088178</w:t>
            </w:r>
          </w:p>
        </w:tc>
        <w:tc>
          <w:tcPr>
            <w:tcW w:w="169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&lt; 2e-16 ***</w:t>
            </w:r>
          </w:p>
        </w:tc>
        <w:tc>
          <w:tcPr>
            <w:tcW w:w="208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1.092182</w:t>
            </w:r>
          </w:p>
        </w:tc>
      </w:tr>
      <w:tr w:rsidR="00155AE4" w:rsidRPr="00155AE4" w:rsidTr="00155AE4">
        <w:trPr>
          <w:trHeight w:val="808"/>
        </w:trPr>
        <w:tc>
          <w:tcPr>
            <w:tcW w:w="345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155AE4" w:rsidRPr="00155AE4" w:rsidRDefault="00155AE4" w:rsidP="00155AE4">
            <w:pPr>
              <w:rPr>
                <w:lang w:val="en-US"/>
              </w:rPr>
            </w:pPr>
            <w:proofErr w:type="spellStart"/>
            <w:r w:rsidRPr="00155AE4">
              <w:rPr>
                <w:lang w:val="en-US"/>
              </w:rPr>
              <w:t>issilavinimo_tipashumanitariniai</w:t>
            </w:r>
            <w:proofErr w:type="spellEnd"/>
            <w:r w:rsidRPr="00155AE4">
              <w:rPr>
                <w:lang w:val="en-US"/>
              </w:rPr>
              <w:t xml:space="preserve"> </w:t>
            </w:r>
            <w:proofErr w:type="spellStart"/>
            <w:r w:rsidRPr="00155AE4">
              <w:rPr>
                <w:lang w:val="en-US"/>
              </w:rPr>
              <w:t>mokslai</w:t>
            </w:r>
            <w:proofErr w:type="spellEnd"/>
            <w:r w:rsidRPr="00155AE4">
              <w:rPr>
                <w:lang w:val="en-US"/>
              </w:rPr>
              <w:t xml:space="preserve"> </w:t>
            </w:r>
          </w:p>
        </w:tc>
        <w:tc>
          <w:tcPr>
            <w:tcW w:w="148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155AE4" w:rsidRPr="00155AE4" w:rsidRDefault="00155AE4" w:rsidP="00155AE4">
            <w:pPr>
              <w:jc w:val="center"/>
              <w:rPr>
                <w:lang w:val="en-US"/>
              </w:rPr>
            </w:pPr>
            <w:r w:rsidRPr="00155AE4">
              <w:t>-</w:t>
            </w:r>
            <w:r w:rsidRPr="00155AE4">
              <w:rPr>
                <w:lang w:val="en-US"/>
              </w:rPr>
              <w:t>0.132355</w:t>
            </w:r>
          </w:p>
        </w:tc>
        <w:tc>
          <w:tcPr>
            <w:tcW w:w="19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0.147672</w:t>
            </w:r>
          </w:p>
        </w:tc>
        <w:tc>
          <w:tcPr>
            <w:tcW w:w="169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0.3701</w:t>
            </w:r>
          </w:p>
        </w:tc>
        <w:tc>
          <w:tcPr>
            <w:tcW w:w="208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1.159133</w:t>
            </w:r>
          </w:p>
        </w:tc>
      </w:tr>
      <w:tr w:rsidR="00155AE4" w:rsidRPr="00155AE4" w:rsidTr="00155AE4">
        <w:trPr>
          <w:trHeight w:val="577"/>
        </w:trPr>
        <w:tc>
          <w:tcPr>
            <w:tcW w:w="345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155AE4" w:rsidRPr="00155AE4" w:rsidRDefault="00155AE4" w:rsidP="00155AE4">
            <w:pPr>
              <w:rPr>
                <w:lang w:val="en-US"/>
              </w:rPr>
            </w:pPr>
            <w:proofErr w:type="spellStart"/>
            <w:r w:rsidRPr="00155AE4">
              <w:rPr>
                <w:lang w:val="en-US"/>
              </w:rPr>
              <w:t>issilavinimo_tipassocialiniai</w:t>
            </w:r>
            <w:proofErr w:type="spellEnd"/>
            <w:r w:rsidRPr="00155AE4">
              <w:rPr>
                <w:lang w:val="en-US"/>
              </w:rPr>
              <w:t xml:space="preserve"> </w:t>
            </w:r>
            <w:proofErr w:type="spellStart"/>
            <w:r w:rsidRPr="00155AE4">
              <w:rPr>
                <w:lang w:val="en-US"/>
              </w:rPr>
              <w:t>mokslai</w:t>
            </w:r>
            <w:proofErr w:type="spellEnd"/>
            <w:r w:rsidRPr="00155AE4">
              <w:rPr>
                <w:lang w:val="en-US"/>
              </w:rPr>
              <w:t xml:space="preserve"> </w:t>
            </w:r>
          </w:p>
        </w:tc>
        <w:tc>
          <w:tcPr>
            <w:tcW w:w="148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0.444611</w:t>
            </w:r>
          </w:p>
        </w:tc>
        <w:tc>
          <w:tcPr>
            <w:tcW w:w="19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0.097475</w:t>
            </w:r>
          </w:p>
        </w:tc>
        <w:tc>
          <w:tcPr>
            <w:tcW w:w="169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5.08e-06 ***</w:t>
            </w:r>
          </w:p>
        </w:tc>
        <w:tc>
          <w:tcPr>
            <w:tcW w:w="208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1.102384</w:t>
            </w:r>
          </w:p>
        </w:tc>
      </w:tr>
      <w:tr w:rsidR="00155AE4" w:rsidRPr="00155AE4" w:rsidTr="00155AE4">
        <w:trPr>
          <w:trHeight w:val="808"/>
        </w:trPr>
        <w:tc>
          <w:tcPr>
            <w:tcW w:w="345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155AE4" w:rsidRPr="00155AE4" w:rsidRDefault="00155AE4" w:rsidP="00155AE4">
            <w:pPr>
              <w:rPr>
                <w:lang w:val="en-US"/>
              </w:rPr>
            </w:pPr>
            <w:r w:rsidRPr="00155AE4">
              <w:rPr>
                <w:lang w:val="pt-BR"/>
              </w:rPr>
              <w:t>issilavinimo_tipassvietimas ir sveikatos prieziura, paslaugos</w:t>
            </w:r>
          </w:p>
        </w:tc>
        <w:tc>
          <w:tcPr>
            <w:tcW w:w="148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0.856134</w:t>
            </w:r>
          </w:p>
        </w:tc>
        <w:tc>
          <w:tcPr>
            <w:tcW w:w="19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0.096707</w:t>
            </w:r>
          </w:p>
        </w:tc>
        <w:tc>
          <w:tcPr>
            <w:tcW w:w="169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&lt; 2e-16 ***</w:t>
            </w:r>
          </w:p>
        </w:tc>
        <w:tc>
          <w:tcPr>
            <w:tcW w:w="208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1.101538</w:t>
            </w:r>
          </w:p>
        </w:tc>
      </w:tr>
      <w:tr w:rsidR="00155AE4" w:rsidRPr="00155AE4" w:rsidTr="00155AE4">
        <w:trPr>
          <w:trHeight w:val="577"/>
        </w:trPr>
        <w:tc>
          <w:tcPr>
            <w:tcW w:w="345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155AE4" w:rsidRPr="00155AE4" w:rsidRDefault="00155AE4" w:rsidP="00155AE4">
            <w:pPr>
              <w:rPr>
                <w:lang w:val="en-US"/>
              </w:rPr>
            </w:pPr>
            <w:proofErr w:type="spellStart"/>
            <w:r w:rsidRPr="00155AE4">
              <w:rPr>
                <w:lang w:val="en-US"/>
              </w:rPr>
              <w:t>issilavinimo_tipaszemes</w:t>
            </w:r>
            <w:proofErr w:type="spellEnd"/>
            <w:r w:rsidRPr="00155AE4">
              <w:rPr>
                <w:lang w:val="en-US"/>
              </w:rPr>
              <w:t xml:space="preserve"> </w:t>
            </w:r>
            <w:proofErr w:type="spellStart"/>
            <w:r w:rsidRPr="00155AE4">
              <w:rPr>
                <w:lang w:val="en-US"/>
              </w:rPr>
              <w:t>ukis</w:t>
            </w:r>
            <w:proofErr w:type="spellEnd"/>
            <w:r w:rsidRPr="00155AE4">
              <w:rPr>
                <w:lang w:val="en-US"/>
              </w:rPr>
              <w:t xml:space="preserve"> </w:t>
            </w:r>
            <w:proofErr w:type="spellStart"/>
            <w:r w:rsidRPr="00155AE4">
              <w:rPr>
                <w:lang w:val="en-US"/>
              </w:rPr>
              <w:t>ir</w:t>
            </w:r>
            <w:proofErr w:type="spellEnd"/>
            <w:r w:rsidRPr="00155AE4">
              <w:rPr>
                <w:lang w:val="en-US"/>
              </w:rPr>
              <w:t xml:space="preserve"> </w:t>
            </w:r>
            <w:proofErr w:type="spellStart"/>
            <w:r w:rsidRPr="00155AE4">
              <w:rPr>
                <w:lang w:val="en-US"/>
              </w:rPr>
              <w:t>veterinarija</w:t>
            </w:r>
            <w:proofErr w:type="spellEnd"/>
            <w:r w:rsidRPr="00155AE4">
              <w:rPr>
                <w:lang w:val="en-US"/>
              </w:rPr>
              <w:t xml:space="preserve"> </w:t>
            </w:r>
          </w:p>
        </w:tc>
        <w:tc>
          <w:tcPr>
            <w:tcW w:w="148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0.474261</w:t>
            </w:r>
          </w:p>
        </w:tc>
        <w:tc>
          <w:tcPr>
            <w:tcW w:w="19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0.246897</w:t>
            </w:r>
          </w:p>
        </w:tc>
        <w:tc>
          <w:tcPr>
            <w:tcW w:w="169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155AE4" w:rsidRPr="00155AE4" w:rsidRDefault="00155AE4" w:rsidP="00155AE4">
            <w:pPr>
              <w:jc w:val="center"/>
              <w:rPr>
                <w:lang w:val="en-US"/>
              </w:rPr>
            </w:pPr>
            <w:proofErr w:type="gramStart"/>
            <w:r w:rsidRPr="00155AE4">
              <w:rPr>
                <w:lang w:val="en-US"/>
              </w:rPr>
              <w:t>0.0547 .</w:t>
            </w:r>
            <w:proofErr w:type="gramEnd"/>
          </w:p>
        </w:tc>
        <w:tc>
          <w:tcPr>
            <w:tcW w:w="208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1.280047</w:t>
            </w:r>
          </w:p>
        </w:tc>
      </w:tr>
      <w:tr w:rsidR="00155AE4" w:rsidRPr="00155AE4" w:rsidTr="00155AE4">
        <w:trPr>
          <w:trHeight w:val="566"/>
        </w:trPr>
        <w:tc>
          <w:tcPr>
            <w:tcW w:w="3455" w:type="dxa"/>
            <w:tcBorders>
              <w:top w:val="single" w:sz="8" w:space="0" w:color="FFFFFF"/>
              <w:left w:val="single" w:sz="8" w:space="0" w:color="FFFFFF"/>
              <w:bottom w:val="single" w:sz="8" w:space="0" w:color="FFFFFF"/>
              <w:right w:val="single" w:sz="8" w:space="0" w:color="FFFFFF"/>
            </w:tcBorders>
            <w:shd w:val="clear" w:color="auto" w:fill="D2DEEF"/>
            <w:tcMar>
              <w:top w:w="30" w:type="dxa"/>
              <w:left w:w="90" w:type="dxa"/>
              <w:bottom w:w="30" w:type="dxa"/>
              <w:right w:w="90" w:type="dxa"/>
            </w:tcMar>
            <w:vAlign w:val="center"/>
            <w:hideMark/>
          </w:tcPr>
          <w:p w:rsidR="00155AE4" w:rsidRPr="00155AE4" w:rsidRDefault="00155AE4" w:rsidP="00155AE4">
            <w:pPr>
              <w:rPr>
                <w:lang w:val="en-US"/>
              </w:rPr>
            </w:pPr>
            <w:r w:rsidRPr="00155AE4">
              <w:t>AGE</w:t>
            </w:r>
          </w:p>
        </w:tc>
        <w:tc>
          <w:tcPr>
            <w:tcW w:w="148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1.379427</w:t>
            </w:r>
          </w:p>
        </w:tc>
        <w:tc>
          <w:tcPr>
            <w:tcW w:w="19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0.069208</w:t>
            </w:r>
          </w:p>
        </w:tc>
        <w:tc>
          <w:tcPr>
            <w:tcW w:w="169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&lt; 2e-16 ***</w:t>
            </w:r>
          </w:p>
        </w:tc>
        <w:tc>
          <w:tcPr>
            <w:tcW w:w="208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1.071659</w:t>
            </w:r>
          </w:p>
        </w:tc>
      </w:tr>
      <w:tr w:rsidR="00155AE4" w:rsidRPr="00155AE4" w:rsidTr="00155AE4">
        <w:trPr>
          <w:trHeight w:val="808"/>
        </w:trPr>
        <w:tc>
          <w:tcPr>
            <w:tcW w:w="345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155AE4" w:rsidRPr="00155AE4" w:rsidRDefault="00155AE4" w:rsidP="00155AE4">
            <w:pPr>
              <w:rPr>
                <w:lang w:val="en-US"/>
              </w:rPr>
            </w:pPr>
            <w:r w:rsidRPr="00155AE4">
              <w:rPr>
                <w:lang w:val="en-US"/>
              </w:rPr>
              <w:t>I(AGE^2)</w:t>
            </w:r>
          </w:p>
        </w:tc>
        <w:tc>
          <w:tcPr>
            <w:tcW w:w="148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-0.102733</w:t>
            </w:r>
          </w:p>
        </w:tc>
        <w:tc>
          <w:tcPr>
            <w:tcW w:w="19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0.005876</w:t>
            </w:r>
          </w:p>
        </w:tc>
        <w:tc>
          <w:tcPr>
            <w:tcW w:w="169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&lt; 2e-16 ***</w:t>
            </w:r>
          </w:p>
        </w:tc>
        <w:tc>
          <w:tcPr>
            <w:tcW w:w="208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1.005893</w:t>
            </w:r>
          </w:p>
        </w:tc>
      </w:tr>
      <w:tr w:rsidR="00155AE4" w:rsidRPr="00155AE4" w:rsidTr="00155AE4">
        <w:trPr>
          <w:trHeight w:val="566"/>
        </w:trPr>
        <w:tc>
          <w:tcPr>
            <w:tcW w:w="345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155AE4" w:rsidRPr="00155AE4" w:rsidRDefault="00155AE4" w:rsidP="00155AE4">
            <w:pPr>
              <w:rPr>
                <w:lang w:val="en-US"/>
              </w:rPr>
            </w:pPr>
            <w:r w:rsidRPr="00155AE4">
              <w:rPr>
                <w:lang w:val="en-US"/>
              </w:rPr>
              <w:t>factor(HATLEVEL)3</w:t>
            </w:r>
          </w:p>
        </w:tc>
        <w:tc>
          <w:tcPr>
            <w:tcW w:w="148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1.248876</w:t>
            </w:r>
          </w:p>
        </w:tc>
        <w:tc>
          <w:tcPr>
            <w:tcW w:w="19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0.087538</w:t>
            </w:r>
          </w:p>
        </w:tc>
        <w:tc>
          <w:tcPr>
            <w:tcW w:w="169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&lt; 2e-16 ***</w:t>
            </w:r>
          </w:p>
        </w:tc>
        <w:tc>
          <w:tcPr>
            <w:tcW w:w="208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155AE4" w:rsidRPr="00155AE4" w:rsidRDefault="00155AE4" w:rsidP="00155AE4">
            <w:pPr>
              <w:jc w:val="center"/>
              <w:rPr>
                <w:lang w:val="en-US"/>
              </w:rPr>
            </w:pPr>
            <w:r w:rsidRPr="00155AE4">
              <w:rPr>
                <w:lang w:val="en-US"/>
              </w:rPr>
              <w:t>1.091484</w:t>
            </w:r>
          </w:p>
        </w:tc>
      </w:tr>
    </w:tbl>
    <w:p w:rsidR="00155AE4" w:rsidRDefault="00155AE4">
      <w:r>
        <w:br w:type="page"/>
      </w:r>
    </w:p>
    <w:tbl>
      <w:tblPr>
        <w:tblStyle w:val="TableGrid"/>
        <w:tblW w:w="0" w:type="auto"/>
        <w:tblInd w:w="450" w:type="dxa"/>
        <w:tblLook w:val="04A0" w:firstRow="1" w:lastRow="0" w:firstColumn="1" w:lastColumn="0" w:noHBand="0" w:noVBand="1"/>
      </w:tblPr>
      <w:tblGrid>
        <w:gridCol w:w="1586"/>
        <w:gridCol w:w="3228"/>
        <w:gridCol w:w="2026"/>
      </w:tblGrid>
      <w:tr w:rsidR="00155AE4" w:rsidTr="009A44C8">
        <w:tc>
          <w:tcPr>
            <w:tcW w:w="1586" w:type="dxa"/>
            <w:tcBorders>
              <w:top w:val="nil"/>
              <w:left w:val="nil"/>
              <w:bottom w:val="single" w:sz="4" w:space="0" w:color="auto"/>
            </w:tcBorders>
          </w:tcPr>
          <w:p w:rsidR="00155AE4" w:rsidRDefault="00155AE4" w:rsidP="009A44C8">
            <w:pPr>
              <w:jc w:val="center"/>
            </w:pPr>
          </w:p>
        </w:tc>
        <w:tc>
          <w:tcPr>
            <w:tcW w:w="3228" w:type="dxa"/>
          </w:tcPr>
          <w:p w:rsidR="00155AE4" w:rsidRDefault="00155AE4" w:rsidP="00155AE4">
            <w:pPr>
              <w:jc w:val="center"/>
            </w:pPr>
            <w:r>
              <w:t>Kintamasis</w:t>
            </w:r>
          </w:p>
        </w:tc>
        <w:tc>
          <w:tcPr>
            <w:tcW w:w="2026" w:type="dxa"/>
          </w:tcPr>
          <w:p w:rsidR="00155AE4" w:rsidRDefault="00155AE4" w:rsidP="00155AE4">
            <w:pPr>
              <w:jc w:val="center"/>
            </w:pPr>
            <w:r>
              <w:t>Įtaka</w:t>
            </w:r>
          </w:p>
        </w:tc>
      </w:tr>
      <w:tr w:rsidR="009A44C8" w:rsidTr="009A44C8">
        <w:tc>
          <w:tcPr>
            <w:tcW w:w="1586" w:type="dxa"/>
            <w:vMerge w:val="restart"/>
            <w:tcBorders>
              <w:top w:val="single" w:sz="4" w:space="0" w:color="auto"/>
            </w:tcBorders>
          </w:tcPr>
          <w:p w:rsidR="009A44C8" w:rsidRDefault="009A44C8" w:rsidP="009A44C8">
            <w:pPr>
              <w:jc w:val="center"/>
            </w:pPr>
            <w:r>
              <w:t>Išsilavinimo tipas</w:t>
            </w:r>
          </w:p>
        </w:tc>
        <w:tc>
          <w:tcPr>
            <w:tcW w:w="3228" w:type="dxa"/>
          </w:tcPr>
          <w:p w:rsidR="009A44C8" w:rsidRDefault="009A44C8">
            <w:r>
              <w:t>Gamtos mokslai, matematika, informatika, inžinerija</w:t>
            </w:r>
          </w:p>
        </w:tc>
        <w:tc>
          <w:tcPr>
            <w:tcW w:w="2026" w:type="dxa"/>
          </w:tcPr>
          <w:p w:rsidR="009A44C8" w:rsidRDefault="009A44C8" w:rsidP="009A44C8">
            <w:pPr>
              <w:jc w:val="center"/>
            </w:pPr>
            <w:r w:rsidRPr="009A44C8">
              <w:t>1.092182</w:t>
            </w:r>
          </w:p>
        </w:tc>
      </w:tr>
      <w:tr w:rsidR="009A44C8" w:rsidTr="009A44C8">
        <w:tc>
          <w:tcPr>
            <w:tcW w:w="1586" w:type="dxa"/>
            <w:vMerge/>
          </w:tcPr>
          <w:p w:rsidR="009A44C8" w:rsidRDefault="009A44C8" w:rsidP="00916D1C"/>
        </w:tc>
        <w:tc>
          <w:tcPr>
            <w:tcW w:w="3228" w:type="dxa"/>
          </w:tcPr>
          <w:p w:rsidR="009A44C8" w:rsidRDefault="009A44C8">
            <w:r>
              <w:t>Humanitariniai mokslai</w:t>
            </w:r>
          </w:p>
        </w:tc>
        <w:tc>
          <w:tcPr>
            <w:tcW w:w="2026" w:type="dxa"/>
          </w:tcPr>
          <w:p w:rsidR="009A44C8" w:rsidRDefault="009A44C8" w:rsidP="009A44C8">
            <w:pPr>
              <w:jc w:val="center"/>
            </w:pPr>
            <w:r w:rsidRPr="009A44C8">
              <w:t>1.159133</w:t>
            </w:r>
          </w:p>
        </w:tc>
      </w:tr>
      <w:tr w:rsidR="009A44C8" w:rsidTr="009A44C8">
        <w:tc>
          <w:tcPr>
            <w:tcW w:w="1586" w:type="dxa"/>
            <w:vMerge/>
          </w:tcPr>
          <w:p w:rsidR="009A44C8" w:rsidRDefault="009A44C8"/>
        </w:tc>
        <w:tc>
          <w:tcPr>
            <w:tcW w:w="3228" w:type="dxa"/>
          </w:tcPr>
          <w:p w:rsidR="009A44C8" w:rsidRDefault="009A44C8">
            <w:r>
              <w:t>Socialniai mokslai</w:t>
            </w:r>
          </w:p>
        </w:tc>
        <w:tc>
          <w:tcPr>
            <w:tcW w:w="2026" w:type="dxa"/>
          </w:tcPr>
          <w:p w:rsidR="009A44C8" w:rsidRDefault="009A44C8" w:rsidP="009A44C8">
            <w:pPr>
              <w:jc w:val="center"/>
            </w:pPr>
            <w:r w:rsidRPr="009A44C8">
              <w:t>1.102384</w:t>
            </w:r>
          </w:p>
        </w:tc>
      </w:tr>
      <w:tr w:rsidR="009A44C8" w:rsidTr="009A44C8">
        <w:tc>
          <w:tcPr>
            <w:tcW w:w="1586" w:type="dxa"/>
            <w:vMerge/>
          </w:tcPr>
          <w:p w:rsidR="009A44C8" w:rsidRDefault="009A44C8" w:rsidP="00155AE4">
            <w:pPr>
              <w:jc w:val="center"/>
            </w:pPr>
          </w:p>
        </w:tc>
        <w:tc>
          <w:tcPr>
            <w:tcW w:w="3228" w:type="dxa"/>
          </w:tcPr>
          <w:p w:rsidR="009A44C8" w:rsidRDefault="009A44C8">
            <w:r>
              <w:t>Švietimas, sveikatos priežiūra, paslaugos</w:t>
            </w:r>
          </w:p>
        </w:tc>
        <w:tc>
          <w:tcPr>
            <w:tcW w:w="2026" w:type="dxa"/>
          </w:tcPr>
          <w:p w:rsidR="009A44C8" w:rsidRDefault="009A44C8" w:rsidP="009A44C8">
            <w:pPr>
              <w:jc w:val="center"/>
            </w:pPr>
            <w:r w:rsidRPr="009A44C8">
              <w:t>1.101538</w:t>
            </w:r>
          </w:p>
        </w:tc>
      </w:tr>
      <w:tr w:rsidR="009A44C8" w:rsidTr="009A44C8">
        <w:tc>
          <w:tcPr>
            <w:tcW w:w="1586" w:type="dxa"/>
            <w:vMerge/>
            <w:tcBorders>
              <w:bottom w:val="single" w:sz="4" w:space="0" w:color="auto"/>
            </w:tcBorders>
          </w:tcPr>
          <w:p w:rsidR="009A44C8" w:rsidRDefault="009A44C8"/>
        </w:tc>
        <w:tc>
          <w:tcPr>
            <w:tcW w:w="3228" w:type="dxa"/>
          </w:tcPr>
          <w:p w:rsidR="009A44C8" w:rsidRDefault="009A44C8">
            <w:r>
              <w:t>Žemės ūkis ir veterinarija</w:t>
            </w:r>
          </w:p>
        </w:tc>
        <w:tc>
          <w:tcPr>
            <w:tcW w:w="2026" w:type="dxa"/>
          </w:tcPr>
          <w:p w:rsidR="009A44C8" w:rsidRDefault="009A44C8" w:rsidP="009A44C8">
            <w:pPr>
              <w:jc w:val="center"/>
            </w:pPr>
            <w:r w:rsidRPr="009A44C8">
              <w:t>1.280047</w:t>
            </w:r>
          </w:p>
        </w:tc>
      </w:tr>
      <w:tr w:rsidR="00900D3B" w:rsidTr="009A44C8">
        <w:tc>
          <w:tcPr>
            <w:tcW w:w="1586" w:type="dxa"/>
            <w:vMerge w:val="restart"/>
            <w:tcBorders>
              <w:left w:val="nil"/>
              <w:bottom w:val="nil"/>
            </w:tcBorders>
          </w:tcPr>
          <w:p w:rsidR="00900D3B" w:rsidRDefault="00900D3B"/>
          <w:p w:rsidR="00900D3B" w:rsidRPr="00900D3B" w:rsidRDefault="00900D3B" w:rsidP="00900D3B"/>
        </w:tc>
        <w:tc>
          <w:tcPr>
            <w:tcW w:w="3228" w:type="dxa"/>
          </w:tcPr>
          <w:p w:rsidR="00900D3B" w:rsidRDefault="009A44C8">
            <w:r>
              <w:t>Amžius</w:t>
            </w:r>
          </w:p>
        </w:tc>
        <w:tc>
          <w:tcPr>
            <w:tcW w:w="2026" w:type="dxa"/>
          </w:tcPr>
          <w:p w:rsidR="00900D3B" w:rsidRDefault="009A44C8" w:rsidP="009A44C8">
            <w:pPr>
              <w:jc w:val="center"/>
            </w:pPr>
            <w:r w:rsidRPr="009A44C8">
              <w:t>1.071659</w:t>
            </w:r>
          </w:p>
        </w:tc>
      </w:tr>
      <w:tr w:rsidR="00900D3B" w:rsidTr="009A44C8">
        <w:tc>
          <w:tcPr>
            <w:tcW w:w="1586" w:type="dxa"/>
            <w:vMerge/>
            <w:tcBorders>
              <w:left w:val="nil"/>
              <w:bottom w:val="nil"/>
            </w:tcBorders>
          </w:tcPr>
          <w:p w:rsidR="00900D3B" w:rsidRDefault="00900D3B"/>
        </w:tc>
        <w:tc>
          <w:tcPr>
            <w:tcW w:w="3228" w:type="dxa"/>
          </w:tcPr>
          <w:p w:rsidR="00900D3B" w:rsidRPr="00900D3B" w:rsidRDefault="00900D3B" w:rsidP="009A44C8">
            <w:r>
              <w:t>I(</w:t>
            </w:r>
            <w:r w:rsidR="009A44C8">
              <w:t>Amžius</w:t>
            </w:r>
            <w:r>
              <w:rPr>
                <w:vertAlign w:val="superscript"/>
              </w:rPr>
              <w:t>2</w:t>
            </w:r>
            <w:r>
              <w:t>)</w:t>
            </w:r>
          </w:p>
        </w:tc>
        <w:tc>
          <w:tcPr>
            <w:tcW w:w="2026" w:type="dxa"/>
          </w:tcPr>
          <w:p w:rsidR="00900D3B" w:rsidRDefault="009A44C8" w:rsidP="009A44C8">
            <w:pPr>
              <w:jc w:val="center"/>
            </w:pPr>
            <w:r w:rsidRPr="009A44C8">
              <w:t>1.005893</w:t>
            </w:r>
          </w:p>
        </w:tc>
      </w:tr>
      <w:tr w:rsidR="00900D3B" w:rsidTr="009A44C8">
        <w:trPr>
          <w:trHeight w:val="77"/>
        </w:trPr>
        <w:tc>
          <w:tcPr>
            <w:tcW w:w="1586" w:type="dxa"/>
            <w:vMerge/>
            <w:tcBorders>
              <w:left w:val="nil"/>
              <w:bottom w:val="nil"/>
            </w:tcBorders>
          </w:tcPr>
          <w:p w:rsidR="00900D3B" w:rsidRDefault="00900D3B"/>
        </w:tc>
        <w:tc>
          <w:tcPr>
            <w:tcW w:w="3228" w:type="dxa"/>
          </w:tcPr>
          <w:p w:rsidR="00900D3B" w:rsidRDefault="00900D3B">
            <w:r>
              <w:t>Išsilavinimo lygis</w:t>
            </w:r>
          </w:p>
        </w:tc>
        <w:tc>
          <w:tcPr>
            <w:tcW w:w="2026" w:type="dxa"/>
          </w:tcPr>
          <w:p w:rsidR="00900D3B" w:rsidRDefault="009A44C8" w:rsidP="009A44C8">
            <w:pPr>
              <w:keepNext/>
              <w:jc w:val="center"/>
            </w:pPr>
            <w:r w:rsidRPr="009A44C8">
              <w:t>1.091484</w:t>
            </w:r>
          </w:p>
        </w:tc>
      </w:tr>
    </w:tbl>
    <w:p w:rsidR="00155AE4" w:rsidRDefault="009A44C8" w:rsidP="009A44C8">
      <w:pPr>
        <w:pStyle w:val="Caption"/>
        <w:jc w:val="center"/>
      </w:pPr>
      <w:r w:rsidRPr="009A44C8">
        <w:rPr>
          <w:sz w:val="20"/>
        </w:rPr>
        <w:fldChar w:fldCharType="begin"/>
      </w:r>
      <w:r w:rsidRPr="009A44C8">
        <w:rPr>
          <w:sz w:val="20"/>
        </w:rPr>
        <w:instrText xml:space="preserve"> SEQ Table \* ARABIC </w:instrText>
      </w:r>
      <w:r w:rsidRPr="009A44C8">
        <w:rPr>
          <w:sz w:val="20"/>
        </w:rPr>
        <w:fldChar w:fldCharType="separate"/>
      </w:r>
      <w:r w:rsidRPr="009A44C8">
        <w:rPr>
          <w:noProof/>
          <w:sz w:val="20"/>
        </w:rPr>
        <w:t>2</w:t>
      </w:r>
      <w:r w:rsidRPr="009A44C8">
        <w:rPr>
          <w:sz w:val="20"/>
        </w:rPr>
        <w:fldChar w:fldCharType="end"/>
      </w:r>
      <w:r w:rsidRPr="009A44C8">
        <w:rPr>
          <w:sz w:val="20"/>
        </w:rPr>
        <w:t xml:space="preserve"> lent</w:t>
      </w:r>
      <w:r>
        <w:t>.</w:t>
      </w:r>
    </w:p>
    <w:p w:rsidR="009A44C8" w:rsidRDefault="009A44C8" w:rsidP="00155AE4">
      <w:r w:rsidRPr="009A44C8">
        <w:t>Matome, kad didžiausią įtaką turi išsilavinimo lygis</w:t>
      </w:r>
      <w:r>
        <w:t xml:space="preserve"> (žr. 2 lent.)</w:t>
      </w:r>
      <w:r w:rsidRPr="009A44C8">
        <w:t>. Tikėtina, kad aukščiausią (ISCED 5-6) išsilavinimą turintys žmonės bus įdarbinti.</w:t>
      </w:r>
    </w:p>
    <w:p w:rsidR="009A44C8" w:rsidRPr="009A44C8" w:rsidRDefault="009A44C8" w:rsidP="00155AE4">
      <w:pPr>
        <w:rPr>
          <w:sz w:val="22"/>
        </w:rPr>
      </w:pPr>
    </w:p>
    <w:p w:rsidR="00155AE4" w:rsidRPr="009A44C8" w:rsidRDefault="002139D4" w:rsidP="002139D4">
      <w:pPr>
        <w:pStyle w:val="Header2"/>
        <w:outlineLvl w:val="1"/>
      </w:pPr>
      <w:bookmarkStart w:id="8" w:name="_Toc499509654"/>
      <w:r>
        <w:t>4</w:t>
      </w:r>
      <w:r w:rsidR="00AA2D1B">
        <w:t>.2</w:t>
      </w:r>
      <w:r w:rsidR="00155AE4" w:rsidRPr="009A44C8">
        <w:t xml:space="preserve"> Modelio tinkamumas</w:t>
      </w:r>
      <w:bookmarkEnd w:id="8"/>
    </w:p>
    <w:p w:rsidR="009A44C8" w:rsidRDefault="009A44C8" w:rsidP="00155AE4"/>
    <w:p w:rsidR="009A44C8" w:rsidRDefault="009A44C8" w:rsidP="00155AE4"/>
    <w:p w:rsidR="009A44C8" w:rsidRDefault="009A44C8" w:rsidP="00155AE4"/>
    <w:p w:rsidR="009A44C8" w:rsidRDefault="009A44C8" w:rsidP="00155AE4"/>
    <w:p w:rsidR="009A44C8" w:rsidRDefault="009A44C8" w:rsidP="00155AE4"/>
    <w:p w:rsidR="009A44C8" w:rsidRDefault="009A44C8" w:rsidP="00155AE4">
      <w:r w:rsidRPr="009A44C8">
        <w:t>ANOVA rodo, kad tikėtina, kad logistinės regresijos</w:t>
      </w:r>
      <w:r>
        <w:t xml:space="preserve"> modelis </w:t>
      </w:r>
      <w:r w:rsidRPr="009A44C8">
        <w:t>tinka.</w:t>
      </w:r>
    </w:p>
    <w:p w:rsidR="009A44C8" w:rsidRDefault="009A44C8" w:rsidP="00155AE4"/>
    <w:p w:rsidR="009A44C8" w:rsidRDefault="009A44C8" w:rsidP="00155AE4"/>
    <w:p w:rsidR="009A44C8" w:rsidRDefault="009A44C8" w:rsidP="00155AE4">
      <w:r w:rsidRPr="009A44C8">
        <w:t xml:space="preserve"> </w:t>
      </w:r>
    </w:p>
    <w:p w:rsidR="009A44C8" w:rsidRDefault="009A44C8" w:rsidP="00155AE4"/>
    <w:p w:rsidR="009A44C8" w:rsidRDefault="00F04E64" w:rsidP="00155AE4">
      <w:pPr>
        <w:rPr>
          <w:rFonts w:eastAsiaTheme="minorEastAsia"/>
          <w:lang w:val="en-US"/>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lang w:val="en-US"/>
            </w:rPr>
            <m:t xml:space="preserve">=0.23 </m:t>
          </m:r>
        </m:oMath>
      </m:oMathPara>
    </w:p>
    <w:p w:rsidR="009A44C8" w:rsidRDefault="009A44C8" w:rsidP="00155AE4">
      <w:r w:rsidRPr="009A44C8">
        <w:t>R kvadratas viršija 0,2, taigi modelis atrodo tinkamas.</w:t>
      </w:r>
    </w:p>
    <w:p w:rsidR="009A44C8" w:rsidRDefault="009A44C8">
      <w:r>
        <w:br w:type="page"/>
      </w:r>
    </w:p>
    <w:p w:rsidR="006A2646" w:rsidRPr="002139D4" w:rsidRDefault="00C2270B" w:rsidP="002139D4">
      <w:pPr>
        <w:pStyle w:val="header1"/>
        <w:outlineLvl w:val="0"/>
      </w:pPr>
      <w:bookmarkStart w:id="9" w:name="_Toc499509655"/>
      <w:r w:rsidRPr="002139D4">
        <w:lastRenderedPageBreak/>
        <w:t>Literatūros sąrašas</w:t>
      </w:r>
      <w:bookmarkEnd w:id="9"/>
    </w:p>
    <w:p w:rsidR="00C2270B" w:rsidRDefault="00F04E64" w:rsidP="00951BDC">
      <w:pPr>
        <w:spacing w:line="360" w:lineRule="auto"/>
        <w:rPr>
          <w:rStyle w:val="Hyperlink"/>
        </w:rPr>
      </w:pPr>
      <w:hyperlink r:id="rId14" w:history="1">
        <w:r w:rsidR="00C2270B" w:rsidRPr="0068641C">
          <w:rPr>
            <w:rStyle w:val="Hyperlink"/>
          </w:rPr>
          <w:t>https://osp.stat.gov.lt/documents/10180/130368/Gyventoj%C5%B3_uzimtumo_statistinio_tyrimo_metodika_2013.pdf</w:t>
        </w:r>
      </w:hyperlink>
    </w:p>
    <w:p w:rsidR="008A6DD3" w:rsidRDefault="008A6DD3" w:rsidP="00951BDC">
      <w:pPr>
        <w:spacing w:line="360" w:lineRule="auto"/>
        <w:rPr>
          <w:rStyle w:val="Hyperlink"/>
        </w:rPr>
      </w:pPr>
    </w:p>
    <w:p w:rsidR="008A6DD3" w:rsidRDefault="00F04E64" w:rsidP="00951BDC">
      <w:pPr>
        <w:spacing w:line="360" w:lineRule="auto"/>
      </w:pPr>
      <w:hyperlink r:id="rId15" w:history="1">
        <w:r w:rsidR="008A6DD3" w:rsidRPr="000D4786">
          <w:rPr>
            <w:rStyle w:val="Hyperlink"/>
          </w:rPr>
          <w:t>http://www.sthda.com/english/wiki/chi-square-test-of-independence-in-r</w:t>
        </w:r>
      </w:hyperlink>
    </w:p>
    <w:p w:rsidR="008A6DD3" w:rsidRDefault="00F04E64" w:rsidP="00951BDC">
      <w:pPr>
        <w:spacing w:line="360" w:lineRule="auto"/>
      </w:pPr>
      <w:hyperlink r:id="rId16" w:history="1">
        <w:r w:rsidR="008A6DD3" w:rsidRPr="000D4786">
          <w:rPr>
            <w:rStyle w:val="Hyperlink"/>
          </w:rPr>
          <w:t>http://www.statistika.mif.vu.lt/wp-content/uploads/2014/04/regresine-analize.pdf</w:t>
        </w:r>
      </w:hyperlink>
    </w:p>
    <w:p w:rsidR="008A6DD3" w:rsidRPr="00946070" w:rsidRDefault="008A6DD3" w:rsidP="00951BDC">
      <w:pPr>
        <w:spacing w:line="360" w:lineRule="auto"/>
        <w:rPr>
          <w:lang w:val="en-US"/>
        </w:rPr>
      </w:pPr>
    </w:p>
    <w:p w:rsidR="00C2270B" w:rsidRPr="005A7398" w:rsidRDefault="00C2270B" w:rsidP="00951BDC">
      <w:pPr>
        <w:spacing w:line="360" w:lineRule="auto"/>
      </w:pPr>
    </w:p>
    <w:sectPr w:rsidR="00C2270B" w:rsidRPr="005A7398" w:rsidSect="000401E7">
      <w:footerReference w:type="default" r:id="rId17"/>
      <w:pgSz w:w="11906" w:h="16838"/>
      <w:pgMar w:top="1440" w:right="1440" w:bottom="1170" w:left="1440"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E64" w:rsidRDefault="00F04E64" w:rsidP="00516692">
      <w:pPr>
        <w:spacing w:after="0" w:line="240" w:lineRule="auto"/>
      </w:pPr>
      <w:r>
        <w:separator/>
      </w:r>
    </w:p>
  </w:endnote>
  <w:endnote w:type="continuationSeparator" w:id="0">
    <w:p w:rsidR="00F04E64" w:rsidRDefault="00F04E64" w:rsidP="00516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0625741"/>
      <w:docPartObj>
        <w:docPartGallery w:val="Page Numbers (Bottom of Page)"/>
        <w:docPartUnique/>
      </w:docPartObj>
    </w:sdtPr>
    <w:sdtEndPr>
      <w:rPr>
        <w:noProof/>
      </w:rPr>
    </w:sdtEndPr>
    <w:sdtContent>
      <w:p w:rsidR="002302D0" w:rsidRDefault="002302D0">
        <w:pPr>
          <w:pStyle w:val="Footer"/>
          <w:jc w:val="center"/>
        </w:pPr>
        <w:r>
          <w:fldChar w:fldCharType="begin"/>
        </w:r>
        <w:r>
          <w:instrText xml:space="preserve"> PAGE   \* MERGEFORMAT </w:instrText>
        </w:r>
        <w:r>
          <w:fldChar w:fldCharType="separate"/>
        </w:r>
        <w:r w:rsidR="002139D4">
          <w:rPr>
            <w:noProof/>
          </w:rPr>
          <w:t>13</w:t>
        </w:r>
        <w:r>
          <w:rPr>
            <w:noProof/>
          </w:rPr>
          <w:fldChar w:fldCharType="end"/>
        </w:r>
      </w:p>
    </w:sdtContent>
  </w:sdt>
  <w:p w:rsidR="002302D0" w:rsidRDefault="002302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E64" w:rsidRDefault="00F04E64" w:rsidP="00516692">
      <w:pPr>
        <w:spacing w:after="0" w:line="240" w:lineRule="auto"/>
      </w:pPr>
      <w:r>
        <w:separator/>
      </w:r>
    </w:p>
  </w:footnote>
  <w:footnote w:type="continuationSeparator" w:id="0">
    <w:p w:rsidR="00F04E64" w:rsidRDefault="00F04E64" w:rsidP="005166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94FD7"/>
    <w:multiLevelType w:val="hybridMultilevel"/>
    <w:tmpl w:val="58BE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32373"/>
    <w:multiLevelType w:val="multilevel"/>
    <w:tmpl w:val="4AE6BAA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C197C27"/>
    <w:multiLevelType w:val="hybridMultilevel"/>
    <w:tmpl w:val="6C58F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97B98"/>
    <w:multiLevelType w:val="multilevel"/>
    <w:tmpl w:val="42D65B8E"/>
    <w:lvl w:ilvl="0">
      <w:start w:val="1"/>
      <w:numFmt w:val="decimal"/>
      <w:lvlText w:val="%1."/>
      <w:lvlJc w:val="left"/>
      <w:pPr>
        <w:ind w:left="720" w:hanging="360"/>
      </w:pPr>
      <w:rPr>
        <w:rFonts w:hint="default"/>
        <w:b/>
        <w:sz w:val="32"/>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59811BC"/>
    <w:multiLevelType w:val="multilevel"/>
    <w:tmpl w:val="973E9D84"/>
    <w:lvl w:ilvl="0">
      <w:start w:val="1"/>
      <w:numFmt w:val="decimal"/>
      <w:pStyle w:val="header1"/>
      <w:lvlText w:val="%1."/>
      <w:lvlJc w:val="left"/>
      <w:pPr>
        <w:ind w:left="720" w:hanging="360"/>
      </w:pPr>
      <w:rPr>
        <w:rFonts w:hint="default"/>
        <w:b/>
        <w:sz w:val="32"/>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60475E3"/>
    <w:multiLevelType w:val="hybridMultilevel"/>
    <w:tmpl w:val="AA8A0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A759B"/>
    <w:multiLevelType w:val="multilevel"/>
    <w:tmpl w:val="1ADA9F2E"/>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6FDF0FA9"/>
    <w:multiLevelType w:val="multilevel"/>
    <w:tmpl w:val="AFAA7CF4"/>
    <w:lvl w:ilvl="0">
      <w:start w:val="1"/>
      <w:numFmt w:val="decimal"/>
      <w:lvlText w:val="%1."/>
      <w:lvlJc w:val="left"/>
      <w:pPr>
        <w:ind w:left="720" w:hanging="360"/>
      </w:pPr>
      <w:rPr>
        <w:rFonts w:hint="default"/>
        <w:b w:val="0"/>
      </w:rPr>
    </w:lvl>
    <w:lvl w:ilvl="1">
      <w:start w:val="1"/>
      <w:numFmt w:val="decimal"/>
      <w:isLgl/>
      <w:lvlText w:val="%1.%2"/>
      <w:lvlJc w:val="left"/>
      <w:pPr>
        <w:ind w:left="1290" w:hanging="57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71A75277"/>
    <w:multiLevelType w:val="hybridMultilevel"/>
    <w:tmpl w:val="80328708"/>
    <w:lvl w:ilvl="0" w:tplc="691A96C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4"/>
  </w:num>
  <w:num w:numId="5">
    <w:abstractNumId w:val="5"/>
  </w:num>
  <w:num w:numId="6">
    <w:abstractNumId w:val="7"/>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646"/>
    <w:rsid w:val="000401E7"/>
    <w:rsid w:val="0009531D"/>
    <w:rsid w:val="00155AE4"/>
    <w:rsid w:val="001E5D27"/>
    <w:rsid w:val="001E6412"/>
    <w:rsid w:val="002139D4"/>
    <w:rsid w:val="002302D0"/>
    <w:rsid w:val="00235366"/>
    <w:rsid w:val="002A7DF3"/>
    <w:rsid w:val="002F40C9"/>
    <w:rsid w:val="003026D6"/>
    <w:rsid w:val="00336016"/>
    <w:rsid w:val="00366D82"/>
    <w:rsid w:val="00376935"/>
    <w:rsid w:val="003D6B9D"/>
    <w:rsid w:val="003E222F"/>
    <w:rsid w:val="003E5A62"/>
    <w:rsid w:val="00427D00"/>
    <w:rsid w:val="004B4995"/>
    <w:rsid w:val="004D6045"/>
    <w:rsid w:val="004D6C3D"/>
    <w:rsid w:val="0050261E"/>
    <w:rsid w:val="00516692"/>
    <w:rsid w:val="00545965"/>
    <w:rsid w:val="00547043"/>
    <w:rsid w:val="005A7398"/>
    <w:rsid w:val="005B21BD"/>
    <w:rsid w:val="00606437"/>
    <w:rsid w:val="00630C2F"/>
    <w:rsid w:val="006374C7"/>
    <w:rsid w:val="00645A71"/>
    <w:rsid w:val="006A2646"/>
    <w:rsid w:val="006C1103"/>
    <w:rsid w:val="006C1E89"/>
    <w:rsid w:val="006C5C89"/>
    <w:rsid w:val="00731E32"/>
    <w:rsid w:val="00775FF7"/>
    <w:rsid w:val="00785AC1"/>
    <w:rsid w:val="007B3688"/>
    <w:rsid w:val="007E4036"/>
    <w:rsid w:val="00825E02"/>
    <w:rsid w:val="008A6DD3"/>
    <w:rsid w:val="008F1473"/>
    <w:rsid w:val="00900D3B"/>
    <w:rsid w:val="0093492A"/>
    <w:rsid w:val="00946070"/>
    <w:rsid w:val="00951BDC"/>
    <w:rsid w:val="00955B1E"/>
    <w:rsid w:val="009A44C8"/>
    <w:rsid w:val="00A72C53"/>
    <w:rsid w:val="00A819BF"/>
    <w:rsid w:val="00AA2D1B"/>
    <w:rsid w:val="00B90569"/>
    <w:rsid w:val="00BF0ABA"/>
    <w:rsid w:val="00C2270B"/>
    <w:rsid w:val="00CB7E7E"/>
    <w:rsid w:val="00D70CE9"/>
    <w:rsid w:val="00DB4152"/>
    <w:rsid w:val="00DE4549"/>
    <w:rsid w:val="00E041AB"/>
    <w:rsid w:val="00E92449"/>
    <w:rsid w:val="00F04E64"/>
    <w:rsid w:val="00F33A2B"/>
    <w:rsid w:val="00F54CD9"/>
    <w:rsid w:val="00F80D8A"/>
    <w:rsid w:val="00FC173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767821-45A9-4D8C-9687-A7A4E435C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color w:val="222222"/>
        <w:sz w:val="24"/>
        <w:szCs w:val="21"/>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2D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70B"/>
    <w:rPr>
      <w:color w:val="0563C1" w:themeColor="hyperlink"/>
      <w:u w:val="single"/>
    </w:rPr>
  </w:style>
  <w:style w:type="paragraph" w:styleId="ListParagraph">
    <w:name w:val="List Paragraph"/>
    <w:basedOn w:val="Normal"/>
    <w:link w:val="ListParagraphChar"/>
    <w:uiPriority w:val="34"/>
    <w:qFormat/>
    <w:rsid w:val="00E041AB"/>
    <w:pPr>
      <w:ind w:left="720"/>
      <w:contextualSpacing/>
    </w:pPr>
  </w:style>
  <w:style w:type="paragraph" w:styleId="Header">
    <w:name w:val="header"/>
    <w:basedOn w:val="Normal"/>
    <w:link w:val="HeaderChar"/>
    <w:uiPriority w:val="99"/>
    <w:unhideWhenUsed/>
    <w:rsid w:val="005166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692"/>
  </w:style>
  <w:style w:type="paragraph" w:styleId="Footer">
    <w:name w:val="footer"/>
    <w:basedOn w:val="Normal"/>
    <w:link w:val="FooterChar"/>
    <w:uiPriority w:val="99"/>
    <w:unhideWhenUsed/>
    <w:rsid w:val="00516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692"/>
  </w:style>
  <w:style w:type="paragraph" w:styleId="Caption">
    <w:name w:val="caption"/>
    <w:basedOn w:val="Normal"/>
    <w:next w:val="Normal"/>
    <w:uiPriority w:val="35"/>
    <w:unhideWhenUsed/>
    <w:qFormat/>
    <w:rsid w:val="00F33A2B"/>
    <w:pPr>
      <w:spacing w:after="200" w:line="240" w:lineRule="auto"/>
    </w:pPr>
    <w:rPr>
      <w:i/>
      <w:iCs/>
      <w:color w:val="44546A" w:themeColor="text2"/>
      <w:sz w:val="18"/>
      <w:szCs w:val="18"/>
    </w:rPr>
  </w:style>
  <w:style w:type="table" w:styleId="TableGrid">
    <w:name w:val="Table Grid"/>
    <w:basedOn w:val="TableNormal"/>
    <w:uiPriority w:val="39"/>
    <w:rsid w:val="00155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44C8"/>
    <w:rPr>
      <w:color w:val="808080"/>
    </w:rPr>
  </w:style>
  <w:style w:type="character" w:customStyle="1" w:styleId="Heading1Char">
    <w:name w:val="Heading 1 Char"/>
    <w:basedOn w:val="DefaultParagraphFont"/>
    <w:link w:val="Heading1"/>
    <w:uiPriority w:val="9"/>
    <w:rsid w:val="00AA2D1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A2D1B"/>
    <w:pPr>
      <w:outlineLvl w:val="9"/>
    </w:pPr>
    <w:rPr>
      <w:lang w:val="en-US"/>
    </w:rPr>
  </w:style>
  <w:style w:type="paragraph" w:styleId="TOC2">
    <w:name w:val="toc 2"/>
    <w:basedOn w:val="Normal"/>
    <w:next w:val="Normal"/>
    <w:autoRedefine/>
    <w:uiPriority w:val="39"/>
    <w:unhideWhenUsed/>
    <w:rsid w:val="00AA2D1B"/>
    <w:pPr>
      <w:spacing w:after="100"/>
      <w:ind w:left="220"/>
    </w:pPr>
    <w:rPr>
      <w:rFonts w:asciiTheme="minorHAnsi" w:eastAsiaTheme="minorEastAsia" w:hAnsiTheme="minorHAnsi" w:cs="Times New Roman"/>
      <w:color w:val="auto"/>
      <w:sz w:val="22"/>
      <w:szCs w:val="22"/>
      <w:lang w:val="en-US"/>
    </w:rPr>
  </w:style>
  <w:style w:type="paragraph" w:styleId="TOC1">
    <w:name w:val="toc 1"/>
    <w:basedOn w:val="Normal"/>
    <w:next w:val="Normal"/>
    <w:autoRedefine/>
    <w:uiPriority w:val="39"/>
    <w:unhideWhenUsed/>
    <w:rsid w:val="00AA2D1B"/>
    <w:pPr>
      <w:spacing w:after="100"/>
    </w:pPr>
    <w:rPr>
      <w:rFonts w:asciiTheme="minorHAnsi" w:eastAsiaTheme="minorEastAsia" w:hAnsiTheme="minorHAnsi" w:cs="Times New Roman"/>
      <w:color w:val="auto"/>
      <w:sz w:val="22"/>
      <w:szCs w:val="22"/>
      <w:lang w:val="en-US"/>
    </w:rPr>
  </w:style>
  <w:style w:type="paragraph" w:styleId="TOC3">
    <w:name w:val="toc 3"/>
    <w:basedOn w:val="Normal"/>
    <w:next w:val="Normal"/>
    <w:autoRedefine/>
    <w:uiPriority w:val="39"/>
    <w:unhideWhenUsed/>
    <w:rsid w:val="00AA2D1B"/>
    <w:pPr>
      <w:spacing w:after="100"/>
      <w:ind w:left="440"/>
    </w:pPr>
    <w:rPr>
      <w:rFonts w:asciiTheme="minorHAnsi" w:eastAsiaTheme="minorEastAsia" w:hAnsiTheme="minorHAnsi" w:cs="Times New Roman"/>
      <w:color w:val="auto"/>
      <w:sz w:val="22"/>
      <w:szCs w:val="22"/>
      <w:lang w:val="en-US"/>
    </w:rPr>
  </w:style>
  <w:style w:type="paragraph" w:customStyle="1" w:styleId="header1">
    <w:name w:val="header1"/>
    <w:basedOn w:val="ListParagraph"/>
    <w:link w:val="header1Char"/>
    <w:qFormat/>
    <w:rsid w:val="002139D4"/>
    <w:pPr>
      <w:numPr>
        <w:numId w:val="4"/>
      </w:numPr>
      <w:spacing w:line="360" w:lineRule="auto"/>
    </w:pPr>
    <w:rPr>
      <w:b/>
      <w:sz w:val="32"/>
    </w:rPr>
  </w:style>
  <w:style w:type="paragraph" w:customStyle="1" w:styleId="Header2">
    <w:name w:val="Header2"/>
    <w:basedOn w:val="Normal"/>
    <w:link w:val="Header2Char"/>
    <w:qFormat/>
    <w:rsid w:val="002139D4"/>
    <w:pPr>
      <w:spacing w:line="360" w:lineRule="auto"/>
    </w:pPr>
    <w:rPr>
      <w:b/>
      <w:sz w:val="28"/>
      <w:szCs w:val="28"/>
    </w:rPr>
  </w:style>
  <w:style w:type="character" w:customStyle="1" w:styleId="ListParagraphChar">
    <w:name w:val="List Paragraph Char"/>
    <w:basedOn w:val="DefaultParagraphFont"/>
    <w:link w:val="ListParagraph"/>
    <w:uiPriority w:val="34"/>
    <w:rsid w:val="002139D4"/>
  </w:style>
  <w:style w:type="character" w:customStyle="1" w:styleId="header1Char">
    <w:name w:val="header1 Char"/>
    <w:basedOn w:val="ListParagraphChar"/>
    <w:link w:val="header1"/>
    <w:rsid w:val="002139D4"/>
    <w:rPr>
      <w:b/>
      <w:sz w:val="32"/>
    </w:rPr>
  </w:style>
  <w:style w:type="character" w:customStyle="1" w:styleId="Header2Char">
    <w:name w:val="Header2 Char"/>
    <w:basedOn w:val="DefaultParagraphFont"/>
    <w:link w:val="Header2"/>
    <w:rsid w:val="002139D4"/>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59668">
      <w:bodyDiv w:val="1"/>
      <w:marLeft w:val="0"/>
      <w:marRight w:val="0"/>
      <w:marTop w:val="0"/>
      <w:marBottom w:val="0"/>
      <w:divBdr>
        <w:top w:val="none" w:sz="0" w:space="0" w:color="auto"/>
        <w:left w:val="none" w:sz="0" w:space="0" w:color="auto"/>
        <w:bottom w:val="none" w:sz="0" w:space="0" w:color="auto"/>
        <w:right w:val="none" w:sz="0" w:space="0" w:color="auto"/>
      </w:divBdr>
    </w:div>
    <w:div w:id="199896996">
      <w:bodyDiv w:val="1"/>
      <w:marLeft w:val="0"/>
      <w:marRight w:val="0"/>
      <w:marTop w:val="0"/>
      <w:marBottom w:val="0"/>
      <w:divBdr>
        <w:top w:val="none" w:sz="0" w:space="0" w:color="auto"/>
        <w:left w:val="none" w:sz="0" w:space="0" w:color="auto"/>
        <w:bottom w:val="none" w:sz="0" w:space="0" w:color="auto"/>
        <w:right w:val="none" w:sz="0" w:space="0" w:color="auto"/>
      </w:divBdr>
    </w:div>
    <w:div w:id="451556390">
      <w:bodyDiv w:val="1"/>
      <w:marLeft w:val="0"/>
      <w:marRight w:val="0"/>
      <w:marTop w:val="0"/>
      <w:marBottom w:val="0"/>
      <w:divBdr>
        <w:top w:val="none" w:sz="0" w:space="0" w:color="auto"/>
        <w:left w:val="none" w:sz="0" w:space="0" w:color="auto"/>
        <w:bottom w:val="none" w:sz="0" w:space="0" w:color="auto"/>
        <w:right w:val="none" w:sz="0" w:space="0" w:color="auto"/>
      </w:divBdr>
    </w:div>
    <w:div w:id="1038242153">
      <w:bodyDiv w:val="1"/>
      <w:marLeft w:val="0"/>
      <w:marRight w:val="0"/>
      <w:marTop w:val="0"/>
      <w:marBottom w:val="0"/>
      <w:divBdr>
        <w:top w:val="none" w:sz="0" w:space="0" w:color="auto"/>
        <w:left w:val="none" w:sz="0" w:space="0" w:color="auto"/>
        <w:bottom w:val="none" w:sz="0" w:space="0" w:color="auto"/>
        <w:right w:val="none" w:sz="0" w:space="0" w:color="auto"/>
      </w:divBdr>
    </w:div>
    <w:div w:id="1056733055">
      <w:bodyDiv w:val="1"/>
      <w:marLeft w:val="0"/>
      <w:marRight w:val="0"/>
      <w:marTop w:val="0"/>
      <w:marBottom w:val="0"/>
      <w:divBdr>
        <w:top w:val="none" w:sz="0" w:space="0" w:color="auto"/>
        <w:left w:val="none" w:sz="0" w:space="0" w:color="auto"/>
        <w:bottom w:val="none" w:sz="0" w:space="0" w:color="auto"/>
        <w:right w:val="none" w:sz="0" w:space="0" w:color="auto"/>
      </w:divBdr>
    </w:div>
    <w:div w:id="1059591659">
      <w:bodyDiv w:val="1"/>
      <w:marLeft w:val="0"/>
      <w:marRight w:val="0"/>
      <w:marTop w:val="0"/>
      <w:marBottom w:val="0"/>
      <w:divBdr>
        <w:top w:val="none" w:sz="0" w:space="0" w:color="auto"/>
        <w:left w:val="none" w:sz="0" w:space="0" w:color="auto"/>
        <w:bottom w:val="none" w:sz="0" w:space="0" w:color="auto"/>
        <w:right w:val="none" w:sz="0" w:space="0" w:color="auto"/>
      </w:divBdr>
    </w:div>
    <w:div w:id="1071199959">
      <w:bodyDiv w:val="1"/>
      <w:marLeft w:val="0"/>
      <w:marRight w:val="0"/>
      <w:marTop w:val="0"/>
      <w:marBottom w:val="0"/>
      <w:divBdr>
        <w:top w:val="none" w:sz="0" w:space="0" w:color="auto"/>
        <w:left w:val="none" w:sz="0" w:space="0" w:color="auto"/>
        <w:bottom w:val="none" w:sz="0" w:space="0" w:color="auto"/>
        <w:right w:val="none" w:sz="0" w:space="0" w:color="auto"/>
      </w:divBdr>
    </w:div>
    <w:div w:id="1082095715">
      <w:bodyDiv w:val="1"/>
      <w:marLeft w:val="0"/>
      <w:marRight w:val="0"/>
      <w:marTop w:val="0"/>
      <w:marBottom w:val="0"/>
      <w:divBdr>
        <w:top w:val="none" w:sz="0" w:space="0" w:color="auto"/>
        <w:left w:val="none" w:sz="0" w:space="0" w:color="auto"/>
        <w:bottom w:val="none" w:sz="0" w:space="0" w:color="auto"/>
        <w:right w:val="none" w:sz="0" w:space="0" w:color="auto"/>
      </w:divBdr>
    </w:div>
    <w:div w:id="1322347171">
      <w:bodyDiv w:val="1"/>
      <w:marLeft w:val="0"/>
      <w:marRight w:val="0"/>
      <w:marTop w:val="0"/>
      <w:marBottom w:val="0"/>
      <w:divBdr>
        <w:top w:val="none" w:sz="0" w:space="0" w:color="auto"/>
        <w:left w:val="none" w:sz="0" w:space="0" w:color="auto"/>
        <w:bottom w:val="none" w:sz="0" w:space="0" w:color="auto"/>
        <w:right w:val="none" w:sz="0" w:space="0" w:color="auto"/>
      </w:divBdr>
    </w:div>
    <w:div w:id="1413043746">
      <w:bodyDiv w:val="1"/>
      <w:marLeft w:val="0"/>
      <w:marRight w:val="0"/>
      <w:marTop w:val="0"/>
      <w:marBottom w:val="0"/>
      <w:divBdr>
        <w:top w:val="none" w:sz="0" w:space="0" w:color="auto"/>
        <w:left w:val="none" w:sz="0" w:space="0" w:color="auto"/>
        <w:bottom w:val="none" w:sz="0" w:space="0" w:color="auto"/>
        <w:right w:val="none" w:sz="0" w:space="0" w:color="auto"/>
      </w:divBdr>
    </w:div>
    <w:div w:id="1450540490">
      <w:bodyDiv w:val="1"/>
      <w:marLeft w:val="0"/>
      <w:marRight w:val="0"/>
      <w:marTop w:val="0"/>
      <w:marBottom w:val="0"/>
      <w:divBdr>
        <w:top w:val="none" w:sz="0" w:space="0" w:color="auto"/>
        <w:left w:val="none" w:sz="0" w:space="0" w:color="auto"/>
        <w:bottom w:val="none" w:sz="0" w:space="0" w:color="auto"/>
        <w:right w:val="none" w:sz="0" w:space="0" w:color="auto"/>
      </w:divBdr>
    </w:div>
    <w:div w:id="1494830025">
      <w:bodyDiv w:val="1"/>
      <w:marLeft w:val="0"/>
      <w:marRight w:val="0"/>
      <w:marTop w:val="0"/>
      <w:marBottom w:val="0"/>
      <w:divBdr>
        <w:top w:val="none" w:sz="0" w:space="0" w:color="auto"/>
        <w:left w:val="none" w:sz="0" w:space="0" w:color="auto"/>
        <w:bottom w:val="none" w:sz="0" w:space="0" w:color="auto"/>
        <w:right w:val="none" w:sz="0" w:space="0" w:color="auto"/>
      </w:divBdr>
    </w:div>
    <w:div w:id="1554658391">
      <w:bodyDiv w:val="1"/>
      <w:marLeft w:val="0"/>
      <w:marRight w:val="0"/>
      <w:marTop w:val="0"/>
      <w:marBottom w:val="0"/>
      <w:divBdr>
        <w:top w:val="none" w:sz="0" w:space="0" w:color="auto"/>
        <w:left w:val="none" w:sz="0" w:space="0" w:color="auto"/>
        <w:bottom w:val="none" w:sz="0" w:space="0" w:color="auto"/>
        <w:right w:val="none" w:sz="0" w:space="0" w:color="auto"/>
      </w:divBdr>
    </w:div>
    <w:div w:id="187769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tatistika.mif.vu.lt/wp-content/uploads/2014/04/regresine-analiz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thda.com/english/wiki/chi-square-test-of-independence-in-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sp.stat.gov.lt/documents/10180/130368/Gyventoj%C5%B3_uzimtumo_statistinio_tyrimo_metodika_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3172-072C-4CA5-903F-E1B79D98F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13</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Milda</dc:creator>
  <cp:keywords/>
  <dc:description/>
  <cp:lastModifiedBy>Raigardas Balužis</cp:lastModifiedBy>
  <cp:revision>6</cp:revision>
  <dcterms:created xsi:type="dcterms:W3CDTF">2017-11-25T16:04:00Z</dcterms:created>
  <dcterms:modified xsi:type="dcterms:W3CDTF">2017-11-26T23:32:00Z</dcterms:modified>
</cp:coreProperties>
</file>