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NorthGrid Energy — Revenue Forecasting Model Comparison</w:t>
      </w:r>
    </w:p>
    <w:p>
      <w:pPr>
        <w:spacing w:after="100"/>
      </w:pPr>
      <w:r>
        <w:rPr>
          <w:b/>
          <w:bCs/>
          <w:sz w:val="24"/>
          <w:szCs w:val="24"/>
        </w:rPr>
        <w:t xml:space="preserve">Background</w:t>
      </w:r>
    </w:p>
    <w:p>
      <w:pPr>
        <w:spacing w:after="150"/>
      </w:pPr>
      <w:r>
        <w:rPr>
          <w:sz w:val="22"/>
          <w:szCs w:val="22"/>
        </w:rPr>
        <w:t xml:space="preserve">NorthGrid Energy is a public utility operating in the Pacific Northwest region of the United States. The firm produces and distributes steam used for both commercial heating during cold months and cooling during the summer season. Unlike utilities in colder climates, NorthGrid's revenue is driven primarily by summer cooling demand, as the Pacific Northwest experiences mild winters but increasingly hot summers.</w:t>
      </w:r>
    </w:p>
    <w:p>
      <w:pPr>
        <w:spacing w:after="150"/>
      </w:pPr>
      <w:r>
        <w:rPr>
          <w:sz w:val="22"/>
          <w:szCs w:val="22"/>
        </w:rPr>
        <w:t xml:space="preserve">NorthGrid's revenues fluctuate significantly month to month depending on weather conditions, steam production levels, and seasonal demand patterns. Management needs to develop reliable revenue expectations to support budgeting, capital planning, and regulatory reporting. The firm has engaged QuantFolio Solutions to compare three candidate revenue forecasting models and recommend which provides the most accurate predictions.</w:t>
      </w:r>
    </w:p>
    <w:p>
      <w:pPr>
        <w:spacing w:after="100"/>
      </w:pPr>
      <w:r>
        <w:rPr>
          <w:sz w:val="22"/>
          <w:szCs w:val="22"/>
        </w:rPr>
        <w:t xml:space="preserve">The three models being compared are:</w:t>
      </w:r>
    </w:p>
    <w:p>
      <w:pPr>
        <w:spacing w:after="80"/>
      </w:pPr>
      <w:r>
        <w:rPr>
          <w:sz w:val="22"/>
          <w:szCs w:val="22"/>
        </w:rPr>
        <w:t xml:space="preserve">Model 1: Target variable: revenue. Features: production and coolDD.</w:t>
      </w:r>
    </w:p>
    <w:p>
      <w:pPr>
        <w:spacing w:after="80"/>
      </w:pPr>
      <w:r>
        <w:rPr>
          <w:sz w:val="22"/>
          <w:szCs w:val="22"/>
        </w:rPr>
        <w:t xml:space="preserve">Model 2: Target variable: revenue. Features: production and heatDD.</w:t>
      </w:r>
    </w:p>
    <w:p>
      <w:pPr>
        <w:spacing w:after="300"/>
      </w:pPr>
      <w:r>
        <w:rPr>
          <w:sz w:val="22"/>
          <w:szCs w:val="22"/>
        </w:rPr>
        <w:t xml:space="preserve">Model 3: Target variable: revenue. Features: production, a summer dummy variable (June, July, August = 1, all other months = 0), and an interaction term (production × summer dummy).</w:t>
      </w:r>
    </w:p>
    <w:p>
      <w:pPr>
        <w:spacing w:after="100"/>
      </w:pPr>
      <w:r>
        <w:rPr>
          <w:b/>
          <w:bCs/>
          <w:sz w:val="24"/>
          <w:szCs w:val="24"/>
        </w:rPr>
        <w:t xml:space="preserve">Your Assignment</w:t>
      </w:r>
    </w:p>
    <w:p>
      <w:pPr>
        <w:spacing w:after="300"/>
      </w:pPr>
      <w:r>
        <w:rPr>
          <w:sz w:val="22"/>
          <w:szCs w:val="22"/>
        </w:rPr>
        <w:t xml:space="preserve">Prepare a brief memo addressed to NorthGrid's management comparing the three models, explaining what was done and why, presenting the key findings quantified, and recommending which model the company should adopt as its baseline revenue forecasting tool.</w:t>
      </w:r>
    </w:p>
    <w:p>
      <w:pPr>
        <w:spacing w:after="100"/>
      </w:pPr>
      <w:r>
        <w:rPr>
          <w:b/>
          <w:bCs/>
          <w:sz w:val="24"/>
          <w:szCs w:val="24"/>
        </w:rPr>
        <w:t xml:space="preserve">Data Understanding</w:t>
      </w:r>
    </w:p>
    <w:p>
      <w:pPr>
        <w:spacing w:after="150"/>
      </w:pPr>
      <w:r>
        <w:rPr>
          <w:sz w:val="22"/>
          <w:szCs w:val="22"/>
        </w:rPr>
        <w:t xml:space="preserve">One data file has been provided: NorthGrid_regressionData.csv. It contains monthly observations from January 2015 through December 2018. Each row represents one calendar month. The columns are:</w:t>
      </w:r>
    </w:p>
    <w:p>
      <w:pPr>
        <w:spacing w:after="60"/>
      </w:pPr>
      <w:r>
        <w:rPr>
          <w:b/>
          <w:bCs/>
          <w:sz w:val="22"/>
          <w:szCs w:val="22"/>
        </w:rPr>
        <w:t xml:space="preserve">date</w:t>
      </w:r>
    </w:p>
    <w:p>
      <w:pPr>
        <w:spacing w:after="120"/>
      </w:pPr>
      <w:r>
        <w:rPr>
          <w:sz w:val="22"/>
          <w:szCs w:val="22"/>
        </w:rPr>
        <w:t xml:space="preserve">The calendar month and year of the observation.</w:t>
      </w:r>
    </w:p>
    <w:p>
      <w:pPr>
        <w:spacing w:after="60"/>
      </w:pPr>
      <w:r>
        <w:rPr>
          <w:b/>
          <w:bCs/>
          <w:sz w:val="22"/>
          <w:szCs w:val="22"/>
        </w:rPr>
        <w:t xml:space="preserve">revenue</w:t>
      </w:r>
    </w:p>
    <w:p>
      <w:pPr>
        <w:spacing w:after="120"/>
      </w:pPr>
      <w:r>
        <w:rPr>
          <w:sz w:val="22"/>
          <w:szCs w:val="22"/>
        </w:rPr>
        <w:t xml:space="preserve">Total revenue generated by NorthGrid in that month, in dollars.</w:t>
      </w:r>
    </w:p>
    <w:p>
      <w:pPr>
        <w:spacing w:after="60"/>
      </w:pPr>
      <w:r>
        <w:rPr>
          <w:b/>
          <w:bCs/>
          <w:sz w:val="22"/>
          <w:szCs w:val="22"/>
        </w:rPr>
        <w:t xml:space="preserve">production</w:t>
      </w:r>
    </w:p>
    <w:p>
      <w:pPr>
        <w:spacing w:after="120"/>
      </w:pPr>
      <w:r>
        <w:rPr>
          <w:sz w:val="22"/>
          <w:szCs w:val="22"/>
        </w:rPr>
        <w:t xml:space="preserve">Total steam production output in that month, measured in standard units.</w:t>
      </w:r>
    </w:p>
    <w:p>
      <w:pPr>
        <w:spacing w:after="60"/>
      </w:pPr>
      <w:r>
        <w:rPr>
          <w:b/>
          <w:bCs/>
          <w:sz w:val="22"/>
          <w:szCs w:val="22"/>
        </w:rPr>
        <w:t xml:space="preserve">coolDD</w:t>
      </w:r>
    </w:p>
    <w:p>
      <w:pPr>
        <w:spacing w:after="120"/>
      </w:pPr>
      <w:r>
        <w:rPr>
          <w:sz w:val="22"/>
          <w:szCs w:val="22"/>
        </w:rPr>
        <w:t xml:space="preserve">Cooling degree days — the total number of degrees by which a day's average temperature exceeded 65°F across all days in the month. When temperatures rise above 65°F, customers increase use of cooling systems powered by NorthGrid's steam. Higher coolDD values indicate hotter months with greater cooling demand.</w:t>
      </w:r>
    </w:p>
    <w:p>
      <w:pPr>
        <w:spacing w:after="60"/>
      </w:pPr>
      <w:r>
        <w:rPr>
          <w:b/>
          <w:bCs/>
          <w:sz w:val="22"/>
          <w:szCs w:val="22"/>
        </w:rPr>
        <w:t xml:space="preserve">heatDD</w:t>
      </w:r>
    </w:p>
    <w:p>
      <w:pPr>
        <w:spacing w:after="120"/>
      </w:pPr>
      <w:r>
        <w:rPr>
          <w:sz w:val="22"/>
          <w:szCs w:val="22"/>
        </w:rPr>
        <w:t xml:space="preserve">Heating degree days — the total number of degrees by which a day's average temperature fell below 65°F across all days in the month. When temperatures fall below 65°F, customers increase use of heating systems. Higher heatDD values indicate colder months with greater heating demand.</w:t>
      </w:r>
    </w:p>
    <w:p>
      <w:pPr>
        <w:spacing w:after="60"/>
      </w:pPr>
      <w:r>
        <w:rPr>
          <w:b/>
          <w:bCs/>
          <w:sz w:val="22"/>
          <w:szCs w:val="22"/>
        </w:rPr>
        <w:t xml:space="preserve">type</w:t>
      </w:r>
    </w:p>
    <w:p>
      <w:pPr>
        <w:spacing w:after="300"/>
      </w:pPr>
      <w:r>
        <w:rPr>
          <w:sz w:val="22"/>
          <w:szCs w:val="22"/>
        </w:rPr>
        <w:t xml:space="preserve">Indicates whether each row belongs to the training set (dt4training: January 2015 through December 2017) or the testing set (dt4testing: January 2018 through December 2018). Models are trained on the training set and evaluated on the testing set.</w:t>
      </w:r>
    </w:p>
    <w:p>
      <w:pPr>
        <w:spacing w:after="100"/>
      </w:pPr>
      <w:r>
        <w:rPr>
          <w:b/>
          <w:bCs/>
          <w:sz w:val="24"/>
          <w:szCs w:val="24"/>
        </w:rPr>
        <w:t xml:space="preserve">Note on the Colab Notebook</w:t>
      </w:r>
    </w:p>
    <w:p>
      <w:pPr>
        <w:spacing w:after="150"/>
      </w:pPr>
      <w:r>
        <w:rPr>
          <w:sz w:val="22"/>
          <w:szCs w:val="22"/>
        </w:rPr>
        <w:t xml:space="preserve">A completed Python notebook has been provided. It loads and visualizes the data, trains all three models on the 2015-2017 training set, forecasts 2018 revenues using each model, calculates MAPE scores for comparison, and produces a visualization of actual versus predicted revenues. Upload NorthGrid_regressionData.csv before running.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2026-08-12T01:49:30.186Z</dcterms:created>
  <dcterms:modified xsi:type="dcterms:W3CDTF">2026-08-12T01:49:30.186Z</dcterms:modified>
</cp:coreProperties>
</file>

<file path=docProps/custom.xml><?xml version="1.0" encoding="utf-8"?>
<Properties xmlns="http://schemas.openxmlformats.org/officeDocument/2006/custom-properties" xmlns:vt="http://schemas.openxmlformats.org/officeDocument/2006/docPropsVTypes"/>
</file>