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47"/>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7287"/>
      </w:tblGrid>
      <w:tr w:rsidR="00DD3697" w:rsidRPr="00B255EA" w14:paraId="1561EB45" w14:textId="77777777" w:rsidTr="00DD3697">
        <w:trPr>
          <w:trHeight w:val="58"/>
        </w:trPr>
        <w:tc>
          <w:tcPr>
            <w:tcW w:w="10201" w:type="dxa"/>
            <w:gridSpan w:val="2"/>
            <w:vAlign w:val="center"/>
          </w:tcPr>
          <w:p w14:paraId="7CB3B634" w14:textId="0704AF6A" w:rsidR="00DD3697" w:rsidRPr="00247BB5" w:rsidRDefault="00DD3697" w:rsidP="00DD3697">
            <w:pPr>
              <w:jc w:val="both"/>
              <w:rPr>
                <w:rFonts w:ascii="Century Gothic" w:hAnsi="Century Gothic"/>
                <w:sz w:val="20"/>
                <w:szCs w:val="20"/>
              </w:rPr>
            </w:pPr>
            <w:bookmarkStart w:id="0" w:name="_Hlk143511353"/>
            <w:r>
              <w:rPr>
                <w:rFonts w:ascii="Century Gothic" w:hAnsi="Century Gothic"/>
                <w:b/>
                <w:bCs/>
                <w:sz w:val="20"/>
                <w:szCs w:val="20"/>
              </w:rPr>
              <w:t>Documents Name:</w:t>
            </w:r>
            <w:r w:rsidR="0098773B">
              <w:rPr>
                <w:rFonts w:ascii="Century Gothic" w:hAnsi="Century Gothic"/>
                <w:b/>
                <w:bCs/>
                <w:sz w:val="20"/>
                <w:szCs w:val="20"/>
              </w:rPr>
              <w:t xml:space="preserve"> </w:t>
            </w:r>
            <w:r w:rsidR="0098773B" w:rsidRPr="0098773B">
              <w:rPr>
                <w:rFonts w:ascii="Century Gothic" w:hAnsi="Century Gothic"/>
                <w:sz w:val="20"/>
                <w:szCs w:val="20"/>
              </w:rPr>
              <w:t>Five Step</w:t>
            </w:r>
            <w:r w:rsidRPr="008A5E17">
              <w:rPr>
                <w:rFonts w:ascii="Century Gothic" w:hAnsi="Century Gothic"/>
                <w:sz w:val="20"/>
                <w:szCs w:val="20"/>
              </w:rPr>
              <w:t xml:space="preserve"> </w:t>
            </w:r>
            <w:r w:rsidRPr="00DD3697">
              <w:rPr>
                <w:rFonts w:ascii="Century Gothic" w:hAnsi="Century Gothic"/>
                <w:sz w:val="20"/>
                <w:szCs w:val="20"/>
              </w:rPr>
              <w:t>Risk Assessment Process (Policy &amp; Procedures)</w:t>
            </w:r>
          </w:p>
        </w:tc>
      </w:tr>
      <w:tr w:rsidR="00DD3697" w:rsidRPr="00B255EA" w14:paraId="5D9E9EF3" w14:textId="77777777" w:rsidTr="00DD3697">
        <w:trPr>
          <w:trHeight w:val="58"/>
        </w:trPr>
        <w:tc>
          <w:tcPr>
            <w:tcW w:w="2914" w:type="dxa"/>
            <w:vAlign w:val="center"/>
          </w:tcPr>
          <w:p w14:paraId="688B6BA3" w14:textId="77777777" w:rsidR="00DD3697" w:rsidRPr="00B255EA" w:rsidRDefault="00DD3697" w:rsidP="001716AD">
            <w:pPr>
              <w:jc w:val="both"/>
              <w:rPr>
                <w:rFonts w:ascii="SutonnyMJ" w:hAnsi="SutonnyMJ"/>
                <w:sz w:val="28"/>
                <w:szCs w:val="28"/>
                <w:lang w:bidi="bn-IN"/>
              </w:rPr>
            </w:pPr>
            <w:r w:rsidRPr="00417B1E">
              <w:rPr>
                <w:rFonts w:ascii="Century Gothic" w:hAnsi="Century Gothic"/>
                <w:sz w:val="20"/>
                <w:szCs w:val="20"/>
              </w:rPr>
              <w:t>Chief Caretaker</w:t>
            </w:r>
          </w:p>
        </w:tc>
        <w:tc>
          <w:tcPr>
            <w:tcW w:w="7287" w:type="dxa"/>
            <w:vAlign w:val="center"/>
          </w:tcPr>
          <w:p w14:paraId="47AD478C" w14:textId="77777777" w:rsidR="00DD3697" w:rsidRPr="00B255EA" w:rsidRDefault="00DD3697" w:rsidP="001716AD">
            <w:pPr>
              <w:jc w:val="both"/>
              <w:rPr>
                <w:rFonts w:ascii="SutonnyMJ" w:hAnsi="SutonnyMJ"/>
                <w:sz w:val="28"/>
                <w:szCs w:val="28"/>
                <w:lang w:bidi="bn-IN"/>
              </w:rPr>
            </w:pPr>
            <w:r w:rsidRPr="00247BB5">
              <w:rPr>
                <w:rFonts w:ascii="Century Gothic" w:hAnsi="Century Gothic"/>
                <w:sz w:val="20"/>
                <w:szCs w:val="20"/>
              </w:rPr>
              <w:t>General Manager- HR, Admin &amp; Compliance</w:t>
            </w:r>
          </w:p>
        </w:tc>
      </w:tr>
      <w:tr w:rsidR="00DD3697" w:rsidRPr="00B255EA" w14:paraId="7A981011" w14:textId="77777777" w:rsidTr="00DD3697">
        <w:trPr>
          <w:trHeight w:val="339"/>
        </w:trPr>
        <w:tc>
          <w:tcPr>
            <w:tcW w:w="2914" w:type="dxa"/>
            <w:vAlign w:val="center"/>
          </w:tcPr>
          <w:p w14:paraId="2944A8FF" w14:textId="77777777" w:rsidR="00DD3697" w:rsidRPr="00B255EA" w:rsidRDefault="00DD3697" w:rsidP="001716AD">
            <w:pPr>
              <w:jc w:val="both"/>
              <w:rPr>
                <w:rFonts w:ascii="SutonnyMJ" w:hAnsi="SutonnyMJ"/>
                <w:sz w:val="28"/>
                <w:szCs w:val="28"/>
                <w:lang w:bidi="bn-IN"/>
              </w:rPr>
            </w:pPr>
            <w:r w:rsidRPr="003F0F59">
              <w:rPr>
                <w:rFonts w:ascii="Century Gothic" w:hAnsi="Century Gothic"/>
                <w:sz w:val="20"/>
                <w:szCs w:val="20"/>
              </w:rPr>
              <w:t>implementer</w:t>
            </w:r>
          </w:p>
        </w:tc>
        <w:tc>
          <w:tcPr>
            <w:tcW w:w="7287" w:type="dxa"/>
            <w:vAlign w:val="center"/>
          </w:tcPr>
          <w:p w14:paraId="4A13F483" w14:textId="77777777" w:rsidR="00DD3697" w:rsidRPr="00B255EA" w:rsidRDefault="00DD3697" w:rsidP="001716AD">
            <w:pPr>
              <w:tabs>
                <w:tab w:val="center" w:pos="4320"/>
                <w:tab w:val="right" w:pos="8640"/>
              </w:tabs>
              <w:ind w:right="90"/>
              <w:rPr>
                <w:rFonts w:ascii="SutonnyMJ" w:hAnsi="SutonnyMJ"/>
                <w:sz w:val="28"/>
                <w:szCs w:val="28"/>
                <w:lang w:bidi="bn-IN"/>
              </w:rPr>
            </w:pPr>
            <w:r w:rsidRPr="00247BB5">
              <w:rPr>
                <w:rFonts w:ascii="Century Gothic" w:hAnsi="Century Gothic"/>
                <w:sz w:val="20"/>
                <w:szCs w:val="20"/>
              </w:rPr>
              <w:t>HR, Admin &amp; Compliance</w:t>
            </w:r>
            <w:r>
              <w:rPr>
                <w:rFonts w:ascii="Century Gothic" w:hAnsi="Century Gothic"/>
                <w:sz w:val="20"/>
                <w:szCs w:val="20"/>
              </w:rPr>
              <w:t xml:space="preserve"> department and all section head</w:t>
            </w:r>
          </w:p>
        </w:tc>
      </w:tr>
      <w:tr w:rsidR="00DD3697" w:rsidRPr="00B255EA" w14:paraId="7F446F0C" w14:textId="77777777" w:rsidTr="00DD3697">
        <w:trPr>
          <w:trHeight w:val="323"/>
        </w:trPr>
        <w:tc>
          <w:tcPr>
            <w:tcW w:w="2914" w:type="dxa"/>
            <w:vAlign w:val="center"/>
          </w:tcPr>
          <w:p w14:paraId="36AD4B25" w14:textId="77777777" w:rsidR="00DD3697" w:rsidRPr="00CA2862" w:rsidRDefault="00DD3697" w:rsidP="001716AD">
            <w:pPr>
              <w:jc w:val="both"/>
              <w:rPr>
                <w:rFonts w:ascii="Century Gothic" w:hAnsi="Century Gothic"/>
                <w:sz w:val="20"/>
                <w:szCs w:val="20"/>
              </w:rPr>
            </w:pPr>
            <w:r w:rsidRPr="00CA2862">
              <w:rPr>
                <w:rFonts w:ascii="Century Gothic" w:hAnsi="Century Gothic"/>
                <w:sz w:val="20"/>
                <w:szCs w:val="20"/>
              </w:rPr>
              <w:t>Effecti</w:t>
            </w:r>
            <w:r>
              <w:rPr>
                <w:rFonts w:ascii="Century Gothic" w:hAnsi="Century Gothic"/>
                <w:sz w:val="20"/>
                <w:szCs w:val="20"/>
              </w:rPr>
              <w:t>ve</w:t>
            </w:r>
            <w:r w:rsidRPr="00CA2862">
              <w:rPr>
                <w:rFonts w:ascii="Century Gothic" w:hAnsi="Century Gothic"/>
                <w:sz w:val="20"/>
                <w:szCs w:val="20"/>
              </w:rPr>
              <w:t xml:space="preserve"> Da</w:t>
            </w:r>
            <w:r>
              <w:rPr>
                <w:rFonts w:ascii="Century Gothic" w:hAnsi="Century Gothic"/>
                <w:sz w:val="20"/>
                <w:szCs w:val="20"/>
              </w:rPr>
              <w:t>t</w:t>
            </w:r>
            <w:r w:rsidRPr="00CA2862">
              <w:rPr>
                <w:rFonts w:ascii="Century Gothic" w:hAnsi="Century Gothic"/>
                <w:sz w:val="20"/>
                <w:szCs w:val="20"/>
              </w:rPr>
              <w:t>e</w:t>
            </w:r>
          </w:p>
        </w:tc>
        <w:tc>
          <w:tcPr>
            <w:tcW w:w="7287" w:type="dxa"/>
            <w:vAlign w:val="center"/>
          </w:tcPr>
          <w:p w14:paraId="3128A4BB" w14:textId="42B3BDF7" w:rsidR="00DD3697" w:rsidRPr="00CA2862" w:rsidRDefault="00DD3697" w:rsidP="001716AD">
            <w:pPr>
              <w:jc w:val="both"/>
              <w:rPr>
                <w:rFonts w:ascii="Century Gothic" w:hAnsi="Century Gothic"/>
                <w:sz w:val="20"/>
                <w:szCs w:val="20"/>
              </w:rPr>
            </w:pPr>
            <w:r>
              <w:rPr>
                <w:rFonts w:ascii="Century Gothic" w:hAnsi="Century Gothic"/>
                <w:sz w:val="20"/>
                <w:szCs w:val="20"/>
              </w:rPr>
              <w:t>01</w:t>
            </w:r>
            <w:r w:rsidRPr="00CA2862">
              <w:rPr>
                <w:rFonts w:ascii="Century Gothic" w:hAnsi="Century Gothic"/>
                <w:sz w:val="20"/>
                <w:szCs w:val="20"/>
              </w:rPr>
              <w:t>/0</w:t>
            </w:r>
            <w:r>
              <w:rPr>
                <w:rFonts w:ascii="Century Gothic" w:hAnsi="Century Gothic"/>
                <w:sz w:val="20"/>
                <w:szCs w:val="20"/>
              </w:rPr>
              <w:t>1</w:t>
            </w:r>
            <w:r w:rsidRPr="00CA2862">
              <w:rPr>
                <w:rFonts w:ascii="Century Gothic" w:hAnsi="Century Gothic"/>
                <w:sz w:val="20"/>
                <w:szCs w:val="20"/>
              </w:rPr>
              <w:t>/202</w:t>
            </w:r>
            <w:r w:rsidR="005118FD">
              <w:rPr>
                <w:rFonts w:ascii="Century Gothic" w:hAnsi="Century Gothic"/>
                <w:sz w:val="20"/>
                <w:szCs w:val="20"/>
              </w:rPr>
              <w:t>3</w:t>
            </w:r>
          </w:p>
        </w:tc>
      </w:tr>
      <w:tr w:rsidR="005118FD" w:rsidRPr="00B255EA" w14:paraId="316351A4" w14:textId="77777777" w:rsidTr="00DD3697">
        <w:trPr>
          <w:trHeight w:val="339"/>
        </w:trPr>
        <w:tc>
          <w:tcPr>
            <w:tcW w:w="2914" w:type="dxa"/>
            <w:vAlign w:val="center"/>
          </w:tcPr>
          <w:p w14:paraId="7F652CBF" w14:textId="77777777" w:rsidR="005118FD" w:rsidRPr="004121B5" w:rsidRDefault="005118FD" w:rsidP="005118FD">
            <w:pPr>
              <w:jc w:val="both"/>
              <w:rPr>
                <w:rFonts w:ascii="SutonnyMJ" w:hAnsi="SutonnyMJ" w:cs="SutonnyMJ"/>
                <w:sz w:val="28"/>
                <w:szCs w:val="28"/>
                <w:lang w:bidi="bn-IN"/>
              </w:rPr>
            </w:pPr>
            <w:r w:rsidRPr="00E10835">
              <w:rPr>
                <w:rFonts w:ascii="Century Gothic" w:hAnsi="Century Gothic"/>
                <w:sz w:val="20"/>
                <w:szCs w:val="20"/>
              </w:rPr>
              <w:t>Revise Date</w:t>
            </w:r>
            <w:r w:rsidRPr="004121B5">
              <w:rPr>
                <w:rFonts w:ascii="SutonnyMJ" w:hAnsi="SutonnyMJ" w:cs="SutonnyMJ"/>
                <w:sz w:val="28"/>
                <w:szCs w:val="28"/>
              </w:rPr>
              <w:t xml:space="preserve"> </w:t>
            </w:r>
          </w:p>
        </w:tc>
        <w:tc>
          <w:tcPr>
            <w:tcW w:w="7287" w:type="dxa"/>
            <w:vAlign w:val="center"/>
          </w:tcPr>
          <w:p w14:paraId="6772924C" w14:textId="1C3577F4" w:rsidR="005118FD" w:rsidRPr="00B255EA" w:rsidRDefault="005118FD" w:rsidP="005118FD">
            <w:pPr>
              <w:tabs>
                <w:tab w:val="center" w:pos="4320"/>
                <w:tab w:val="right" w:pos="8640"/>
              </w:tabs>
              <w:ind w:right="90"/>
              <w:rPr>
                <w:rFonts w:ascii="SutonnyMJ" w:hAnsi="SutonnyMJ"/>
                <w:sz w:val="28"/>
                <w:szCs w:val="28"/>
                <w:lang w:bidi="bn-IN"/>
              </w:rPr>
            </w:pPr>
            <w:r>
              <w:rPr>
                <w:rFonts w:ascii="Century Gothic" w:hAnsi="Century Gothic"/>
                <w:sz w:val="20"/>
                <w:szCs w:val="20"/>
              </w:rPr>
              <w:t>01</w:t>
            </w:r>
            <w:r w:rsidRPr="00CA2862">
              <w:rPr>
                <w:rFonts w:ascii="Century Gothic" w:hAnsi="Century Gothic"/>
                <w:sz w:val="20"/>
                <w:szCs w:val="20"/>
              </w:rPr>
              <w:t>/0</w:t>
            </w:r>
            <w:r w:rsidR="004720F0">
              <w:rPr>
                <w:rFonts w:ascii="Century Gothic" w:hAnsi="Century Gothic"/>
                <w:sz w:val="20"/>
                <w:szCs w:val="20"/>
              </w:rPr>
              <w:t>8</w:t>
            </w:r>
            <w:r w:rsidRPr="00CA2862">
              <w:rPr>
                <w:rFonts w:ascii="Century Gothic" w:hAnsi="Century Gothic"/>
                <w:sz w:val="20"/>
                <w:szCs w:val="20"/>
              </w:rPr>
              <w:t>/202</w:t>
            </w:r>
            <w:r>
              <w:rPr>
                <w:rFonts w:ascii="Century Gothic" w:hAnsi="Century Gothic"/>
                <w:sz w:val="20"/>
                <w:szCs w:val="20"/>
              </w:rPr>
              <w:t>4</w:t>
            </w:r>
          </w:p>
        </w:tc>
      </w:tr>
      <w:tr w:rsidR="005118FD" w:rsidRPr="00B255EA" w14:paraId="6543146C" w14:textId="77777777" w:rsidTr="00DD3697">
        <w:trPr>
          <w:trHeight w:val="339"/>
        </w:trPr>
        <w:tc>
          <w:tcPr>
            <w:tcW w:w="2914" w:type="dxa"/>
            <w:vAlign w:val="center"/>
          </w:tcPr>
          <w:p w14:paraId="4A3FC6DC" w14:textId="77777777" w:rsidR="005118FD" w:rsidRPr="004121B5" w:rsidRDefault="005118FD" w:rsidP="005118FD">
            <w:pPr>
              <w:jc w:val="both"/>
              <w:rPr>
                <w:rFonts w:ascii="SutonnyMJ" w:hAnsi="SutonnyMJ" w:cs="SutonnyMJ"/>
                <w:sz w:val="28"/>
                <w:szCs w:val="28"/>
              </w:rPr>
            </w:pPr>
            <w:r w:rsidRPr="009D1D91">
              <w:rPr>
                <w:rFonts w:ascii="Century Gothic" w:hAnsi="Century Gothic"/>
                <w:sz w:val="20"/>
                <w:szCs w:val="20"/>
              </w:rPr>
              <w:t>Reference No</w:t>
            </w:r>
          </w:p>
        </w:tc>
        <w:tc>
          <w:tcPr>
            <w:tcW w:w="7287" w:type="dxa"/>
          </w:tcPr>
          <w:p w14:paraId="0BBCCE4D" w14:textId="6AE4EBD8" w:rsidR="005118FD" w:rsidRPr="003B5E3F" w:rsidRDefault="005118FD" w:rsidP="005118FD">
            <w:pPr>
              <w:jc w:val="both"/>
              <w:rPr>
                <w:rFonts w:ascii="Cambria" w:hAnsi="Cambria"/>
                <w:sz w:val="28"/>
                <w:szCs w:val="28"/>
                <w:lang w:bidi="bn-IN"/>
              </w:rPr>
            </w:pPr>
            <w:r w:rsidRPr="007458D5">
              <w:rPr>
                <w:rFonts w:ascii="Century Gothic" w:hAnsi="Century Gothic"/>
                <w:color w:val="0070C0"/>
                <w:sz w:val="20"/>
                <w:szCs w:val="20"/>
              </w:rPr>
              <w:t>Lantabur/HR/NIP/0</w:t>
            </w:r>
            <w:r>
              <w:rPr>
                <w:rFonts w:ascii="Century Gothic" w:hAnsi="Century Gothic"/>
                <w:color w:val="0070C0"/>
                <w:sz w:val="20"/>
                <w:szCs w:val="20"/>
              </w:rPr>
              <w:t>89</w:t>
            </w:r>
          </w:p>
        </w:tc>
      </w:tr>
    </w:tbl>
    <w:p w14:paraId="77368AD1" w14:textId="77777777" w:rsidR="00DD3697" w:rsidRDefault="00DD3697" w:rsidP="006F3B09">
      <w:pPr>
        <w:jc w:val="both"/>
        <w:rPr>
          <w:b/>
          <w:bCs/>
          <w:u w:val="single"/>
        </w:rPr>
      </w:pPr>
    </w:p>
    <w:p w14:paraId="06954D91" w14:textId="6B38A59E" w:rsidR="006566DF" w:rsidRPr="002B25B6" w:rsidRDefault="006566DF" w:rsidP="006F3B09">
      <w:pPr>
        <w:jc w:val="both"/>
        <w:rPr>
          <w:b/>
          <w:bCs/>
          <w:u w:val="single"/>
        </w:rPr>
      </w:pPr>
      <w:r w:rsidRPr="002B25B6">
        <w:rPr>
          <w:b/>
          <w:bCs/>
          <w:u w:val="single"/>
        </w:rPr>
        <w:t>Introduction</w:t>
      </w:r>
    </w:p>
    <w:p w14:paraId="28CD55B2" w14:textId="77777777" w:rsidR="006566DF" w:rsidRPr="002B25B6" w:rsidRDefault="006566DF" w:rsidP="006F3B09">
      <w:pPr>
        <w:jc w:val="both"/>
        <w:rPr>
          <w:b/>
          <w:bCs/>
          <w:sz w:val="16"/>
          <w:szCs w:val="16"/>
        </w:rPr>
      </w:pPr>
    </w:p>
    <w:p w14:paraId="685D52F8" w14:textId="77777777" w:rsidR="006566DF" w:rsidRPr="002B25B6" w:rsidRDefault="006566DF" w:rsidP="006F3B09">
      <w:pPr>
        <w:autoSpaceDE w:val="0"/>
        <w:autoSpaceDN w:val="0"/>
        <w:adjustRightInd w:val="0"/>
        <w:jc w:val="both"/>
        <w:rPr>
          <w:rFonts w:ascii="Times New Roman" w:hAnsi="Times New Roman"/>
          <w:i/>
        </w:rPr>
      </w:pPr>
      <w:r w:rsidRPr="009D281D">
        <w:rPr>
          <w:rFonts w:ascii="Times New Roman" w:hAnsi="Times New Roman"/>
        </w:rPr>
        <w:t>This Risk Assessment process is a formal set of rules or guide by which concern people will abide to carry out the process consistently and effectively by ensuring accountability.</w:t>
      </w:r>
      <w:r>
        <w:rPr>
          <w:rFonts w:ascii="Times New Roman" w:hAnsi="Times New Roman"/>
        </w:rPr>
        <w:t xml:space="preserve"> </w:t>
      </w:r>
      <w:r w:rsidRPr="009D281D">
        <w:rPr>
          <w:rFonts w:ascii="Times New Roman" w:hAnsi="Times New Roman"/>
        </w:rPr>
        <w:t>The main purpose of this process is to identify company personnel responsible for keeping the process up-to-date, including “back-up” personnel. When or how often a Risk Assessment must be conducted (e.g., annually, quarterly a new business partner in a supply chain; threat conditions change in a country or region). Required frequency of review and update to the actual Risk Assessment procedure (e.g., annually, quarterly, etc.). How Vulnerability Assessments on the International Supply Chain are to be conducted (e.g., verification of C-TPAT/PIP/AEO Status, site visits by Quality Assurance Managers, analysis of completed security questionnaires). How follow-up is conducted on “action items” (e.g., site visits to address vulnerabilities, termination of contracts).</w:t>
      </w:r>
      <w:r>
        <w:rPr>
          <w:rFonts w:ascii="Times New Roman" w:hAnsi="Times New Roman"/>
        </w:rPr>
        <w:t xml:space="preserve"> </w:t>
      </w:r>
      <w:r w:rsidRPr="009D281D">
        <w:rPr>
          <w:rFonts w:ascii="Times New Roman" w:hAnsi="Times New Roman"/>
        </w:rPr>
        <w:t xml:space="preserve">Procedure for training key individuals who are responsible for the Risk Assessment Process, to include regional employees who frequently communicate /visit foreign sites for other purposes (e.g., quality assurance managers, sales representatives). Internal management oversight and accountability for ensuring the process is carried out consistently and effectively. How Threat Assessments of international supply chains are to be conducted. </w:t>
      </w:r>
    </w:p>
    <w:p w14:paraId="5F44F4F8" w14:textId="77777777" w:rsidR="006566DF" w:rsidRPr="009D281D" w:rsidRDefault="006566DF" w:rsidP="006F3B09">
      <w:pPr>
        <w:jc w:val="both"/>
        <w:rPr>
          <w:rFonts w:ascii="Times New Roman" w:hAnsi="Times New Roman"/>
        </w:rPr>
      </w:pPr>
    </w:p>
    <w:p w14:paraId="7376B81D" w14:textId="77777777" w:rsidR="006566DF" w:rsidRDefault="006566DF" w:rsidP="006F3B09">
      <w:pPr>
        <w:jc w:val="both"/>
      </w:pPr>
      <w:r w:rsidRPr="009D281D">
        <w:rPr>
          <w:b/>
          <w:bCs/>
          <w:u w:val="single"/>
        </w:rPr>
        <w:t>Personnel Responsible:</w:t>
      </w:r>
    </w:p>
    <w:p w14:paraId="2C823190" w14:textId="77777777" w:rsidR="006566DF" w:rsidRPr="002B25B6" w:rsidRDefault="006566DF" w:rsidP="006F3B09">
      <w:pPr>
        <w:jc w:val="both"/>
        <w:rPr>
          <w:sz w:val="16"/>
          <w:szCs w:val="16"/>
        </w:rPr>
      </w:pPr>
    </w:p>
    <w:p w14:paraId="19B43310" w14:textId="77777777" w:rsidR="006566DF" w:rsidRDefault="006566DF" w:rsidP="006F3B09">
      <w:pPr>
        <w:jc w:val="both"/>
      </w:pPr>
      <w:r w:rsidRPr="009D281D">
        <w:rPr>
          <w:rFonts w:ascii="Times New Roman" w:hAnsi="Times New Roman"/>
        </w:rPr>
        <w:t>First identify the responsible person to carry out the full system of risk assessment. Responsible person of this process will carry out the steps of all job related to this policy and he also confirm his deputy as back up in absence of him to continue the program.</w:t>
      </w:r>
    </w:p>
    <w:p w14:paraId="3117A6CF" w14:textId="77777777" w:rsidR="006566DF" w:rsidRDefault="006566DF" w:rsidP="006F3B09">
      <w:pPr>
        <w:jc w:val="both"/>
        <w:rPr>
          <w:b/>
          <w:bCs/>
        </w:rPr>
      </w:pPr>
    </w:p>
    <w:p w14:paraId="73671D4D" w14:textId="77777777" w:rsidR="006566DF" w:rsidRDefault="006566DF" w:rsidP="006F3B09">
      <w:pPr>
        <w:jc w:val="both"/>
        <w:rPr>
          <w:b/>
          <w:bCs/>
        </w:rPr>
      </w:pPr>
      <w:r w:rsidRPr="009D281D">
        <w:rPr>
          <w:b/>
          <w:bCs/>
          <w:u w:val="single"/>
        </w:rPr>
        <w:t>Risk Assessment:</w:t>
      </w:r>
    </w:p>
    <w:p w14:paraId="55DC0576" w14:textId="77777777" w:rsidR="006566DF" w:rsidRPr="002B25B6" w:rsidRDefault="006566DF" w:rsidP="006F3B09">
      <w:pPr>
        <w:jc w:val="both"/>
        <w:rPr>
          <w:b/>
          <w:bCs/>
          <w:sz w:val="16"/>
          <w:szCs w:val="16"/>
        </w:rPr>
      </w:pPr>
    </w:p>
    <w:p w14:paraId="74CA6EAF" w14:textId="77777777" w:rsidR="006566DF" w:rsidRPr="006A2759" w:rsidRDefault="006566DF" w:rsidP="006F3B09">
      <w:pPr>
        <w:jc w:val="both"/>
      </w:pPr>
      <w:r w:rsidRPr="009D281D">
        <w:rPr>
          <w:rFonts w:ascii="Times New Roman" w:hAnsi="Times New Roman"/>
        </w:rPr>
        <w:t>Risk assessment will be carried out in a timely manner. This r</w:t>
      </w:r>
      <w:r>
        <w:rPr>
          <w:rFonts w:ascii="Times New Roman" w:hAnsi="Times New Roman"/>
        </w:rPr>
        <w:t>isk assessment will conduct</w:t>
      </w:r>
      <w:r w:rsidRPr="009D281D">
        <w:rPr>
          <w:rFonts w:ascii="Times New Roman" w:hAnsi="Times New Roman"/>
        </w:rPr>
        <w:t xml:space="preserve"> yearly basis for all business partners.</w:t>
      </w:r>
    </w:p>
    <w:p w14:paraId="15052238" w14:textId="77777777" w:rsidR="006566DF" w:rsidRDefault="006566DF" w:rsidP="006F3B09">
      <w:pPr>
        <w:jc w:val="both"/>
        <w:rPr>
          <w:b/>
          <w:bCs/>
        </w:rPr>
      </w:pPr>
    </w:p>
    <w:p w14:paraId="00FE6E87" w14:textId="77777777" w:rsidR="006566DF" w:rsidRDefault="006566DF" w:rsidP="006F3B09">
      <w:pPr>
        <w:jc w:val="both"/>
        <w:rPr>
          <w:b/>
          <w:bCs/>
        </w:rPr>
      </w:pPr>
      <w:r w:rsidRPr="009D281D">
        <w:rPr>
          <w:b/>
          <w:bCs/>
          <w:u w:val="single"/>
        </w:rPr>
        <w:t>Threat Assessment:</w:t>
      </w:r>
    </w:p>
    <w:p w14:paraId="3BE2DCA7" w14:textId="77777777" w:rsidR="006566DF" w:rsidRPr="002B25B6" w:rsidRDefault="006566DF" w:rsidP="006F3B09">
      <w:pPr>
        <w:jc w:val="both"/>
        <w:rPr>
          <w:b/>
          <w:bCs/>
          <w:sz w:val="16"/>
          <w:szCs w:val="16"/>
        </w:rPr>
      </w:pPr>
    </w:p>
    <w:p w14:paraId="0937C193" w14:textId="77777777" w:rsidR="006566DF" w:rsidRDefault="006566DF" w:rsidP="006F3B09">
      <w:pPr>
        <w:jc w:val="both"/>
        <w:rPr>
          <w:rFonts w:ascii="Times New Roman" w:hAnsi="Times New Roman"/>
        </w:rPr>
      </w:pPr>
      <w:r w:rsidRPr="009D281D">
        <w:rPr>
          <w:rFonts w:ascii="Times New Roman" w:hAnsi="Times New Roman"/>
        </w:rPr>
        <w:t xml:space="preserve">Threat assessment is one of the key processes for risk assessment. Threat assessment will be considered following area specially – </w:t>
      </w:r>
    </w:p>
    <w:p w14:paraId="3B09C73F" w14:textId="77777777" w:rsidR="006566DF" w:rsidRPr="002B25B6" w:rsidRDefault="006566DF" w:rsidP="006F3B09">
      <w:pPr>
        <w:jc w:val="both"/>
        <w:rPr>
          <w:sz w:val="10"/>
          <w:szCs w:val="10"/>
        </w:rPr>
      </w:pPr>
    </w:p>
    <w:p w14:paraId="012D8120" w14:textId="77777777" w:rsidR="006566DF" w:rsidRPr="007A5C94" w:rsidRDefault="006566DF" w:rsidP="006F3B09">
      <w:pPr>
        <w:pStyle w:val="ListParagraph"/>
        <w:numPr>
          <w:ilvl w:val="0"/>
          <w:numId w:val="1"/>
        </w:numPr>
        <w:contextualSpacing w:val="0"/>
        <w:jc w:val="both"/>
        <w:rPr>
          <w:rFonts w:cstheme="minorHAnsi"/>
          <w:bCs/>
          <w:i/>
          <w:iCs/>
          <w:szCs w:val="16"/>
        </w:rPr>
      </w:pPr>
      <w:r w:rsidRPr="007A5C94">
        <w:rPr>
          <w:rFonts w:cstheme="minorHAnsi"/>
          <w:bCs/>
          <w:iCs/>
          <w:szCs w:val="16"/>
        </w:rPr>
        <w:t xml:space="preserve">Terrorism </w:t>
      </w:r>
    </w:p>
    <w:p w14:paraId="49BF55CE" w14:textId="77777777" w:rsidR="006566DF" w:rsidRPr="007A5C94" w:rsidRDefault="006566DF" w:rsidP="006F3B09">
      <w:pPr>
        <w:pStyle w:val="ListParagraph"/>
        <w:numPr>
          <w:ilvl w:val="0"/>
          <w:numId w:val="1"/>
        </w:numPr>
        <w:contextualSpacing w:val="0"/>
        <w:jc w:val="both"/>
        <w:rPr>
          <w:rFonts w:cstheme="minorHAnsi"/>
          <w:bCs/>
          <w:i/>
          <w:iCs/>
          <w:szCs w:val="16"/>
        </w:rPr>
      </w:pPr>
      <w:r w:rsidRPr="007A5C94">
        <w:rPr>
          <w:rFonts w:cstheme="minorHAnsi"/>
          <w:bCs/>
          <w:iCs/>
          <w:szCs w:val="16"/>
        </w:rPr>
        <w:t>Human Trafficking</w:t>
      </w:r>
    </w:p>
    <w:p w14:paraId="4C4BADFB" w14:textId="77777777" w:rsidR="006566DF" w:rsidRPr="007A5C94" w:rsidRDefault="006566DF" w:rsidP="006F3B09">
      <w:pPr>
        <w:pStyle w:val="ListParagraph"/>
        <w:numPr>
          <w:ilvl w:val="0"/>
          <w:numId w:val="1"/>
        </w:numPr>
        <w:contextualSpacing w:val="0"/>
        <w:jc w:val="both"/>
        <w:rPr>
          <w:rFonts w:cstheme="minorHAnsi"/>
          <w:bCs/>
          <w:i/>
          <w:iCs/>
          <w:szCs w:val="16"/>
        </w:rPr>
      </w:pPr>
      <w:r w:rsidRPr="007A5C94">
        <w:rPr>
          <w:rFonts w:cstheme="minorHAnsi"/>
          <w:bCs/>
          <w:iCs/>
          <w:szCs w:val="16"/>
        </w:rPr>
        <w:t>Smuggling of Contraband Items</w:t>
      </w:r>
    </w:p>
    <w:p w14:paraId="0E5E5BF1" w14:textId="77777777" w:rsidR="006566DF" w:rsidRPr="00D656A1" w:rsidRDefault="006566DF" w:rsidP="006F3B09">
      <w:pPr>
        <w:pStyle w:val="ListParagraph"/>
        <w:numPr>
          <w:ilvl w:val="0"/>
          <w:numId w:val="1"/>
        </w:numPr>
        <w:contextualSpacing w:val="0"/>
        <w:jc w:val="both"/>
        <w:rPr>
          <w:rFonts w:cstheme="minorHAnsi"/>
          <w:bCs/>
          <w:i/>
          <w:iCs/>
          <w:szCs w:val="16"/>
          <w:u w:val="single"/>
        </w:rPr>
      </w:pPr>
      <w:r w:rsidRPr="007A5C94">
        <w:rPr>
          <w:rFonts w:cstheme="minorHAnsi"/>
          <w:bCs/>
          <w:iCs/>
          <w:szCs w:val="16"/>
        </w:rPr>
        <w:t>Organized Crime</w:t>
      </w:r>
    </w:p>
    <w:p w14:paraId="54F9D34A" w14:textId="77777777" w:rsidR="006566DF" w:rsidRPr="007A5C94" w:rsidRDefault="006566DF" w:rsidP="006F3B09">
      <w:pPr>
        <w:pStyle w:val="ListParagraph"/>
        <w:contextualSpacing w:val="0"/>
        <w:jc w:val="both"/>
        <w:rPr>
          <w:rFonts w:cstheme="minorHAnsi"/>
          <w:bCs/>
          <w:i/>
          <w:iCs/>
          <w:szCs w:val="16"/>
          <w:u w:val="single"/>
        </w:rPr>
      </w:pPr>
    </w:p>
    <w:p w14:paraId="0F2B9434" w14:textId="77777777" w:rsidR="006566DF" w:rsidRDefault="006566DF" w:rsidP="006F3B09">
      <w:pPr>
        <w:jc w:val="both"/>
        <w:rPr>
          <w:rFonts w:ascii="Times New Roman" w:hAnsi="Times New Roman"/>
        </w:rPr>
      </w:pPr>
      <w:r w:rsidRPr="009D281D">
        <w:rPr>
          <w:rFonts w:ascii="Times New Roman" w:hAnsi="Times New Roman"/>
        </w:rPr>
        <w:t xml:space="preserve">Considering the situation management of </w:t>
      </w:r>
      <w:r>
        <w:rPr>
          <w:rFonts w:ascii="Times New Roman" w:hAnsi="Times New Roman"/>
        </w:rPr>
        <w:t>MSL</w:t>
      </w:r>
      <w:r w:rsidRPr="009D281D">
        <w:rPr>
          <w:rFonts w:ascii="Times New Roman" w:hAnsi="Times New Roman"/>
        </w:rPr>
        <w:t xml:space="preserve"> can add more area to assess threats </w:t>
      </w:r>
      <w:proofErr w:type="spellStart"/>
      <w:r w:rsidRPr="009D281D">
        <w:rPr>
          <w:rFonts w:ascii="Times New Roman" w:hAnsi="Times New Roman"/>
        </w:rPr>
        <w:t>i.e</w:t>
      </w:r>
      <w:proofErr w:type="spellEnd"/>
      <w:r w:rsidRPr="009D281D">
        <w:rPr>
          <w:rFonts w:ascii="Times New Roman" w:hAnsi="Times New Roman"/>
        </w:rPr>
        <w:t xml:space="preserve"> Hijacking / theft, Political / social unrest, Natural disasters, Agricultural threats etc.</w:t>
      </w:r>
    </w:p>
    <w:p w14:paraId="15E14BF6" w14:textId="77777777" w:rsidR="006566DF" w:rsidRDefault="006566DF" w:rsidP="006F3B09">
      <w:pPr>
        <w:jc w:val="both"/>
        <w:rPr>
          <w:b/>
          <w:bCs/>
          <w:u w:val="single"/>
        </w:rPr>
      </w:pPr>
    </w:p>
    <w:p w14:paraId="1A99D86C" w14:textId="77777777" w:rsidR="006837BA" w:rsidRDefault="006837BA" w:rsidP="006F3B09">
      <w:pPr>
        <w:jc w:val="both"/>
        <w:rPr>
          <w:b/>
          <w:bCs/>
          <w:u w:val="single"/>
        </w:rPr>
      </w:pPr>
    </w:p>
    <w:p w14:paraId="7F2BD143" w14:textId="083955B6" w:rsidR="006566DF" w:rsidRDefault="006566DF" w:rsidP="006F3B09">
      <w:pPr>
        <w:jc w:val="both"/>
        <w:rPr>
          <w:b/>
          <w:bCs/>
        </w:rPr>
      </w:pPr>
      <w:r w:rsidRPr="009D281D">
        <w:rPr>
          <w:b/>
          <w:bCs/>
          <w:u w:val="single"/>
        </w:rPr>
        <w:lastRenderedPageBreak/>
        <w:t>Vulnerability Assessment:</w:t>
      </w:r>
    </w:p>
    <w:p w14:paraId="4F0800AF" w14:textId="77777777" w:rsidR="006566DF" w:rsidRPr="009D281D" w:rsidRDefault="006566DF" w:rsidP="006F3B09">
      <w:pPr>
        <w:jc w:val="both"/>
        <w:rPr>
          <w:b/>
          <w:bCs/>
          <w:sz w:val="16"/>
          <w:szCs w:val="16"/>
        </w:rPr>
      </w:pPr>
    </w:p>
    <w:p w14:paraId="010F1178" w14:textId="77777777" w:rsidR="006566DF" w:rsidRPr="009D281D" w:rsidRDefault="006566DF" w:rsidP="006F3B09">
      <w:pPr>
        <w:jc w:val="both"/>
        <w:rPr>
          <w:rFonts w:ascii="Times New Roman" w:hAnsi="Times New Roman"/>
        </w:rPr>
      </w:pPr>
      <w:r w:rsidRPr="009D281D">
        <w:rPr>
          <w:rFonts w:ascii="Times New Roman" w:hAnsi="Times New Roman"/>
        </w:rPr>
        <w:t xml:space="preserve">Vulnerability assessment is the point of the process. Qualified person will take over the process and done it in a proper manner with covering all aspect that all security alarming issues will be identified.  To complete the process first need to define the main security problems which create the security weaknesses. Upon define of the key area for this process then vulnerability assessment will be carried out. </w:t>
      </w:r>
    </w:p>
    <w:p w14:paraId="3A1DDE8B" w14:textId="77777777" w:rsidR="006566DF" w:rsidRDefault="006566DF" w:rsidP="006F3B09">
      <w:pPr>
        <w:jc w:val="both"/>
        <w:rPr>
          <w:rFonts w:ascii="Times New Roman" w:hAnsi="Times New Roman"/>
        </w:rPr>
      </w:pPr>
      <w:r w:rsidRPr="009D281D">
        <w:rPr>
          <w:rFonts w:ascii="Times New Roman" w:hAnsi="Times New Roman"/>
        </w:rPr>
        <w:t xml:space="preserve">Format will be following: </w:t>
      </w:r>
    </w:p>
    <w:p w14:paraId="3DDC3E31" w14:textId="454AA9B4" w:rsidR="006F3B09" w:rsidRPr="009D281D" w:rsidRDefault="006F3B09" w:rsidP="006566DF">
      <w:pPr>
        <w:jc w:val="both"/>
        <w:rPr>
          <w:rFonts w:ascii="Times New Roman" w:hAnsi="Times New Roman"/>
        </w:rPr>
      </w:pPr>
    </w:p>
    <w:tbl>
      <w:tblPr>
        <w:tblW w:w="10329" w:type="dxa"/>
        <w:tblLook w:val="04A0" w:firstRow="1" w:lastRow="0" w:firstColumn="1" w:lastColumn="0" w:noHBand="0" w:noVBand="1"/>
      </w:tblPr>
      <w:tblGrid>
        <w:gridCol w:w="972"/>
        <w:gridCol w:w="1027"/>
        <w:gridCol w:w="959"/>
        <w:gridCol w:w="1159"/>
        <w:gridCol w:w="1296"/>
        <w:gridCol w:w="1510"/>
        <w:gridCol w:w="1110"/>
        <w:gridCol w:w="1110"/>
        <w:gridCol w:w="1186"/>
      </w:tblGrid>
      <w:tr w:rsidR="006566DF" w:rsidRPr="009D281D" w14:paraId="51E58850" w14:textId="77777777" w:rsidTr="005118FD">
        <w:trPr>
          <w:trHeight w:val="1412"/>
        </w:trPr>
        <w:tc>
          <w:tcPr>
            <w:tcW w:w="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152DD"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Supply Chain Process</w:t>
            </w:r>
          </w:p>
        </w:tc>
        <w:tc>
          <w:tcPr>
            <w:tcW w:w="1032" w:type="dxa"/>
            <w:tcBorders>
              <w:top w:val="single" w:sz="4" w:space="0" w:color="auto"/>
              <w:left w:val="nil"/>
              <w:bottom w:val="single" w:sz="4" w:space="0" w:color="auto"/>
              <w:right w:val="single" w:sz="4" w:space="0" w:color="auto"/>
            </w:tcBorders>
            <w:shd w:val="clear" w:color="auto" w:fill="auto"/>
            <w:vAlign w:val="center"/>
            <w:hideMark/>
          </w:tcPr>
          <w:p w14:paraId="7614BADA"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C-TPAT Security Criteria</w:t>
            </w:r>
          </w:p>
        </w:tc>
        <w:tc>
          <w:tcPr>
            <w:tcW w:w="964" w:type="dxa"/>
            <w:tcBorders>
              <w:top w:val="single" w:sz="4" w:space="0" w:color="auto"/>
              <w:left w:val="nil"/>
              <w:bottom w:val="single" w:sz="4" w:space="0" w:color="auto"/>
              <w:right w:val="single" w:sz="4" w:space="0" w:color="auto"/>
            </w:tcBorders>
            <w:shd w:val="clear" w:color="auto" w:fill="auto"/>
            <w:vAlign w:val="center"/>
            <w:hideMark/>
          </w:tcPr>
          <w:p w14:paraId="145143D8"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C-TPAT Sub-Criteria</w:t>
            </w:r>
          </w:p>
        </w:tc>
        <w:tc>
          <w:tcPr>
            <w:tcW w:w="1183" w:type="dxa"/>
            <w:tcBorders>
              <w:top w:val="single" w:sz="4" w:space="0" w:color="auto"/>
              <w:left w:val="nil"/>
              <w:bottom w:val="single" w:sz="4" w:space="0" w:color="auto"/>
              <w:right w:val="single" w:sz="4" w:space="0" w:color="auto"/>
            </w:tcBorders>
            <w:shd w:val="clear" w:color="auto" w:fill="auto"/>
            <w:vAlign w:val="center"/>
            <w:hideMark/>
          </w:tcPr>
          <w:p w14:paraId="0CA478AF"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M=Must</w:t>
            </w:r>
            <w:r w:rsidRPr="009D281D">
              <w:rPr>
                <w:rFonts w:ascii="Calibri" w:hAnsi="Calibri" w:cs="Calibri"/>
                <w:b/>
                <w:bCs/>
                <w:color w:val="000000"/>
              </w:rPr>
              <w:br/>
              <w:t>S=Should</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CB6826E"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Method to Verify Adherence</w:t>
            </w:r>
          </w:p>
        </w:tc>
        <w:tc>
          <w:tcPr>
            <w:tcW w:w="1519" w:type="dxa"/>
            <w:tcBorders>
              <w:top w:val="single" w:sz="4" w:space="0" w:color="auto"/>
              <w:left w:val="nil"/>
              <w:bottom w:val="single" w:sz="4" w:space="0" w:color="auto"/>
              <w:right w:val="single" w:sz="4" w:space="0" w:color="auto"/>
            </w:tcBorders>
            <w:vAlign w:val="center"/>
          </w:tcPr>
          <w:p w14:paraId="20B679EC"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Vulnerability Identified</w:t>
            </w:r>
          </w:p>
        </w:tc>
        <w:tc>
          <w:tcPr>
            <w:tcW w:w="1113" w:type="dxa"/>
            <w:tcBorders>
              <w:top w:val="single" w:sz="4" w:space="0" w:color="auto"/>
              <w:left w:val="nil"/>
              <w:bottom w:val="single" w:sz="4" w:space="0" w:color="auto"/>
              <w:right w:val="single" w:sz="4" w:space="0" w:color="auto"/>
            </w:tcBorders>
            <w:vAlign w:val="center"/>
          </w:tcPr>
          <w:p w14:paraId="137022E9"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Sub Category Risk Rating</w:t>
            </w:r>
          </w:p>
        </w:tc>
        <w:tc>
          <w:tcPr>
            <w:tcW w:w="1113" w:type="dxa"/>
            <w:tcBorders>
              <w:top w:val="single" w:sz="4" w:space="0" w:color="auto"/>
              <w:left w:val="nil"/>
              <w:bottom w:val="single" w:sz="4" w:space="0" w:color="auto"/>
              <w:right w:val="single" w:sz="4" w:space="0" w:color="auto"/>
            </w:tcBorders>
            <w:vAlign w:val="center"/>
          </w:tcPr>
          <w:p w14:paraId="4FF805C2"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Category Risk Rating</w:t>
            </w:r>
          </w:p>
        </w:tc>
        <w:tc>
          <w:tcPr>
            <w:tcW w:w="1166" w:type="dxa"/>
            <w:tcBorders>
              <w:top w:val="single" w:sz="4" w:space="0" w:color="auto"/>
              <w:left w:val="nil"/>
              <w:bottom w:val="single" w:sz="4" w:space="0" w:color="auto"/>
              <w:right w:val="single" w:sz="4" w:space="0" w:color="auto"/>
            </w:tcBorders>
            <w:vAlign w:val="center"/>
          </w:tcPr>
          <w:p w14:paraId="7901B765" w14:textId="77777777" w:rsidR="006566DF" w:rsidRPr="009D281D" w:rsidRDefault="006566DF" w:rsidP="00DF1F2E">
            <w:pPr>
              <w:jc w:val="center"/>
              <w:rPr>
                <w:rFonts w:ascii="Calibri" w:hAnsi="Calibri" w:cs="Calibri"/>
                <w:b/>
                <w:bCs/>
                <w:color w:val="000000"/>
              </w:rPr>
            </w:pPr>
            <w:r w:rsidRPr="009D281D">
              <w:rPr>
                <w:rFonts w:ascii="Calibri" w:hAnsi="Calibri" w:cs="Calibri"/>
                <w:b/>
                <w:bCs/>
                <w:color w:val="000000"/>
              </w:rPr>
              <w:t>Best Practices Identified</w:t>
            </w:r>
          </w:p>
        </w:tc>
      </w:tr>
    </w:tbl>
    <w:p w14:paraId="6DAB512E" w14:textId="77777777" w:rsidR="006566DF" w:rsidRPr="00DE067B" w:rsidRDefault="006566DF" w:rsidP="006566DF"/>
    <w:p w14:paraId="60565608" w14:textId="77777777" w:rsidR="006566DF" w:rsidRPr="009D281D" w:rsidRDefault="006566DF" w:rsidP="006566DF">
      <w:pPr>
        <w:jc w:val="both"/>
        <w:rPr>
          <w:b/>
          <w:bCs/>
          <w:u w:val="single"/>
        </w:rPr>
      </w:pPr>
      <w:r w:rsidRPr="009D281D">
        <w:rPr>
          <w:b/>
          <w:bCs/>
          <w:u w:val="single"/>
        </w:rPr>
        <w:t xml:space="preserve">Action Plan: </w:t>
      </w:r>
    </w:p>
    <w:p w14:paraId="6B2F68B7" w14:textId="77777777" w:rsidR="006566DF" w:rsidRPr="009D281D" w:rsidRDefault="006566DF" w:rsidP="006566DF">
      <w:pPr>
        <w:rPr>
          <w:b/>
          <w:bCs/>
          <w:sz w:val="16"/>
          <w:szCs w:val="16"/>
        </w:rPr>
      </w:pPr>
    </w:p>
    <w:p w14:paraId="14D11F55" w14:textId="77777777" w:rsidR="006566DF" w:rsidRDefault="006566DF" w:rsidP="006566DF">
      <w:r w:rsidRPr="002A4A8F">
        <w:t>Action plan will take over after assessment of vulnerabilities</w:t>
      </w:r>
      <w:r>
        <w:t xml:space="preserve">. In this process necessary action will be taken based of identified vulnerability issues. </w:t>
      </w:r>
    </w:p>
    <w:p w14:paraId="35ABB441" w14:textId="77777777" w:rsidR="006566DF" w:rsidRDefault="006566DF" w:rsidP="006566DF">
      <w:r>
        <w:t xml:space="preserve">Following format will be used for Action Plan – </w:t>
      </w:r>
    </w:p>
    <w:p w14:paraId="172EFA2E" w14:textId="77777777" w:rsidR="006566DF" w:rsidRDefault="006566DF" w:rsidP="006566DF"/>
    <w:tbl>
      <w:tblPr>
        <w:tblW w:w="10627" w:type="dxa"/>
        <w:tblLayout w:type="fixed"/>
        <w:tblLook w:val="04A0" w:firstRow="1" w:lastRow="0" w:firstColumn="1" w:lastColumn="0" w:noHBand="0" w:noVBand="1"/>
      </w:tblPr>
      <w:tblGrid>
        <w:gridCol w:w="1129"/>
        <w:gridCol w:w="993"/>
        <w:gridCol w:w="1559"/>
        <w:gridCol w:w="1276"/>
        <w:gridCol w:w="1559"/>
        <w:gridCol w:w="1276"/>
        <w:gridCol w:w="1134"/>
        <w:gridCol w:w="850"/>
        <w:gridCol w:w="851"/>
      </w:tblGrid>
      <w:tr w:rsidR="006566DF" w:rsidRPr="007E6414" w14:paraId="766B43DA" w14:textId="77777777" w:rsidTr="005118FD">
        <w:trPr>
          <w:trHeight w:val="1263"/>
        </w:trPr>
        <w:tc>
          <w:tcPr>
            <w:tcW w:w="11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08504"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Supply Chain Process</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63B96D0"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C-TPAT Criteria</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715716B"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Vulnerability Identified</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CAD0585"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Corrective Action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4B9654E"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Responsible Person (POC)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7703EB3"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Responsible Person (Partner POC)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82218F0"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Timeline</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F23AD10"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Evidence</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6B34503" w14:textId="77777777" w:rsidR="006566DF" w:rsidRPr="007E6414" w:rsidRDefault="006566DF" w:rsidP="00DF1F2E">
            <w:pPr>
              <w:jc w:val="center"/>
              <w:rPr>
                <w:rFonts w:ascii="Calibri" w:hAnsi="Calibri" w:cs="Calibri"/>
                <w:b/>
                <w:bCs/>
                <w:color w:val="000000"/>
              </w:rPr>
            </w:pPr>
            <w:r w:rsidRPr="007E6414">
              <w:rPr>
                <w:rFonts w:ascii="Calibri" w:hAnsi="Calibri" w:cs="Calibri"/>
                <w:b/>
                <w:bCs/>
                <w:color w:val="000000"/>
              </w:rPr>
              <w:t>Verified by</w:t>
            </w:r>
          </w:p>
        </w:tc>
      </w:tr>
    </w:tbl>
    <w:p w14:paraId="0C16F224" w14:textId="77777777" w:rsidR="006566DF" w:rsidRPr="002A4A8F" w:rsidRDefault="006566DF" w:rsidP="006566DF"/>
    <w:p w14:paraId="675410F0" w14:textId="77777777" w:rsidR="006566DF" w:rsidRPr="002B25B6" w:rsidRDefault="006566DF" w:rsidP="005118FD">
      <w:pPr>
        <w:jc w:val="both"/>
        <w:rPr>
          <w:b/>
          <w:bCs/>
          <w:u w:val="single"/>
        </w:rPr>
      </w:pPr>
      <w:r w:rsidRPr="002B25B6">
        <w:rPr>
          <w:b/>
          <w:bCs/>
          <w:u w:val="single"/>
        </w:rPr>
        <w:t>Internal management:</w:t>
      </w:r>
    </w:p>
    <w:p w14:paraId="1F1ABA6E" w14:textId="77777777" w:rsidR="006566DF" w:rsidRPr="009D281D" w:rsidRDefault="006566DF" w:rsidP="005118FD">
      <w:pPr>
        <w:jc w:val="both"/>
        <w:rPr>
          <w:sz w:val="16"/>
          <w:szCs w:val="16"/>
        </w:rPr>
      </w:pPr>
    </w:p>
    <w:p w14:paraId="5F6ECF5F" w14:textId="77777777" w:rsidR="006566DF" w:rsidRPr="002926DD" w:rsidRDefault="006566DF" w:rsidP="005118FD">
      <w:pPr>
        <w:jc w:val="both"/>
      </w:pPr>
      <w:r w:rsidRPr="002926DD">
        <w:t>Management will decide the internal management team for this part to carry out the full system of risk assessment.</w:t>
      </w:r>
    </w:p>
    <w:p w14:paraId="39165F4E" w14:textId="77777777" w:rsidR="006566DF" w:rsidRDefault="006566DF" w:rsidP="005118FD">
      <w:pPr>
        <w:jc w:val="both"/>
        <w:rPr>
          <w:b/>
          <w:bCs/>
        </w:rPr>
      </w:pPr>
    </w:p>
    <w:p w14:paraId="2A530D7A" w14:textId="77777777" w:rsidR="006566DF" w:rsidRDefault="006566DF" w:rsidP="005118FD">
      <w:pPr>
        <w:jc w:val="both"/>
      </w:pPr>
      <w:r w:rsidRPr="002B25B6">
        <w:rPr>
          <w:b/>
          <w:bCs/>
          <w:u w:val="single"/>
        </w:rPr>
        <w:t>Documentation:</w:t>
      </w:r>
    </w:p>
    <w:p w14:paraId="4F38C880" w14:textId="77777777" w:rsidR="006566DF" w:rsidRPr="002B25B6" w:rsidRDefault="006566DF" w:rsidP="005118FD">
      <w:pPr>
        <w:jc w:val="both"/>
        <w:rPr>
          <w:sz w:val="16"/>
          <w:szCs w:val="16"/>
        </w:rPr>
      </w:pPr>
    </w:p>
    <w:tbl>
      <w:tblPr>
        <w:tblStyle w:val="TableGrid"/>
        <w:tblpPr w:leftFromText="180" w:rightFromText="180" w:vertAnchor="text" w:horzAnchor="margin" w:tblpY="1829"/>
        <w:tblW w:w="9924" w:type="dxa"/>
        <w:tblLook w:val="04A0" w:firstRow="1" w:lastRow="0" w:firstColumn="1" w:lastColumn="0" w:noHBand="0" w:noVBand="1"/>
      </w:tblPr>
      <w:tblGrid>
        <w:gridCol w:w="3436"/>
        <w:gridCol w:w="3227"/>
        <w:gridCol w:w="3261"/>
      </w:tblGrid>
      <w:tr w:rsidR="005118FD" w14:paraId="23648AE6" w14:textId="77777777" w:rsidTr="005118FD">
        <w:trPr>
          <w:trHeight w:val="417"/>
        </w:trPr>
        <w:tc>
          <w:tcPr>
            <w:tcW w:w="3436" w:type="dxa"/>
          </w:tcPr>
          <w:p w14:paraId="112783B7" w14:textId="77777777" w:rsidR="005118FD" w:rsidRDefault="005118FD" w:rsidP="005118FD">
            <w:pPr>
              <w:jc w:val="both"/>
              <w:rPr>
                <w:rFonts w:ascii="Century Gothic" w:hAnsi="Century Gothic"/>
                <w:sz w:val="20"/>
                <w:szCs w:val="20"/>
              </w:rPr>
            </w:pPr>
            <w:r>
              <w:rPr>
                <w:rFonts w:ascii="Century Gothic" w:hAnsi="Century Gothic"/>
                <w:sz w:val="20"/>
                <w:szCs w:val="20"/>
              </w:rPr>
              <w:t>Written By</w:t>
            </w:r>
          </w:p>
        </w:tc>
        <w:tc>
          <w:tcPr>
            <w:tcW w:w="3227" w:type="dxa"/>
          </w:tcPr>
          <w:p w14:paraId="33F4C019" w14:textId="77777777" w:rsidR="005118FD" w:rsidRDefault="005118FD" w:rsidP="005118FD">
            <w:pPr>
              <w:jc w:val="both"/>
              <w:rPr>
                <w:rFonts w:ascii="Century Gothic" w:hAnsi="Century Gothic"/>
                <w:sz w:val="20"/>
                <w:szCs w:val="20"/>
              </w:rPr>
            </w:pPr>
            <w:r w:rsidRPr="00762B17">
              <w:rPr>
                <w:rFonts w:ascii="Century Gothic" w:hAnsi="Century Gothic"/>
                <w:sz w:val="20"/>
                <w:szCs w:val="20"/>
              </w:rPr>
              <w:t>Evaluator and recommender</w:t>
            </w:r>
          </w:p>
        </w:tc>
        <w:tc>
          <w:tcPr>
            <w:tcW w:w="3261" w:type="dxa"/>
          </w:tcPr>
          <w:p w14:paraId="4F7A56E6" w14:textId="77777777" w:rsidR="005118FD" w:rsidRDefault="005118FD" w:rsidP="005118FD">
            <w:pPr>
              <w:jc w:val="both"/>
              <w:rPr>
                <w:rFonts w:ascii="Century Gothic" w:hAnsi="Century Gothic"/>
                <w:sz w:val="20"/>
                <w:szCs w:val="20"/>
              </w:rPr>
            </w:pPr>
            <w:r>
              <w:rPr>
                <w:rFonts w:ascii="Century Gothic" w:hAnsi="Century Gothic"/>
                <w:sz w:val="20"/>
                <w:szCs w:val="20"/>
              </w:rPr>
              <w:t>Approved By</w:t>
            </w:r>
          </w:p>
        </w:tc>
      </w:tr>
      <w:tr w:rsidR="005118FD" w:rsidRPr="00E96590" w14:paraId="784FC989" w14:textId="77777777" w:rsidTr="005118FD">
        <w:trPr>
          <w:trHeight w:val="1123"/>
        </w:trPr>
        <w:tc>
          <w:tcPr>
            <w:tcW w:w="3436" w:type="dxa"/>
          </w:tcPr>
          <w:p w14:paraId="63316F1F" w14:textId="77777777" w:rsidR="005118FD" w:rsidRDefault="005118FD" w:rsidP="005118FD">
            <w:pPr>
              <w:jc w:val="both"/>
              <w:rPr>
                <w:rFonts w:ascii="Century Gothic" w:hAnsi="Century Gothic"/>
                <w:sz w:val="20"/>
                <w:szCs w:val="20"/>
              </w:rPr>
            </w:pPr>
          </w:p>
          <w:p w14:paraId="7A80E2BB" w14:textId="77777777" w:rsidR="005118FD" w:rsidRDefault="005118FD" w:rsidP="005118FD">
            <w:pPr>
              <w:jc w:val="both"/>
              <w:rPr>
                <w:rFonts w:ascii="Century Gothic" w:hAnsi="Century Gothic"/>
                <w:sz w:val="20"/>
                <w:szCs w:val="20"/>
              </w:rPr>
            </w:pPr>
          </w:p>
          <w:p w14:paraId="3D872468" w14:textId="77777777" w:rsidR="005118FD" w:rsidRDefault="005118FD" w:rsidP="005118FD">
            <w:pPr>
              <w:jc w:val="both"/>
              <w:rPr>
                <w:rFonts w:ascii="Century Gothic" w:hAnsi="Century Gothic"/>
                <w:sz w:val="20"/>
                <w:szCs w:val="20"/>
              </w:rPr>
            </w:pPr>
          </w:p>
          <w:p w14:paraId="048C8905" w14:textId="77777777" w:rsidR="005118FD" w:rsidRDefault="005118FD" w:rsidP="005118FD">
            <w:pPr>
              <w:jc w:val="both"/>
              <w:rPr>
                <w:rFonts w:ascii="Century Gothic" w:hAnsi="Century Gothic"/>
                <w:sz w:val="20"/>
                <w:szCs w:val="20"/>
              </w:rPr>
            </w:pPr>
          </w:p>
          <w:p w14:paraId="1E713320" w14:textId="77777777" w:rsidR="005118FD" w:rsidRDefault="005118FD" w:rsidP="005118FD">
            <w:pPr>
              <w:jc w:val="both"/>
              <w:rPr>
                <w:rFonts w:ascii="Century Gothic" w:hAnsi="Century Gothic"/>
                <w:sz w:val="20"/>
                <w:szCs w:val="20"/>
              </w:rPr>
            </w:pPr>
          </w:p>
          <w:p w14:paraId="77C30FD7" w14:textId="77777777" w:rsidR="005118FD" w:rsidRPr="00870C78" w:rsidRDefault="005118FD" w:rsidP="005118FD">
            <w:pPr>
              <w:jc w:val="both"/>
              <w:rPr>
                <w:rFonts w:ascii="Century Gothic" w:hAnsi="Century Gothic"/>
                <w:sz w:val="20"/>
                <w:szCs w:val="20"/>
              </w:rPr>
            </w:pPr>
            <w:r w:rsidRPr="00870C78">
              <w:rPr>
                <w:rFonts w:ascii="Century Gothic" w:hAnsi="Century Gothic"/>
                <w:sz w:val="20"/>
                <w:szCs w:val="20"/>
              </w:rPr>
              <w:t>Sr. Exec</w:t>
            </w:r>
            <w:r>
              <w:rPr>
                <w:rFonts w:ascii="Century Gothic" w:hAnsi="Century Gothic"/>
                <w:sz w:val="20"/>
                <w:szCs w:val="20"/>
              </w:rPr>
              <w:t>utive ECR</w:t>
            </w:r>
          </w:p>
        </w:tc>
        <w:tc>
          <w:tcPr>
            <w:tcW w:w="3227" w:type="dxa"/>
          </w:tcPr>
          <w:p w14:paraId="1143944F" w14:textId="77777777" w:rsidR="005118FD" w:rsidRDefault="005118FD" w:rsidP="005118FD">
            <w:pPr>
              <w:jc w:val="both"/>
              <w:rPr>
                <w:rFonts w:ascii="Century Gothic" w:hAnsi="Century Gothic"/>
                <w:sz w:val="20"/>
                <w:szCs w:val="20"/>
              </w:rPr>
            </w:pPr>
          </w:p>
          <w:p w14:paraId="689D4F12" w14:textId="77777777" w:rsidR="005118FD" w:rsidRDefault="005118FD" w:rsidP="005118FD">
            <w:pPr>
              <w:jc w:val="both"/>
              <w:rPr>
                <w:rFonts w:ascii="Century Gothic" w:hAnsi="Century Gothic"/>
                <w:sz w:val="20"/>
                <w:szCs w:val="20"/>
              </w:rPr>
            </w:pPr>
          </w:p>
          <w:p w14:paraId="75EF6477" w14:textId="77777777" w:rsidR="005118FD" w:rsidRDefault="005118FD" w:rsidP="005118FD">
            <w:pPr>
              <w:jc w:val="both"/>
              <w:rPr>
                <w:rFonts w:ascii="Century Gothic" w:hAnsi="Century Gothic"/>
                <w:sz w:val="20"/>
                <w:szCs w:val="20"/>
              </w:rPr>
            </w:pPr>
          </w:p>
          <w:p w14:paraId="7BEE1DE4" w14:textId="77777777" w:rsidR="005118FD" w:rsidRDefault="005118FD" w:rsidP="005118FD">
            <w:pPr>
              <w:jc w:val="both"/>
              <w:rPr>
                <w:rFonts w:ascii="Century Gothic" w:hAnsi="Century Gothic"/>
                <w:sz w:val="20"/>
                <w:szCs w:val="20"/>
              </w:rPr>
            </w:pPr>
          </w:p>
          <w:p w14:paraId="78FDACFC" w14:textId="77777777" w:rsidR="005118FD" w:rsidRDefault="005118FD" w:rsidP="005118FD">
            <w:pPr>
              <w:jc w:val="both"/>
              <w:rPr>
                <w:rFonts w:ascii="Century Gothic" w:hAnsi="Century Gothic"/>
                <w:sz w:val="20"/>
                <w:szCs w:val="20"/>
              </w:rPr>
            </w:pPr>
          </w:p>
          <w:p w14:paraId="36E234CF" w14:textId="77777777" w:rsidR="005118FD" w:rsidRPr="00E96590" w:rsidRDefault="005118FD" w:rsidP="005118FD">
            <w:pPr>
              <w:jc w:val="both"/>
              <w:rPr>
                <w:rFonts w:ascii="Century Gothic" w:hAnsi="Century Gothic"/>
                <w:sz w:val="20"/>
                <w:szCs w:val="20"/>
              </w:rPr>
            </w:pPr>
            <w:r w:rsidRPr="00E96590">
              <w:rPr>
                <w:rFonts w:ascii="Century Gothic" w:hAnsi="Century Gothic"/>
                <w:sz w:val="20"/>
                <w:szCs w:val="20"/>
              </w:rPr>
              <w:t>Mana</w:t>
            </w:r>
            <w:r>
              <w:rPr>
                <w:rFonts w:ascii="Century Gothic" w:hAnsi="Century Gothic"/>
                <w:sz w:val="20"/>
                <w:szCs w:val="20"/>
              </w:rPr>
              <w:t>ger HR Admin &amp; Compliance</w:t>
            </w:r>
            <w:r w:rsidRPr="00E96590">
              <w:rPr>
                <w:rFonts w:ascii="Century Gothic" w:hAnsi="Century Gothic"/>
                <w:sz w:val="20"/>
                <w:szCs w:val="20"/>
              </w:rPr>
              <w:t xml:space="preserve">                                                                                            </w:t>
            </w:r>
          </w:p>
        </w:tc>
        <w:tc>
          <w:tcPr>
            <w:tcW w:w="3261" w:type="dxa"/>
          </w:tcPr>
          <w:p w14:paraId="1F10CD61" w14:textId="77777777" w:rsidR="005118FD" w:rsidRDefault="005118FD" w:rsidP="005118FD">
            <w:pPr>
              <w:jc w:val="both"/>
              <w:rPr>
                <w:rFonts w:ascii="Century Gothic" w:hAnsi="Century Gothic"/>
                <w:sz w:val="20"/>
                <w:szCs w:val="20"/>
              </w:rPr>
            </w:pPr>
          </w:p>
          <w:p w14:paraId="62A3D675" w14:textId="77777777" w:rsidR="005118FD" w:rsidRDefault="005118FD" w:rsidP="005118FD">
            <w:pPr>
              <w:jc w:val="both"/>
              <w:rPr>
                <w:rFonts w:ascii="Century Gothic" w:hAnsi="Century Gothic"/>
                <w:sz w:val="20"/>
                <w:szCs w:val="20"/>
              </w:rPr>
            </w:pPr>
          </w:p>
          <w:p w14:paraId="426726A3" w14:textId="77777777" w:rsidR="005118FD" w:rsidRDefault="005118FD" w:rsidP="005118FD">
            <w:pPr>
              <w:jc w:val="both"/>
              <w:rPr>
                <w:rFonts w:ascii="Century Gothic" w:hAnsi="Century Gothic"/>
                <w:sz w:val="20"/>
                <w:szCs w:val="20"/>
              </w:rPr>
            </w:pPr>
          </w:p>
          <w:p w14:paraId="0A4216C8" w14:textId="77777777" w:rsidR="005118FD" w:rsidRDefault="005118FD" w:rsidP="005118FD">
            <w:pPr>
              <w:jc w:val="both"/>
              <w:rPr>
                <w:rFonts w:ascii="Century Gothic" w:hAnsi="Century Gothic"/>
                <w:sz w:val="20"/>
                <w:szCs w:val="20"/>
              </w:rPr>
            </w:pPr>
          </w:p>
          <w:p w14:paraId="2470A8C9" w14:textId="77777777" w:rsidR="005118FD" w:rsidRDefault="005118FD" w:rsidP="005118FD">
            <w:pPr>
              <w:jc w:val="both"/>
              <w:rPr>
                <w:rFonts w:ascii="Century Gothic" w:hAnsi="Century Gothic"/>
                <w:sz w:val="20"/>
                <w:szCs w:val="20"/>
              </w:rPr>
            </w:pPr>
          </w:p>
          <w:p w14:paraId="1107EE5B" w14:textId="77777777" w:rsidR="005118FD" w:rsidRPr="00E96590" w:rsidRDefault="005118FD" w:rsidP="005118FD">
            <w:pPr>
              <w:jc w:val="both"/>
              <w:rPr>
                <w:rFonts w:ascii="Century Gothic" w:hAnsi="Century Gothic"/>
                <w:sz w:val="20"/>
                <w:szCs w:val="20"/>
              </w:rPr>
            </w:pPr>
            <w:r>
              <w:rPr>
                <w:rFonts w:ascii="Century Gothic" w:hAnsi="Century Gothic"/>
                <w:sz w:val="20"/>
                <w:szCs w:val="20"/>
              </w:rPr>
              <w:t>Sr. General Manager- HR Admin &amp; Compliance</w:t>
            </w:r>
            <w:r w:rsidRPr="00E96590">
              <w:rPr>
                <w:rFonts w:ascii="Century Gothic" w:hAnsi="Century Gothic"/>
                <w:sz w:val="20"/>
                <w:szCs w:val="20"/>
              </w:rPr>
              <w:t xml:space="preserve">               </w:t>
            </w:r>
          </w:p>
        </w:tc>
      </w:tr>
    </w:tbl>
    <w:p w14:paraId="5070C5C5" w14:textId="77777777" w:rsidR="006566DF" w:rsidRPr="00193498" w:rsidRDefault="006566DF" w:rsidP="005118FD">
      <w:pPr>
        <w:jc w:val="both"/>
        <w:rPr>
          <w:b/>
          <w:bCs/>
        </w:rPr>
      </w:pPr>
      <w:r w:rsidRPr="002301AD">
        <w:t>Should maintain all relevant document for full process of risk assessment and keep it at least one year or until further assessment.</w:t>
      </w:r>
      <w:r>
        <w:t xml:space="preserve"> Metrix Sweaters Ltd. will follow this guide for </w:t>
      </w:r>
      <w:proofErr w:type="spellStart"/>
      <w:r>
        <w:t>it’s</w:t>
      </w:r>
      <w:proofErr w:type="spellEnd"/>
      <w:r>
        <w:t xml:space="preserve"> internal and business partners risk assessment in terms of security aspect.</w:t>
      </w:r>
    </w:p>
    <w:bookmarkEnd w:id="0"/>
    <w:p w14:paraId="7E0D67B8" w14:textId="77777777" w:rsidR="009F4CE3" w:rsidRDefault="009F4CE3"/>
    <w:p w14:paraId="12C9EC48" w14:textId="77777777" w:rsidR="005118FD" w:rsidRDefault="005118FD"/>
    <w:p w14:paraId="5AD6016C" w14:textId="77777777" w:rsidR="005118FD" w:rsidRDefault="005118FD"/>
    <w:sectPr w:rsidR="005118FD" w:rsidSect="005118FD">
      <w:headerReference w:type="even" r:id="rId8"/>
      <w:headerReference w:type="default" r:id="rId9"/>
      <w:footerReference w:type="even" r:id="rId10"/>
      <w:footerReference w:type="default" r:id="rId11"/>
      <w:headerReference w:type="first" r:id="rId12"/>
      <w:footerReference w:type="first" r:id="rId13"/>
      <w:pgSz w:w="11907" w:h="16839" w:code="9"/>
      <w:pgMar w:top="729" w:right="360" w:bottom="1260" w:left="1080" w:header="432" w:footer="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0B5F" w14:textId="77777777" w:rsidR="00BA1409" w:rsidRDefault="00BA1409">
      <w:r>
        <w:separator/>
      </w:r>
    </w:p>
  </w:endnote>
  <w:endnote w:type="continuationSeparator" w:id="0">
    <w:p w14:paraId="363EB34E" w14:textId="77777777" w:rsidR="00BA1409" w:rsidRDefault="00B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inaBoldExpanded">
    <w:altName w:val="Calibri"/>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utonny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B4D8B" w14:textId="77777777" w:rsidR="00DD3697" w:rsidRDefault="00DD36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261D1" w14:textId="77777777" w:rsidR="00DD3697" w:rsidRDefault="00DD36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05DB2" w14:textId="77777777" w:rsidR="00DD3697" w:rsidRDefault="00DD3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502C9" w14:textId="77777777" w:rsidR="00BA1409" w:rsidRDefault="00BA1409">
      <w:r>
        <w:separator/>
      </w:r>
    </w:p>
  </w:footnote>
  <w:footnote w:type="continuationSeparator" w:id="0">
    <w:p w14:paraId="7B637CE7" w14:textId="77777777" w:rsidR="00BA1409" w:rsidRDefault="00BA1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88EA" w14:textId="37D37BF9" w:rsidR="0057274C" w:rsidRDefault="00000000" w:rsidP="00BC53B8">
    <w:pPr>
      <w:pStyle w:val="Header"/>
      <w:framePr w:wrap="around" w:vAnchor="text" w:hAnchor="margin" w:xAlign="right" w:y="1"/>
      <w:rPr>
        <w:rStyle w:val="PageNumber"/>
      </w:rPr>
    </w:pPr>
    <w:r>
      <w:rPr>
        <w:noProof/>
        <w14:ligatures w14:val="standardContextual"/>
      </w:rPr>
      <w:pict w14:anchorId="4747D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3248094" o:spid="_x0000_s1026" type="#_x0000_t75" style="position:absolute;margin-left:0;margin-top:0;width:523.1pt;height:523.1pt;z-index:-251655168;mso-position-horizontal:center;mso-position-horizontal-relative:margin;mso-position-vertical:center;mso-position-vertical-relative:margin" o:allowincell="f">
          <v:imagedata r:id="rId1" o:title="53296_1" gain="19661f" blacklevel="22938f"/>
          <w10:wrap anchorx="margin" anchory="margin"/>
        </v:shape>
      </w:pict>
    </w:r>
    <w:r w:rsidR="00DD3697">
      <w:rPr>
        <w:rStyle w:val="PageNumber"/>
      </w:rPr>
      <w:fldChar w:fldCharType="begin"/>
    </w:r>
    <w:r w:rsidR="00DD3697">
      <w:rPr>
        <w:rStyle w:val="PageNumber"/>
      </w:rPr>
      <w:instrText xml:space="preserve">PAGE  </w:instrText>
    </w:r>
    <w:r w:rsidR="00DD3697">
      <w:rPr>
        <w:rStyle w:val="PageNumber"/>
      </w:rPr>
      <w:fldChar w:fldCharType="end"/>
    </w:r>
  </w:p>
  <w:p w14:paraId="0D1B3F4B" w14:textId="77777777" w:rsidR="0057274C" w:rsidRDefault="0057274C" w:rsidP="00E5333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59DF6" w14:textId="29CCD144" w:rsidR="00DD3697" w:rsidRPr="00CD695E" w:rsidRDefault="00000000" w:rsidP="00DD3697">
    <w:pPr>
      <w:pStyle w:val="Header"/>
      <w:pBdr>
        <w:bottom w:val="thickThinSmallGap" w:sz="24" w:space="0" w:color="622423"/>
      </w:pBdr>
      <w:jc w:val="center"/>
      <w:rPr>
        <w:rFonts w:ascii="Century Gothic" w:hAnsi="Century Gothic" w:cs="SutonnyMJ"/>
        <w:bCs/>
        <w:sz w:val="36"/>
        <w:szCs w:val="28"/>
      </w:rPr>
    </w:pPr>
    <w:r>
      <w:rPr>
        <w:noProof/>
        <w:sz w:val="16"/>
        <w:szCs w:val="16"/>
        <w14:ligatures w14:val="standardContextual"/>
      </w:rPr>
      <w:pict w14:anchorId="3184EF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3248095" o:spid="_x0000_s1027" type="#_x0000_t75" style="position:absolute;left:0;text-align:left;margin-left:0;margin-top:0;width:523.1pt;height:523.1pt;z-index:-251654144;mso-position-horizontal:center;mso-position-horizontal-relative:margin;mso-position-vertical:center;mso-position-vertical-relative:margin" o:allowincell="f">
          <v:imagedata r:id="rId1" o:title="53296_1" gain="19661f" blacklevel="22938f"/>
          <w10:wrap anchorx="margin" anchory="margin"/>
        </v:shape>
      </w:pict>
    </w:r>
    <w:r w:rsidR="00DD3697" w:rsidRPr="00CD695E">
      <w:rPr>
        <w:noProof/>
        <w:sz w:val="16"/>
        <w:szCs w:val="16"/>
      </w:rPr>
      <w:drawing>
        <wp:anchor distT="0" distB="0" distL="114300" distR="114300" simplePos="0" relativeHeight="251659264" behindDoc="0" locked="0" layoutInCell="1" allowOverlap="1" wp14:anchorId="6793F2E3" wp14:editId="31D9E1EE">
          <wp:simplePos x="0" y="0"/>
          <wp:positionH relativeFrom="leftMargin">
            <wp:posOffset>362309</wp:posOffset>
          </wp:positionH>
          <wp:positionV relativeFrom="paragraph">
            <wp:posOffset>24873</wp:posOffset>
          </wp:positionV>
          <wp:extent cx="664234" cy="630777"/>
          <wp:effectExtent l="0" t="0" r="2540" b="0"/>
          <wp:wrapNone/>
          <wp:docPr id="239603863" name="Picture 2" descr="Description: Description: Description: Description: Description: Description: Description: Description: Description: Description: Description: na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Description: Description: Description: Description: Description: Description: Description: nasi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668252" cy="634592"/>
                  </a:xfrm>
                  <a:prstGeom prst="rect">
                    <a:avLst/>
                  </a:prstGeom>
                  <a:noFill/>
                  <a:ln>
                    <a:noFill/>
                  </a:ln>
                </pic:spPr>
              </pic:pic>
            </a:graphicData>
          </a:graphic>
          <wp14:sizeRelH relativeFrom="page">
            <wp14:pctWidth>0</wp14:pctWidth>
          </wp14:sizeRelH>
          <wp14:sizeRelV relativeFrom="page">
            <wp14:pctHeight>0</wp14:pctHeight>
          </wp14:sizeRelV>
        </wp:anchor>
      </w:drawing>
    </w:r>
    <w:r w:rsidR="00DD3697" w:rsidRPr="00CD695E">
      <w:rPr>
        <w:rFonts w:ascii="Century Gothic" w:hAnsi="Century Gothic" w:cs="SutonnyMJ"/>
        <w:b/>
        <w:sz w:val="36"/>
        <w:szCs w:val="28"/>
      </w:rPr>
      <w:t xml:space="preserve">Lantabur Group- </w:t>
    </w:r>
    <w:r w:rsidR="00DD3697" w:rsidRPr="00CD695E">
      <w:rPr>
        <w:rFonts w:ascii="Century Gothic" w:hAnsi="Century Gothic" w:cs="SutonnyMJ"/>
        <w:bCs/>
        <w:sz w:val="36"/>
        <w:szCs w:val="28"/>
      </w:rPr>
      <w:t>(Taqwa Fabrics LTD., Lantabur Apparel LTD., Yamin Accessories LTD.)</w:t>
    </w:r>
  </w:p>
  <w:p w14:paraId="3859C980" w14:textId="77777777" w:rsidR="00DD3697" w:rsidRPr="00E4536F" w:rsidRDefault="00DD3697" w:rsidP="00DD3697">
    <w:pPr>
      <w:pStyle w:val="Header"/>
      <w:pBdr>
        <w:bottom w:val="thickThinSmallGap" w:sz="24" w:space="0" w:color="622423"/>
      </w:pBdr>
      <w:jc w:val="center"/>
      <w:rPr>
        <w:rFonts w:ascii="Century Gothic" w:hAnsi="Century Gothic" w:cs="SutonnyMJ"/>
        <w:bCs/>
        <w:sz w:val="28"/>
        <w:szCs w:val="18"/>
        <w:lang w:val="de-DE"/>
      </w:rPr>
    </w:pPr>
    <w:r w:rsidRPr="005328C7">
      <w:rPr>
        <w:rFonts w:ascii="Century Gothic" w:hAnsi="Century Gothic" w:cs="SutonnyMJ"/>
        <w:bCs/>
        <w:sz w:val="26"/>
        <w:szCs w:val="18"/>
        <w:lang w:val="de-DE"/>
      </w:rPr>
      <w:t>Kewa, Boherar Chala, Sreepur, Gazipur</w:t>
    </w:r>
  </w:p>
  <w:p w14:paraId="6B8FD8CA" w14:textId="28B0E51F" w:rsidR="0057274C" w:rsidRPr="00A47B92" w:rsidRDefault="0057274C" w:rsidP="008A09B9">
    <w:pPr>
      <w:ind w:left="-180"/>
      <w:jc w:val="center"/>
      <w:rPr>
        <w:rFonts w:ascii="Tw Cen MT" w:hAnsi="Tw Cen MT"/>
        <w:w w:val="120"/>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8FF15" w14:textId="14575101" w:rsidR="00DD3697" w:rsidRDefault="00000000">
    <w:pPr>
      <w:pStyle w:val="Header"/>
    </w:pPr>
    <w:r>
      <w:rPr>
        <w:noProof/>
        <w14:ligatures w14:val="standardContextual"/>
      </w:rPr>
      <w:pict w14:anchorId="74CB5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3248093" o:spid="_x0000_s1025" type="#_x0000_t75" style="position:absolute;margin-left:0;margin-top:0;width:523.1pt;height:523.1pt;z-index:-251656192;mso-position-horizontal:center;mso-position-horizontal-relative:margin;mso-position-vertical:center;mso-position-vertical-relative:margin" o:allowincell="f">
          <v:imagedata r:id="rId1" o:title="53296_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D50E1E"/>
    <w:multiLevelType w:val="hybridMultilevel"/>
    <w:tmpl w:val="85F6C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53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11"/>
    <w:rsid w:val="002655C2"/>
    <w:rsid w:val="004720F0"/>
    <w:rsid w:val="00503611"/>
    <w:rsid w:val="005118FD"/>
    <w:rsid w:val="0057274C"/>
    <w:rsid w:val="0057605D"/>
    <w:rsid w:val="005F43FE"/>
    <w:rsid w:val="00646865"/>
    <w:rsid w:val="006566DF"/>
    <w:rsid w:val="006837BA"/>
    <w:rsid w:val="006F3B09"/>
    <w:rsid w:val="008A06A0"/>
    <w:rsid w:val="008B30B3"/>
    <w:rsid w:val="008F0F51"/>
    <w:rsid w:val="0098773B"/>
    <w:rsid w:val="009F4CE3"/>
    <w:rsid w:val="00A532B1"/>
    <w:rsid w:val="00B44539"/>
    <w:rsid w:val="00BA1409"/>
    <w:rsid w:val="00DD3697"/>
    <w:rsid w:val="00EB564D"/>
    <w:rsid w:val="00F60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88E7"/>
  <w15:chartTrackingRefBased/>
  <w15:docId w15:val="{6FEA8612-7840-4CB2-89A6-D22244EE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97"/>
    <w:pPr>
      <w:spacing w:after="0" w:line="240" w:lineRule="auto"/>
    </w:pPr>
    <w:rPr>
      <w:rFonts w:ascii="MoinaBoldExpanded" w:eastAsia="Times New Roman" w:hAnsi="MoinaBoldExpanded"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rsid w:val="006566DF"/>
    <w:pPr>
      <w:tabs>
        <w:tab w:val="center" w:pos="4320"/>
        <w:tab w:val="right" w:pos="8640"/>
      </w:tabs>
    </w:pPr>
  </w:style>
  <w:style w:type="character" w:customStyle="1" w:styleId="HeaderChar">
    <w:name w:val="Header Char"/>
    <w:aliases w:val=" Char Char"/>
    <w:basedOn w:val="DefaultParagraphFont"/>
    <w:link w:val="Header"/>
    <w:uiPriority w:val="99"/>
    <w:rsid w:val="006566DF"/>
    <w:rPr>
      <w:rFonts w:ascii="MoinaBoldExpanded" w:eastAsia="Times New Roman" w:hAnsi="MoinaBoldExpanded" w:cs="Times New Roman"/>
      <w:kern w:val="0"/>
      <w:sz w:val="24"/>
      <w:szCs w:val="24"/>
      <w14:ligatures w14:val="none"/>
    </w:rPr>
  </w:style>
  <w:style w:type="paragraph" w:styleId="Footer">
    <w:name w:val="footer"/>
    <w:basedOn w:val="Normal"/>
    <w:link w:val="FooterChar"/>
    <w:uiPriority w:val="99"/>
    <w:rsid w:val="006566DF"/>
    <w:pPr>
      <w:tabs>
        <w:tab w:val="center" w:pos="4320"/>
        <w:tab w:val="right" w:pos="8640"/>
      </w:tabs>
    </w:pPr>
  </w:style>
  <w:style w:type="character" w:customStyle="1" w:styleId="FooterChar">
    <w:name w:val="Footer Char"/>
    <w:basedOn w:val="DefaultParagraphFont"/>
    <w:link w:val="Footer"/>
    <w:uiPriority w:val="99"/>
    <w:rsid w:val="006566DF"/>
    <w:rPr>
      <w:rFonts w:ascii="MoinaBoldExpanded" w:eastAsia="Times New Roman" w:hAnsi="MoinaBoldExpanded" w:cs="Times New Roman"/>
      <w:kern w:val="0"/>
      <w:sz w:val="24"/>
      <w:szCs w:val="24"/>
      <w14:ligatures w14:val="none"/>
    </w:rPr>
  </w:style>
  <w:style w:type="character" w:styleId="PageNumber">
    <w:name w:val="page number"/>
    <w:basedOn w:val="DefaultParagraphFont"/>
    <w:rsid w:val="006566DF"/>
  </w:style>
  <w:style w:type="paragraph" w:styleId="ListParagraph">
    <w:name w:val="List Paragraph"/>
    <w:basedOn w:val="Normal"/>
    <w:uiPriority w:val="34"/>
    <w:qFormat/>
    <w:rsid w:val="006566DF"/>
    <w:pPr>
      <w:ind w:left="720"/>
      <w:contextualSpacing/>
    </w:pPr>
  </w:style>
  <w:style w:type="table" w:styleId="TableGrid">
    <w:name w:val="Table Grid"/>
    <w:basedOn w:val="TableNormal"/>
    <w:uiPriority w:val="39"/>
    <w:rsid w:val="00DD3697"/>
    <w:pPr>
      <w:spacing w:after="0" w:line="240" w:lineRule="auto"/>
    </w:pPr>
    <w:rPr>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cid:image001.jpg@01D37DA6.00D04A50"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D670B-1C22-4AA1-8E32-8332F3270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Hossain</dc:creator>
  <cp:keywords/>
  <dc:description/>
  <cp:lastModifiedBy>Kamrul Hasan</cp:lastModifiedBy>
  <cp:revision>11</cp:revision>
  <cp:lastPrinted>2024-08-19T06:19:00Z</cp:lastPrinted>
  <dcterms:created xsi:type="dcterms:W3CDTF">2023-08-21T02:23:00Z</dcterms:created>
  <dcterms:modified xsi:type="dcterms:W3CDTF">2024-08-19T06:19:00Z</dcterms:modified>
</cp:coreProperties>
</file>