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7.992" w:lineRule="auto"/>
        <w:jc w:val="center"/>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Times New Roman" w:eastAsia="Times New Roman" w:hAnsi="Times New Roman"/>
          <w:b w:val="1"/>
          <w:bCs w:val="1"/>
          <w:sz w:val="28"/>
          <w:szCs w:val="28"/>
        </w:rPr>
        <w:drawing>
          <wp:inline distB="19050" distT="19050" distL="19050" distR="19050">
            <wp:extent cx="4562475" cy="1549041"/>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562475" cy="15490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The Impact of Gross Fixed Capital Formation and Gross Domestic Savings on Economic Growth in India: An ARDL Approach (1990-2025)</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Fonts w:ascii="Times New Roman" w:cs="Times New Roman" w:eastAsia="Times New Roman" w:hAnsi="Times New Roman"/>
          <w:sz w:val="28"/>
          <w:szCs w:val="28"/>
          <w:rtl w:val="0"/>
        </w:rPr>
        <w:t xml:space="preserve">Raihan Sadath 2333442</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SUBMITTED TO:</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Fonts w:ascii="Times New Roman" w:cs="Times New Roman" w:eastAsia="Times New Roman" w:hAnsi="Times New Roman"/>
          <w:sz w:val="28"/>
          <w:szCs w:val="28"/>
          <w:rtl w:val="0"/>
        </w:rPr>
        <w:t xml:space="preserve">Dr. Augustine Joseph</w: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Fonts w:ascii="Times New Roman" w:cs="Times New Roman" w:eastAsia="Times New Roman" w:hAnsi="Times New Roman"/>
          <w:sz w:val="28"/>
          <w:szCs w:val="28"/>
          <w:rtl w:val="0"/>
        </w:rPr>
        <w:t xml:space="preserve">CIA-I</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ECO403-7 Applied Econometrics</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DEPARTMENT OF ECONOMICS</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CHRIST (DEEMED TO BE UNIVERSITY), BRC</w:t>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10th July, 2026</w:t>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8"/>
          <w:szCs w:val="28"/>
          <w:rtl w:val="0"/>
        </w:rPr>
        <w:t xml:space="preserve">Declaration of AI Usage</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was prepared with assistance from OpenAI’s GPT-5 model, which was used only to edit language, improve clarity, and summarise content provided by the authors. All ideas, arguments, and research findings originate entirely from the authors. The AI tool’s role was limited to language refinement and summarisation.</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Fonts w:ascii="Times New Roman" w:cs="Times New Roman" w:eastAsia="Times New Roman" w:hAnsi="Times New Roman"/>
          <w:b w:val="1"/>
          <w:bCs w:val="1"/>
          <w:sz w:val="28"/>
          <w:szCs w:val="28"/>
          <w:rtl w:val="0"/>
        </w:rPr>
        <w:t xml:space="preserve">1. Introduction</w:t>
        <w:br w:type="textWrapping"/>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One of the primary goals of macroeconomic policy has been economic growth, especially in developing economies like India, where growth is crucial to sustain the quality of life, employment and structural transformation. Empirically, the Harrod-Domar growth model focuses on the importance of saving to finance investment and growth of productive capacity (</w:t>
      </w:r>
      <w:hyperlink r:id="rId7">
        <w:r w:rsidDel="00000000" w:rsidR="00000000" w:rsidRPr="00000000">
          <w:rPr>
            <w:rFonts w:ascii="Times New Roman" w:cs="Times New Roman" w:eastAsia="Times New Roman" w:hAnsi="Times New Roman"/>
            <w:sz w:val="23"/>
            <w:szCs w:val="23"/>
            <w:rtl w:val="0"/>
          </w:rPr>
          <w:t xml:space="preserve">Harrod</w:t>
        </w:r>
      </w:hyperlink>
      <w:r w:rsidDel="00000000" w:rsidR="00000000" w:rsidRPr="00000000">
        <w:rPr>
          <w:rFonts w:ascii="Times New Roman" w:cs="Times New Roman" w:eastAsia="Times New Roman" w:hAnsi="Times New Roman"/>
          <w:sz w:val="23"/>
          <w:szCs w:val="23"/>
          <w:rtl w:val="0"/>
        </w:rPr>
        <w:t xml:space="preserve">, 1939; </w:t>
      </w:r>
      <w:hyperlink r:id="rId8">
        <w:r w:rsidDel="00000000" w:rsidR="00000000" w:rsidRPr="00000000">
          <w:rPr>
            <w:rFonts w:ascii="Times New Roman" w:cs="Times New Roman" w:eastAsia="Times New Roman" w:hAnsi="Times New Roman"/>
            <w:sz w:val="23"/>
            <w:szCs w:val="23"/>
            <w:rtl w:val="0"/>
          </w:rPr>
          <w:t xml:space="preserve">Domar</w:t>
        </w:r>
      </w:hyperlink>
      <w:r w:rsidDel="00000000" w:rsidR="00000000" w:rsidRPr="00000000">
        <w:rPr>
          <w:rFonts w:ascii="Times New Roman" w:cs="Times New Roman" w:eastAsia="Times New Roman" w:hAnsi="Times New Roman"/>
          <w:sz w:val="23"/>
          <w:szCs w:val="23"/>
          <w:rtl w:val="0"/>
        </w:rPr>
        <w:t xml:space="preserve">, 1946), while the neoclassical growth model places a greater emphasis on growth arising from capital accumulation (Gross Fixed Capital Formation (GFCF) in the economy (</w:t>
      </w:r>
      <w:hyperlink r:id="rId9">
        <w:r w:rsidDel="00000000" w:rsidR="00000000" w:rsidRPr="00000000">
          <w:rPr>
            <w:rFonts w:ascii="Times New Roman" w:cs="Times New Roman" w:eastAsia="Times New Roman" w:hAnsi="Times New Roman"/>
            <w:sz w:val="23"/>
            <w:szCs w:val="23"/>
            <w:rtl w:val="0"/>
          </w:rPr>
          <w:t xml:space="preserve">Solow</w:t>
        </w:r>
      </w:hyperlink>
      <w:r w:rsidDel="00000000" w:rsidR="00000000" w:rsidRPr="00000000">
        <w:rPr>
          <w:rFonts w:ascii="Times New Roman" w:cs="Times New Roman" w:eastAsia="Times New Roman" w:hAnsi="Times New Roman"/>
          <w:sz w:val="23"/>
          <w:szCs w:val="23"/>
          <w:rtl w:val="0"/>
        </w:rPr>
        <w:t xml:space="preserve">, 1956; </w:t>
      </w:r>
      <w:hyperlink r:id="rId10">
        <w:r w:rsidDel="00000000" w:rsidR="00000000" w:rsidRPr="00000000">
          <w:rPr>
            <w:rFonts w:ascii="Times New Roman" w:cs="Times New Roman" w:eastAsia="Times New Roman" w:hAnsi="Times New Roman"/>
            <w:sz w:val="23"/>
            <w:szCs w:val="23"/>
            <w:rtl w:val="0"/>
          </w:rPr>
          <w:t xml:space="preserve">Romer</w:t>
        </w:r>
      </w:hyperlink>
      <w:r w:rsidDel="00000000" w:rsidR="00000000" w:rsidRPr="00000000">
        <w:rPr>
          <w:rFonts w:ascii="Times New Roman" w:cs="Times New Roman" w:eastAsia="Times New Roman" w:hAnsi="Times New Roman"/>
          <w:sz w:val="23"/>
          <w:szCs w:val="23"/>
          <w:rtl w:val="0"/>
        </w:rPr>
        <w:t xml:space="preserve">, 1986). The Indian context also suggests that increases in investment and savings have often been associated with accelerated economic expansion (</w:t>
      </w:r>
      <w:hyperlink r:id="rId11">
        <w:r w:rsidDel="00000000" w:rsidR="00000000" w:rsidRPr="00000000">
          <w:rPr>
            <w:rFonts w:ascii="Times New Roman" w:cs="Times New Roman" w:eastAsia="Times New Roman" w:hAnsi="Times New Roman"/>
            <w:sz w:val="23"/>
            <w:szCs w:val="23"/>
            <w:rtl w:val="0"/>
          </w:rPr>
          <w:t xml:space="preserve">Ahluwalia</w:t>
        </w:r>
      </w:hyperlink>
      <w:r w:rsidDel="00000000" w:rsidR="00000000" w:rsidRPr="00000000">
        <w:rPr>
          <w:rFonts w:ascii="Times New Roman" w:cs="Times New Roman" w:eastAsia="Times New Roman" w:hAnsi="Times New Roman"/>
          <w:sz w:val="23"/>
          <w:szCs w:val="23"/>
          <w:rtl w:val="0"/>
        </w:rPr>
        <w:t xml:space="preserve">, 2002) and that macroeconomic variables may exhibit different orders of integration to sluggishly adjust to the impacts of economic shocks; static estimation techniques can lead to incorrect or incomplete conclusions about the long-run relationships between macroeconomic variables (</w:t>
      </w:r>
      <w:hyperlink r:id="rId12">
        <w:r w:rsidDel="00000000" w:rsidR="00000000" w:rsidRPr="00000000">
          <w:rPr>
            <w:rFonts w:ascii="Times New Roman" w:cs="Times New Roman" w:eastAsia="Times New Roman" w:hAnsi="Times New Roman"/>
            <w:sz w:val="23"/>
            <w:szCs w:val="23"/>
            <w:rtl w:val="0"/>
          </w:rPr>
          <w:t xml:space="preserve">Engle and Granger</w:t>
        </w:r>
      </w:hyperlink>
      <w:r w:rsidDel="00000000" w:rsidR="00000000" w:rsidRPr="00000000">
        <w:rPr>
          <w:rFonts w:ascii="Times New Roman" w:cs="Times New Roman" w:eastAsia="Times New Roman" w:hAnsi="Times New Roman"/>
          <w:sz w:val="23"/>
          <w:szCs w:val="23"/>
          <w:rtl w:val="0"/>
        </w:rPr>
        <w:t xml:space="preserve">, 1987).</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To overcome this limitation, the current study examines the ARDL approach for studying long-run and short-run dynamics among GDP growth, Gross Fixed Capital Formation (GFCF) growth, and Gross Domestic Savings (GDS) in India between 1990 and 2025 and concludes with an understanding of India's growth dynamics.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Fonts w:ascii="Times New Roman" w:cs="Times New Roman" w:eastAsia="Times New Roman" w:hAnsi="Times New Roman"/>
          <w:b w:val="1"/>
          <w:bCs w:val="1"/>
          <w:sz w:val="28"/>
          <w:szCs w:val="28"/>
          <w:rtl w:val="0"/>
        </w:rPr>
        <w:t xml:space="preserve">2. Literature Review</w:t>
      </w: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evidence generally supports the existence of a positive relationship between savings, investment, and economic growth, although the magnitude and direction of these relationships differ across countries and methodologies. In a study titled “</w:t>
      </w:r>
      <w:r w:rsidDel="00000000" w:rsidR="00000000" w:rsidRPr="00000000">
        <w:rPr>
          <w:rFonts w:ascii="Times New Roman" w:cs="Times New Roman" w:eastAsia="Times New Roman" w:hAnsi="Times New Roman"/>
          <w:i w:val="1"/>
          <w:iCs w:val="1"/>
          <w:sz w:val="24"/>
          <w:szCs w:val="24"/>
          <w:rtl w:val="0"/>
        </w:rPr>
        <w:t xml:space="preserve">Dynamic Interaction Between Savings, Investment and Economic Growth in India”</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sz w:val="24"/>
            <w:szCs w:val="24"/>
            <w:rtl w:val="0"/>
          </w:rPr>
          <w:t xml:space="preserve">(Varghese, 2025)</w:t>
        </w:r>
      </w:hyperlink>
      <w:r w:rsidDel="00000000" w:rsidR="00000000" w:rsidRPr="00000000">
        <w:rPr>
          <w:rFonts w:ascii="Times New Roman" w:cs="Times New Roman" w:eastAsia="Times New Roman" w:hAnsi="Times New Roman"/>
          <w:sz w:val="24"/>
          <w:szCs w:val="24"/>
          <w:rtl w:val="0"/>
        </w:rPr>
        <w:t xml:space="preserve"> employed the ARDL framework and found a long-run cointegrating relationship among Gross Domestic Savings (GDS), Gross Fixed Capital Formation (GFCF), and GDP.</w:t>
      </w:r>
      <w:r w:rsidDel="00000000" w:rsidR="00000000" w:rsidRPr="00000000">
        <w:rPr>
          <w:rFonts w:ascii="Times New Roman" w:cs="Times New Roman" w:eastAsia="Times New Roman" w:hAnsi="Times New Roman"/>
          <w:sz w:val="23"/>
          <w:szCs w:val="23"/>
          <w:rtl w:val="0"/>
        </w:rPr>
        <w:t xml:space="preserve"> In the short run, however, the study found that savings and investment are significant factors in influencing GDP growth, but there is little evidence.</w:t>
      </w:r>
      <w:r w:rsidDel="00000000" w:rsidR="00000000" w:rsidRPr="00000000">
        <w:rPr>
          <w:rFonts w:ascii="Times New Roman" w:cs="Times New Roman" w:eastAsia="Times New Roman" w:hAnsi="Times New Roman"/>
          <w:sz w:val="24"/>
          <w:szCs w:val="24"/>
          <w:rtl w:val="0"/>
        </w:rPr>
        <w:t xml:space="preserve"> Similarly, </w:t>
      </w:r>
      <w:r w:rsidDel="00000000" w:rsidR="00000000" w:rsidRPr="00000000">
        <w:rPr>
          <w:rFonts w:ascii="Times New Roman" w:cs="Times New Roman" w:eastAsia="Times New Roman" w:hAnsi="Times New Roman"/>
          <w:i w:val="1"/>
          <w:iCs w:val="1"/>
          <w:sz w:val="24"/>
          <w:szCs w:val="24"/>
          <w:rtl w:val="0"/>
        </w:rPr>
        <w:t xml:space="preserve">“The Impact of Gross Capital Formation on Economic Growth: Evidence from India”</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sz w:val="24"/>
            <w:szCs w:val="24"/>
            <w:rtl w:val="0"/>
          </w:rPr>
          <w:t xml:space="preserve">(Reddy &amp; Ramaiah, 2020)</w:t>
        </w:r>
      </w:hyperlink>
      <w:r w:rsidDel="00000000" w:rsidR="00000000" w:rsidRPr="00000000">
        <w:rPr>
          <w:rFonts w:ascii="Times New Roman" w:cs="Times New Roman" w:eastAsia="Times New Roman" w:hAnsi="Times New Roman"/>
          <w:sz w:val="24"/>
          <w:szCs w:val="24"/>
          <w:rtl w:val="0"/>
        </w:rPr>
        <w:t xml:space="preserve"> used annual Indian data and the ARDL approach to conclude that gross capital formation exerts a positive and statistically significant effect on economic growth, reinforcing the importance of investment-led growth strategies.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from broader macroeconomic studies also highlights the significance of capital formation in promoting long-run development. In the paper titled “</w:t>
      </w:r>
      <w:r w:rsidDel="00000000" w:rsidR="00000000" w:rsidRPr="00000000">
        <w:rPr>
          <w:rFonts w:ascii="Times New Roman" w:cs="Times New Roman" w:eastAsia="Times New Roman" w:hAnsi="Times New Roman"/>
          <w:i w:val="1"/>
          <w:iCs w:val="1"/>
          <w:sz w:val="24"/>
          <w:szCs w:val="24"/>
          <w:rtl w:val="0"/>
        </w:rPr>
        <w:t xml:space="preserve">Determinants of Economic Growth in India: A Time Series Analysis”</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rtl w:val="0"/>
          </w:rPr>
          <w:t xml:space="preserve">(Das, M.K., 2020)</w:t>
        </w:r>
      </w:hyperlink>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rtl w:val="0"/>
        </w:rPr>
        <w:t xml:space="preserve">established that among the key macroeconomic determinants of economic growth, capital formation plays an important role but the impact of capital formation on economic growth depends on the macroeconomic environment and policy measures.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Fonts w:ascii="Times New Roman" w:cs="Times New Roman" w:eastAsia="Times New Roman" w:hAnsi="Times New Roman"/>
          <w:b w:val="1"/>
          <w:bCs w:val="1"/>
          <w:sz w:val="28"/>
          <w:szCs w:val="28"/>
          <w:rtl w:val="0"/>
        </w:rPr>
        <w:t xml:space="preserve">3. Research Methodology</w:t>
      </w: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quantitative time-series research design to examine the relationship between GDP growth, Gross Fixed Capital Formation (GFCF), and Gross Domestic Savings in India over the period 1990-2025. Secondary data were collected from reputed Indian sources, namely the RBI (Handbook of Statistics on the Indian Economy), MoSPI (National Account Statistics), and NITI Aayog, which were further compiled and organised using Microsoft Excel before being imported into EViews 9 for statistical processing and econometric analysis. The methodology begins with descriptive statistics to summarise the characteristics of the variables, followed by testing for stationarity using graphs, correlograms, and unit root tests. Gross Domestic Savings were made stationary at the 1st difference, post which ARDL was run using level values of the dependent variable (GDP growth rate) and GFCF growth rate as the first independent variable. Further on, coefficient and residual diagnostic tests have been run to check for the validity and quality of the data, along with checking for the length of the relationship between the variables.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Justification for ARDL Model:</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ARDL model was selected because the variables exhibit a mixed order of integration, with GDP Growth and GFCF Growth integrated of order zero, I(0), and Gross Domestic Savings integrated of order one, I(1). Unlike conventional cointegration techniques, the ARDL approach permits the estimation of models containing both I(0) and I(1) variables, provided none is I(2) </w:t>
      </w:r>
      <w:hyperlink r:id="rId16">
        <w:r w:rsidDel="00000000" w:rsidR="00000000" w:rsidRPr="00000000">
          <w:rPr>
            <w:rFonts w:ascii="Times New Roman" w:cs="Times New Roman" w:eastAsia="Times New Roman" w:hAnsi="Times New Roman"/>
            <w:sz w:val="24"/>
            <w:szCs w:val="24"/>
            <w:rtl w:val="0"/>
          </w:rPr>
          <w:t xml:space="preserve">(Pesaran et al., 2001)</w:t>
        </w:r>
      </w:hyperlink>
      <w:r w:rsidDel="00000000" w:rsidR="00000000" w:rsidRPr="00000000">
        <w:rPr>
          <w:rFonts w:ascii="Times New Roman" w:cs="Times New Roman" w:eastAsia="Times New Roman" w:hAnsi="Times New Roman"/>
          <w:sz w:val="24"/>
          <w:szCs w:val="24"/>
          <w:rtl w:val="0"/>
        </w:rPr>
        <w:t xml:space="preserve">. Additionally, the method is appropriate for small sample sizes and enables the estimation of both short-run dynamics and long-run equilibrium relationships within a unified framework.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All EViews screenshots are included in the appendix)</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Fonts w:ascii="Times New Roman" w:cs="Times New Roman" w:eastAsia="Times New Roman" w:hAnsi="Times New Roman"/>
          <w:b w:val="1"/>
          <w:bCs w:val="1"/>
          <w:sz w:val="28"/>
          <w:szCs w:val="28"/>
          <w:rtl w:val="0"/>
        </w:rPr>
        <w:t xml:space="preserve">4. Data Analysis and Interpretation</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Summary Statistics</w:t>
      </w: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Table 1: Summary Statistics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 (DV)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GFCF Growth (%) (IV-1)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GDS (% of GDP) (IV-2)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Jarque-Bera (p-values)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r>
    </w:tbl>
    <w:p w:rsidR="00000000" w:rsidDel="00000000" w:rsidP="00000000" w:rsidRDefault="00000000" w:rsidRPr="00000000" w14:paraId="00000069">
      <w:pPr>
        <w:spacing w:line="360" w:lineRule="auto"/>
        <w:rPr>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Analyses here are based on 36 annual observations covering the period 1990-2025. The average GDP growth rate is 6.15%, while Gross Fixed Capital Formation (GFCF) records a mean growth rate of 7.81%, indicating relatively higher investment growth over the sample period. Gross Domestic Savings (GDS) averages 28.80% of GDP, reflecting a stable level of domestic savings in the Indian economy. Among the variables, GFCF exhibits the highest variability (standard deviation = 6.75), suggesting that investment growth experienced greater fluctuations than GDP growth and GDS. The Jarque-Bera normality test indicates that GFCF (p = 0.78) and GDS (p = 0.18) are normally distributed, whereas GDP growth (p = 0.00) deviates from normality, likely due to extreme economic shocks during the study period. However, the ARDL methodology does not require the explanatory variables to be normally distributed, and therefore the non-normality of GDP growth does not affect the suitability of the model. </w:t>
      </w:r>
    </w:p>
    <w:p w:rsidR="00000000" w:rsidDel="00000000" w:rsidP="00000000" w:rsidRDefault="00000000" w:rsidRPr="00000000" w14:paraId="0000006B">
      <w:pPr>
        <w:spacing w:line="360" w:lineRule="auto"/>
        <w:jc w:val="both"/>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4.2 Correlation Matrix </w:t>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Table 2: Pearson correlation matrix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GFCF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GDS (% of GDP)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GFCF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GDS (% of 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 growth exhibits a moderately positive correlation with GFCF growth (r = 0.624), suggesting that higher investment growth is associated with higher economic growth. GDP growth also shows a weak positive correlation with GDS (r = 0.353), while the correlation between GFCF growth and GDS is weak (r = 0.151). Overall, none of the correlation coefficients exceeds the commonly accepted threshold of 0.80, indicating that severe multicollinearity is unlikely to be a concern in the model. </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Stationarity Analysis</w:t>
      </w:r>
    </w:p>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4.3.1 Graphical Analysis</w:t>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3149" cy="1895801"/>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03149" cy="189580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51820" cy="1904674"/>
            <wp:effectExtent b="0" l="0" r="0" t="0"/>
            <wp:docPr id="2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951820" cy="190467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00238" cy="1909982"/>
            <wp:effectExtent b="0" l="0" r="0" t="0"/>
            <wp:docPr id="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900238" cy="190998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[figures 1,2,3 in order of GDP, GFCF, d(GDS)]</w:t>
      </w:r>
    </w:p>
    <w:p w:rsidR="00000000" w:rsidDel="00000000" w:rsidP="00000000" w:rsidRDefault="00000000" w:rsidRPr="00000000" w14:paraId="0000008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 and GFCF growth fluctuate around a relatively constant mean with no persistent trend, suggesting stationary behaviour at level. In contrast, GDS exhibited a clear upward trend at level, hence the first-differenced series of GDS is presented, providing preliminary evidence of stationarity. </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4.3.2 Correlogram Analysis</w:t>
      </w: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run to check the immediate presence of Autocorrelation and Partial Autocorrelation, but the spikes were within the controlled region as indicated by the boundaries. An exception was noted in the case of GDS at level, but at 1st difference, it was corrected.</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Correlograms were generated using the default lag length of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automatically selected by EViews, check Appendix for results)</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4.3.3 Unit Root Tests </w:t>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Summary of ADF and Phillips-Perron Unit Root Test Results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 (ADF)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 (PP-test)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Stationarity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of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GFCF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GDS (% of 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difference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w:t>
            </w:r>
          </w:p>
        </w:tc>
      </w:tr>
    </w:tbl>
    <w:p w:rsidR="00000000" w:rsidDel="00000000" w:rsidP="00000000" w:rsidRDefault="00000000" w:rsidRPr="00000000" w14:paraId="000000A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i w:val="1"/>
          <w:iCs w:val="1"/>
          <w:sz w:val="24"/>
          <w:szCs w:val="24"/>
          <w:rtl w:val="0"/>
        </w:rPr>
        <w:t xml:space="preserve"> For GDS, the reported p-values correspond to the first-differenced series; the lag length selection criterion has been automatically set by the software)</w:t>
      </w:r>
    </w:p>
    <w:p w:rsidR="00000000" w:rsidDel="00000000" w:rsidP="00000000" w:rsidRDefault="00000000" w:rsidRPr="00000000" w14:paraId="000000A9">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Variable has a unit root</w:t>
      </w:r>
    </w:p>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Variable does not have a unit root</w:t>
      </w:r>
    </w:p>
    <w:p w:rsidR="00000000" w:rsidDel="00000000" w:rsidP="00000000" w:rsidRDefault="00000000" w:rsidRPr="00000000" w14:paraId="000000AC">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Augmented Dickey-Fuller (ADF) and Phillips-Perron (PP) unit root tests conducted to determine the order of integration of the variables indicate that the dependent variable, GDP Growth and the independent variable, Gross Fixed Capital Formation (GFCF) Growth, are stationary at level, as both the ADF and PP tests reject the null hypothesis of a unit root at the 5% significance level. In contrast, Gross Domestic Savings (GDS) as the second independent variable is found to be non-stationary at level but becomes stationary after first differencing, indicating that the variable is integrated of order one, I(1). None is integrated of order I(2); the application of the Autoregressive Distributed Lag (ARDL) approach is considered appropriate for the present study. Also, the KPSS test is not run here because of enough supporting evidence suggesting stationarity in the chosen variables.</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Autoregressive Distributed Lag method and analysis (ARDL)</w:t>
      </w:r>
    </w:p>
    <w:p w:rsidR="00000000" w:rsidDel="00000000" w:rsidP="00000000" w:rsidRDefault="00000000" w:rsidRPr="00000000" w14:paraId="000000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Summary of ARDL (1,0,0)</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GDP Growth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GFCF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(Gross Domestic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Significant</w:t>
            </w:r>
          </w:p>
        </w:tc>
      </w:tr>
    </w:tbl>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Equation: </w:t>
      </w:r>
      <w:r w:rsidDel="00000000" w:rsidR="00000000" w:rsidRPr="00000000">
        <w:rPr>
          <w:rFonts w:ascii="Times New Roman" w:cs="Times New Roman" w:eastAsia="Times New Roman" w:hAnsi="Times New Roman"/>
          <w:b w:val="1"/>
          <w:bCs w:val="1"/>
          <w:i w:val="1"/>
          <w:iCs w:val="1"/>
          <w:sz w:val="24"/>
          <w:szCs w:val="24"/>
          <w:rtl w:val="0"/>
        </w:rPr>
        <w:t xml:space="preserve">GDP</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b w:val="1"/>
          <w:bCs w:val="1"/>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i w:val="1"/>
          <w:iCs w:val="1"/>
          <w:sz w:val="24"/>
          <w:szCs w:val="24"/>
          <w:vertAlign w:val="subscript"/>
          <w:rtl w:val="0"/>
        </w:rPr>
        <w:t xml:space="preserve">0 </w:t>
      </w:r>
      <w:r w:rsidDel="00000000" w:rsidR="00000000" w:rsidRPr="00000000">
        <w:rPr>
          <w:rFonts w:ascii="Times New Roman" w:cs="Times New Roman" w:eastAsia="Times New Roman" w:hAnsi="Times New Roman"/>
          <w:i w:val="1"/>
          <w:iCs w:val="1"/>
          <w:sz w:val="24"/>
          <w:szCs w:val="24"/>
          <w:rtl w:val="0"/>
        </w:rPr>
        <w:t xml:space="preserve">​+ β</w:t>
      </w:r>
      <w:r w:rsidDel="00000000" w:rsidR="00000000" w:rsidRPr="00000000">
        <w:rPr>
          <w:rFonts w:ascii="Times New Roman" w:cs="Times New Roman" w:eastAsia="Times New Roman" w:hAnsi="Times New Roman"/>
          <w:i w:val="1"/>
          <w:iCs w:val="1"/>
          <w:sz w:val="24"/>
          <w:szCs w:val="24"/>
          <w:vertAlign w:val="subscript"/>
          <w:rtl w:val="0"/>
        </w:rPr>
        <w:t xml:space="preserve">1</w:t>
      </w:r>
      <w:r w:rsidDel="00000000" w:rsidR="00000000" w:rsidRPr="00000000">
        <w:rPr>
          <w:rFonts w:ascii="Times New Roman" w:cs="Times New Roman" w:eastAsia="Times New Roman" w:hAnsi="Times New Roman"/>
          <w:i w:val="1"/>
          <w:iCs w:val="1"/>
          <w:sz w:val="24"/>
          <w:szCs w:val="24"/>
          <w:rtl w:val="0"/>
        </w:rPr>
        <w:t xml:space="preserve">GDP</w:t>
      </w:r>
      <w:r w:rsidDel="00000000" w:rsidR="00000000" w:rsidRPr="00000000">
        <w:rPr>
          <w:rFonts w:ascii="Times New Roman" w:cs="Times New Roman" w:eastAsia="Times New Roman" w:hAnsi="Times New Roman"/>
          <w:i w:val="1"/>
          <w:iCs w:val="1"/>
          <w:sz w:val="24"/>
          <w:szCs w:val="24"/>
          <w:vertAlign w:val="subscript"/>
          <w:rtl w:val="0"/>
        </w:rPr>
        <w:t xml:space="preserve">(t-1)</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24"/>
          <w:szCs w:val="24"/>
          <w:vertAlign w:val="sub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​GFCF</w:t>
      </w:r>
      <w:r w:rsidDel="00000000" w:rsidR="00000000" w:rsidRPr="00000000">
        <w:rPr>
          <w:rFonts w:ascii="Times New Roman" w:cs="Times New Roman" w:eastAsia="Times New Roman" w:hAnsi="Times New Roman"/>
          <w:i w:val="1"/>
          <w:iCs w:val="1"/>
          <w:sz w:val="24"/>
          <w:szCs w:val="24"/>
          <w:vertAlign w:val="subscript"/>
          <w:rtl w:val="0"/>
        </w:rPr>
        <w:t xml:space="preserve">t </w:t>
      </w:r>
      <w:r w:rsidDel="00000000" w:rsidR="00000000" w:rsidRPr="00000000">
        <w:rPr>
          <w:rFonts w:ascii="Times New Roman" w:cs="Times New Roman" w:eastAsia="Times New Roman" w:hAnsi="Times New Roman"/>
          <w:i w:val="1"/>
          <w:iCs w:val="1"/>
          <w:sz w:val="24"/>
          <w:szCs w:val="24"/>
          <w:rtl w:val="0"/>
        </w:rPr>
        <w:t xml:space="preserve">+ β</w:t>
      </w:r>
      <w:r w:rsidDel="00000000" w:rsidR="00000000" w:rsidRPr="00000000">
        <w:rPr>
          <w:rFonts w:ascii="Times New Roman" w:cs="Times New Roman" w:eastAsia="Times New Roman" w:hAnsi="Times New Roman"/>
          <w:i w:val="1"/>
          <w:iCs w:val="1"/>
          <w:sz w:val="24"/>
          <w:szCs w:val="24"/>
          <w:vertAlign w:val="subscript"/>
          <w:rtl w:val="0"/>
        </w:rPr>
        <w:t xml:space="preserve">0</w:t>
      </w:r>
      <w:r w:rsidDel="00000000" w:rsidR="00000000" w:rsidRPr="00000000">
        <w:rPr>
          <w:rFonts w:ascii="Times New Roman" w:cs="Times New Roman" w:eastAsia="Times New Roman" w:hAnsi="Times New Roman"/>
          <w:i w:val="1"/>
          <w:iCs w:val="1"/>
          <w:sz w:val="24"/>
          <w:szCs w:val="24"/>
          <w:rtl w:val="0"/>
        </w:rPr>
        <w:t xml:space="preserve">​D(GDS</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i w:val="1"/>
          <w:iCs w:val="1"/>
          <w:sz w:val="24"/>
          <w:szCs w:val="24"/>
          <w:rtl w:val="0"/>
        </w:rPr>
        <w:t xml:space="preserve">​) + ε</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360" w:lineRule="auto"/>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b w:val="1"/>
          <w:bCs w:val="1"/>
          <w:sz w:val="24"/>
          <w:szCs w:val="24"/>
          <w:rtl w:val="0"/>
        </w:rPr>
        <w:t xml:space="preserve">Substituting Coefficients: </w:t>
      </w:r>
      <w:r w:rsidDel="00000000" w:rsidR="00000000" w:rsidRPr="00000000">
        <w:rPr>
          <w:rFonts w:ascii="Times New Roman" w:cs="Times New Roman" w:eastAsia="Times New Roman" w:hAnsi="Times New Roman"/>
          <w:i w:val="1"/>
          <w:iCs w:val="1"/>
          <w:sz w:val="24"/>
          <w:szCs w:val="24"/>
          <w:rtl w:val="0"/>
        </w:rPr>
        <w:t xml:space="preserve">3.37</w:t>
      </w:r>
      <w:r w:rsidDel="00000000" w:rsidR="00000000" w:rsidRPr="00000000">
        <w:rPr>
          <w:rFonts w:ascii="Times New Roman" w:cs="Times New Roman" w:eastAsia="Times New Roman" w:hAnsi="Times New Roman"/>
          <w:i w:val="1"/>
          <w:iCs w:val="1"/>
          <w:sz w:val="24"/>
          <w:szCs w:val="24"/>
          <w:vertAlign w:val="subscript"/>
          <w:rtl w:val="0"/>
        </w:rPr>
        <w:t xml:space="preserve"> </w:t>
      </w:r>
      <w:r w:rsidDel="00000000" w:rsidR="00000000" w:rsidRPr="00000000">
        <w:rPr>
          <w:rFonts w:ascii="Times New Roman" w:cs="Times New Roman" w:eastAsia="Times New Roman" w:hAnsi="Times New Roman"/>
          <w:i w:val="1"/>
          <w:iCs w:val="1"/>
          <w:sz w:val="24"/>
          <w:szCs w:val="24"/>
          <w:rtl w:val="0"/>
        </w:rPr>
        <w:t xml:space="preserve">​+ 0.108[GDP</w:t>
      </w:r>
      <w:r w:rsidDel="00000000" w:rsidR="00000000" w:rsidRPr="00000000">
        <w:rPr>
          <w:rFonts w:ascii="Times New Roman" w:cs="Times New Roman" w:eastAsia="Times New Roman" w:hAnsi="Times New Roman"/>
          <w:i w:val="1"/>
          <w:iCs w:val="1"/>
          <w:sz w:val="24"/>
          <w:szCs w:val="24"/>
          <w:vertAlign w:val="subscript"/>
          <w:rtl w:val="0"/>
        </w:rPr>
        <w:t xml:space="preserve">(t-1)</w:t>
      </w:r>
      <w:r w:rsidDel="00000000" w:rsidR="00000000" w:rsidRPr="00000000">
        <w:rPr>
          <w:rFonts w:ascii="Times New Roman" w:cs="Times New Roman" w:eastAsia="Times New Roman" w:hAnsi="Times New Roman"/>
          <w:i w:val="1"/>
          <w:iCs w:val="1"/>
          <w:sz w:val="24"/>
          <w:szCs w:val="24"/>
          <w:rtl w:val="0"/>
        </w:rPr>
        <w:t xml:space="preserve">​] + ​0.261[GFCF</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vertAlign w:val="subscript"/>
          <w:rtl w:val="0"/>
        </w:rPr>
        <w:t xml:space="preserve"> </w:t>
      </w:r>
      <w:r w:rsidDel="00000000" w:rsidR="00000000" w:rsidRPr="00000000">
        <w:rPr>
          <w:rFonts w:ascii="Times New Roman" w:cs="Times New Roman" w:eastAsia="Times New Roman" w:hAnsi="Times New Roman"/>
          <w:i w:val="1"/>
          <w:iCs w:val="1"/>
          <w:sz w:val="24"/>
          <w:szCs w:val="24"/>
          <w:rtl w:val="0"/>
        </w:rPr>
        <w:t xml:space="preserve">+ 0.478 [​D(GDS</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i w:val="1"/>
          <w:iCs w:val="1"/>
          <w:sz w:val="24"/>
          <w:szCs w:val="24"/>
          <w:rtl w:val="0"/>
        </w:rPr>
        <w:t xml:space="preserve">​)] + ε</w:t>
      </w:r>
      <w:r w:rsidDel="00000000" w:rsidR="00000000" w:rsidRPr="00000000">
        <w:rPr>
          <w:rFonts w:ascii="Times New Roman" w:cs="Times New Roman" w:eastAsia="Times New Roman" w:hAnsi="Times New Roman"/>
          <w:i w:val="1"/>
          <w:iCs w:val="1"/>
          <w:sz w:val="24"/>
          <w:szCs w:val="24"/>
          <w:vertAlign w:val="subscript"/>
          <w:rtl w:val="0"/>
        </w:rPr>
        <w:t xml:space="preserve">t</w:t>
      </w:r>
    </w:p>
    <w:p w:rsidR="00000000" w:rsidDel="00000000" w:rsidP="00000000" w:rsidRDefault="00000000" w:rsidRPr="00000000" w14:paraId="000000D2">
      <w:pPr>
        <w:spacing w:line="360" w:lineRule="auto"/>
        <w:jc w:val="both"/>
        <w:rPr>
          <w:rFonts w:ascii="Times New Roman" w:cs="Times New Roman" w:eastAsia="Times New Roman" w:hAnsi="Times New Roman"/>
          <w:i w:val="1"/>
          <w:iCs w:val="1"/>
          <w:sz w:val="24"/>
          <w:szCs w:val="24"/>
          <w:vertAlign w:val="subscript"/>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Model Summary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Adjusted 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Durbin-Watson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 Length (AIC)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both the dependent variable and regressors</w:t>
            </w:r>
          </w:p>
        </w:tc>
      </w:tr>
    </w:tbl>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based on the lowest AIC (Akaike info criterion), a value of 4.526, has chosen just one lag for the dependent term and has kept the regressors with no lags at level. At the 5% level of significance, the lagged coefficient of GDP Growth(-1) is 0.108 and is statistically insignificant (p = 0.41). This implies that past economic growth does not statistically exert an influence on the current growth of the economy. Gross Fixed Capital Formation (GFCF) Growth exhibits a positive and highly significant relationship with GDP growth. A coefficient of 0.2613 with a (p = 0.00) indicates that a one percentage point increase in GFCF growth is associated with an approximately 0.26 percentage point increase in GDP growth. This finding is consistent with the Harrod-Domar and Solow Growth Models, which state that capital accumulation directly enhances productive capacity. The coefficient of D(Gross Domestic Savings) is 0.478, indicating a positive but statistically insignificant relationship with (p = 0.12), possibly because savings influence growth indirectly through investment and financial intermediation rather than immediately </w:t>
      </w:r>
      <w:hyperlink r:id="rId20">
        <w:r w:rsidDel="00000000" w:rsidR="00000000" w:rsidRPr="00000000">
          <w:rPr>
            <w:rFonts w:ascii="Times New Roman" w:cs="Times New Roman" w:eastAsia="Times New Roman" w:hAnsi="Times New Roman"/>
            <w:sz w:val="24"/>
            <w:szCs w:val="24"/>
            <w:rtl w:val="0"/>
          </w:rPr>
          <w:t xml:space="preserve">(King &amp; Levine, 1993)</w:t>
        </w:r>
      </w:hyperlink>
      <w:r w:rsidDel="00000000" w:rsidR="00000000" w:rsidRPr="00000000">
        <w:rPr>
          <w:rFonts w:ascii="Times New Roman" w:cs="Times New Roman" w:eastAsia="Times New Roman" w:hAnsi="Times New Roman"/>
          <w:sz w:val="24"/>
          <w:szCs w:val="24"/>
          <w:rtl w:val="0"/>
        </w:rPr>
        <w:t xml:space="preserve">. Additionally, with respect to the time period, the insignificance of variables could also be equated with the global financial crisis of 2008 </w:t>
      </w:r>
      <w:hyperlink r:id="rId21">
        <w:r w:rsidDel="00000000" w:rsidR="00000000" w:rsidRPr="00000000">
          <w:rPr>
            <w:rFonts w:ascii="Times New Roman" w:cs="Times New Roman" w:eastAsia="Times New Roman" w:hAnsi="Times New Roman"/>
            <w:sz w:val="24"/>
            <w:szCs w:val="24"/>
            <w:rtl w:val="0"/>
          </w:rPr>
          <w:t xml:space="preserve">(Bhanumurthy &amp; Kumawat, 2009)</w:t>
        </w:r>
      </w:hyperlink>
      <w:r w:rsidDel="00000000" w:rsidR="00000000" w:rsidRPr="00000000">
        <w:rPr>
          <w:rFonts w:ascii="Times New Roman" w:cs="Times New Roman" w:eastAsia="Times New Roman" w:hAnsi="Times New Roman"/>
          <w:sz w:val="24"/>
          <w:szCs w:val="24"/>
          <w:rtl w:val="0"/>
        </w:rPr>
        <w:t xml:space="preserve"> and the COVID-19 pandemic </w:t>
      </w:r>
      <w:hyperlink r:id="rId22">
        <w:r w:rsidDel="00000000" w:rsidR="00000000" w:rsidRPr="00000000">
          <w:rPr>
            <w:rFonts w:ascii="Times New Roman" w:cs="Times New Roman" w:eastAsia="Times New Roman" w:hAnsi="Times New Roman"/>
            <w:sz w:val="24"/>
            <w:szCs w:val="24"/>
            <w:rtl w:val="0"/>
          </w:rPr>
          <w:t xml:space="preserve">(Dev &amp; Sengupta, 2020)</w:t>
        </w:r>
      </w:hyperlink>
      <w:r w:rsidDel="00000000" w:rsidR="00000000" w:rsidRPr="00000000">
        <w:rPr>
          <w:rFonts w:ascii="Times New Roman" w:cs="Times New Roman" w:eastAsia="Times New Roman" w:hAnsi="Times New Roman"/>
          <w:sz w:val="24"/>
          <w:szCs w:val="24"/>
          <w:rtl w:val="0"/>
        </w:rPr>
        <w:t xml:space="preserve">. The significant constant term is indicative of a positive baseline growth recorded in the Indian GDP at 3.35%. The explanatory power of the model is satisfactory at a moderate level of 0.47, which is justifiable for any macroeconomic data. Along with this, there is no trace of autocorrelation, which is indicated by a near-perfect Durbin-Watson statistic of 1.97. </w:t>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4.4.1 Bounds Test, ARDL Cointegrating and Long Run Form</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ARDL is limited or bounded by the information on the existence of a relationship between the selected variables in our model. This limitation is overcome by the bounds test, which determines the presence of a long-run equilibrium relationship along with long-run form, and the ARDL cointegrating test tells about the short-run relationship.</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Bounds Test Hypothesis:</w:t>
      </w:r>
    </w:p>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No long run relationships exist</w:t>
      </w:r>
    </w:p>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Long-run relationships exist</w:t>
      </w:r>
    </w:p>
    <w:p w:rsidR="00000000" w:rsidDel="00000000" w:rsidP="00000000" w:rsidRDefault="00000000" w:rsidRPr="00000000" w14:paraId="000000E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F-stat value is 13.003, which is greater than the I1 bounds at 5% and 1%. This rejects the null hypothesis, indicating that the variables share a stable long-run equilibrium relationship despite short-run fluctuations. </w:t>
      </w:r>
    </w:p>
    <w:p w:rsidR="00000000" w:rsidDel="00000000" w:rsidP="00000000" w:rsidRDefault="00000000" w:rsidRPr="00000000" w14:paraId="000000EC">
      <w:pPr>
        <w:widowControl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ARDL Cointegrating and Long Run Form:</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p-value less than 5% level of significance indicates the presence of a short and long-run relationship between the variables present in the model. For GFCF, there is a presence of both short and long run relationships with GDP growth rate, and it is positive, unlike GDS, which is insignificant here. The error correction coefficient is negative and statistically significant, satisfying the theoretical requirement for a valid ECM (error correction model). The coefficient of -0.8911 indicates that approximately 89.1% of any short-run disequilibrium is corrected within one year.</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selected ARDL specification is ARDL(1,0,0), which contains only one lagged dependent variable and no lagged regressors. Since there are no multiple lag coefficients or linear restrictions to test jointly, a Wald test would be redundant, as the individual coefficient significance is already evaluated through the corresponding p-value. Check the Appendix for cointegrating table values.</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Summary of Post-estimation Diagnostic Tests</w:t>
      </w:r>
    </w:p>
    <w:p w:rsidR="00000000" w:rsidDel="00000000" w:rsidP="00000000" w:rsidRDefault="00000000" w:rsidRPr="00000000" w14:paraId="000000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Diagnostics Summary</w:t>
      </w:r>
    </w:p>
    <w:tbl>
      <w:tblPr>
        <w:tblStyle w:val="Table6"/>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890"/>
        <w:gridCol w:w="1800"/>
        <w:gridCol w:w="1020"/>
        <w:gridCol w:w="1080"/>
        <w:gridCol w:w="1950"/>
        <w:tblGridChange w:id="0">
          <w:tblGrid>
            <w:gridCol w:w="2010"/>
            <w:gridCol w:w="1890"/>
            <w:gridCol w:w="1800"/>
            <w:gridCol w:w="1020"/>
            <w:gridCol w:w="108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Diagnostic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Breusch-Pagan-Godfrey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variances are homoscedastic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to reject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evidence of heteroskedasticity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Breusch-Godfrey 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serial correlation exists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to reject</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are free from serial correlation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Jarque-Bera Normality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are normally distributed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 = 27.05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are not normally distributed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multicollinearity exists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multicollinearity (VIF &lt;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Ramsey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is correctly specified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27.79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H</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model misspecification/ omitted variables </w:t>
            </w:r>
          </w:p>
        </w:tc>
      </w:tr>
    </w:tbl>
    <w:p w:rsidR="00000000" w:rsidDel="00000000" w:rsidP="00000000" w:rsidRDefault="00000000" w:rsidRPr="00000000" w14:paraId="0000011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qualifies for the majority of the post-estimation diagnostic tests, wherein the model is homoscedastic, free from autocorrelation and multicollinearity. The model, however, fails to follow normality and is technically not correctly specified. Theoretically, omitted variable bias and improper lag selection cause model misspecification; however, this study is focused on Gross Fixed Capital Formation and Gross Domestic Savings as factors affecting economic growth, whilst ignoring factors such as inflation, government expenditure, foreign direct investment, trade openness, and technological progress. Consequently, the estimated model may not fully capture the complexity of India's growth process. Combined with the small sample size and complexities in any macroeconomic data, it has tended towards a Ramsey RESET statistic suggesting model misspecification.</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Limitations</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based on a relatively small sample of 36 annual observations, affecting the robustness of the estimated relationships. Here, Gross Fixed Capital Formation and Gross Domestic Savings were considered as determinants of economic growth, leaving out other macroeconomic factors; this may partly explain the Ramsey RESET test results indicating possible model misspecification. Lag selection criterion has no fixed method, and changing the automated software values can potentially manipulate the results too; this calls for a limitation that could have arisen from using just EViews.</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findings from this study suggest that investment plays a much stronger role than domestic savings alone. Gross Fixed Capital Formation (GFCF) was found to have a significant positive long-run impact on GDP growth, indicating that expanding productive capacity through investments in infrastructure, machinery, and other fixed assets contributes directly to economic growth. At the same time, Gross Domestic Savings (GDS) did not have a statistically significant direct effect on economic growth. This suggests that while savings are essential, they contribute to growth only when they are effectively converted into productive investment through means of either greenfield or brownfield investments. Simply increasing the level of savings may not be sufficient unless the financial system efficiently channels those resources into investment opportunities. Therefore, for a developing economy like India, policies should focus not only on encouraging savings but, more importantly, on improving investment efficiency and promoting sustained capital formation. Overall, the findings indicate that how resources are invested matters more for economic growth than how much is saved.</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33">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Ahluwalia, M. S. (2002). Economic Reforms in India Since 1991: Has Gradualism Worked? </w:t>
      </w:r>
      <w:r w:rsidDel="00000000" w:rsidR="00000000" w:rsidRPr="00000000">
        <w:rPr>
          <w:rFonts w:ascii="Times New Roman" w:cs="Times New Roman" w:eastAsia="Times New Roman" w:hAnsi="Times New Roman"/>
          <w:i w:val="1"/>
          <w:iCs w:val="1"/>
          <w:sz w:val="24"/>
          <w:szCs w:val="24"/>
          <w:rtl w:val="0"/>
        </w:rPr>
        <w:t xml:space="preserve">Journal of Economic Perspectives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(3), 67–88. </w:t>
      </w:r>
      <w:hyperlink r:id="rId23">
        <w:r w:rsidDel="00000000" w:rsidR="00000000" w:rsidRPr="00000000">
          <w:rPr>
            <w:rFonts w:ascii="Times New Roman" w:cs="Times New Roman" w:eastAsia="Times New Roman" w:hAnsi="Times New Roman"/>
            <w:sz w:val="24"/>
            <w:szCs w:val="24"/>
            <w:rtl w:val="0"/>
          </w:rPr>
          <w:t xml:space="preserve">https://doi.org/10.1257/089533002760278721</w:t>
        </w:r>
      </w:hyperlink>
      <w:r w:rsidDel="00000000" w:rsidR="00000000" w:rsidRPr="00000000">
        <w:rPr>
          <w:rtl w:val="0"/>
        </w:rPr>
      </w:r>
    </w:p>
    <w:p w:rsidR="00000000" w:rsidDel="00000000" w:rsidP="00000000" w:rsidRDefault="00000000" w:rsidRPr="00000000" w14:paraId="00000134">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Bhanumurthy, N. R., &amp; Kumawat, L. (2009). Global Economic Crisis and Indian Economy. </w:t>
      </w:r>
      <w:r w:rsidDel="00000000" w:rsidR="00000000" w:rsidRPr="00000000">
        <w:rPr>
          <w:rFonts w:ascii="Times New Roman" w:cs="Times New Roman" w:eastAsia="Times New Roman" w:hAnsi="Times New Roman"/>
          <w:i w:val="1"/>
          <w:iCs w:val="1"/>
          <w:sz w:val="24"/>
          <w:szCs w:val="24"/>
          <w:rtl w:val="0"/>
        </w:rPr>
        <w:t xml:space="preserve">Review of Market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(2), 123–135. </w:t>
      </w:r>
      <w:hyperlink r:id="rId24">
        <w:r w:rsidDel="00000000" w:rsidR="00000000" w:rsidRPr="00000000">
          <w:rPr>
            <w:rFonts w:ascii="Times New Roman" w:cs="Times New Roman" w:eastAsia="Times New Roman" w:hAnsi="Times New Roman"/>
            <w:sz w:val="24"/>
            <w:szCs w:val="24"/>
            <w:rtl w:val="0"/>
          </w:rPr>
          <w:t xml:space="preserve">https://doi.org/10.1177/097492920900100202</w:t>
        </w:r>
      </w:hyperlink>
      <w:r w:rsidDel="00000000" w:rsidR="00000000" w:rsidRPr="00000000">
        <w:rPr>
          <w:rtl w:val="0"/>
        </w:rPr>
      </w:r>
    </w:p>
    <w:p w:rsidR="00000000" w:rsidDel="00000000" w:rsidP="00000000" w:rsidRDefault="00000000" w:rsidRPr="00000000" w14:paraId="00000135">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(2020). </w:t>
      </w:r>
      <w:r w:rsidDel="00000000" w:rsidR="00000000" w:rsidRPr="00000000">
        <w:rPr>
          <w:rFonts w:ascii="Times New Roman" w:cs="Times New Roman" w:eastAsia="Times New Roman" w:hAnsi="Times New Roman"/>
          <w:i w:val="1"/>
          <w:iCs w:val="1"/>
          <w:sz w:val="24"/>
          <w:szCs w:val="24"/>
          <w:rtl w:val="0"/>
        </w:rPr>
        <w:t xml:space="preserve">Determinants of economic growth in India: A time series perspective</w:t>
      </w:r>
      <w:r w:rsidDel="00000000" w:rsidR="00000000" w:rsidRPr="00000000">
        <w:rPr>
          <w:rFonts w:ascii="Times New Roman" w:cs="Times New Roman" w:eastAsia="Times New Roman" w:hAnsi="Times New Roman"/>
          <w:sz w:val="24"/>
          <w:szCs w:val="24"/>
          <w:rtl w:val="0"/>
        </w:rPr>
        <w:t xml:space="preserve">. Https://Store.Ectap.Ro/; Theoretical and Applied Economics. </w:t>
      </w:r>
      <w:hyperlink r:id="rId25">
        <w:r w:rsidDel="00000000" w:rsidR="00000000" w:rsidRPr="00000000">
          <w:rPr>
            <w:rFonts w:ascii="Times New Roman" w:cs="Times New Roman" w:eastAsia="Times New Roman" w:hAnsi="Times New Roman"/>
            <w:sz w:val="24"/>
            <w:szCs w:val="24"/>
            <w:rtl w:val="0"/>
          </w:rPr>
          <w:t xml:space="preserve">https://store.ectap.ro/articole/1466.pdf</w:t>
        </w:r>
      </w:hyperlink>
      <w:r w:rsidDel="00000000" w:rsidR="00000000" w:rsidRPr="00000000">
        <w:rPr>
          <w:rtl w:val="0"/>
        </w:rPr>
      </w:r>
    </w:p>
    <w:p w:rsidR="00000000" w:rsidDel="00000000" w:rsidP="00000000" w:rsidRDefault="00000000" w:rsidRPr="00000000" w14:paraId="00000136">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DBIE</w:t>
      </w:r>
      <w:r w:rsidDel="00000000" w:rsidR="00000000" w:rsidRPr="00000000">
        <w:rPr>
          <w:rFonts w:ascii="Times New Roman" w:cs="Times New Roman" w:eastAsia="Times New Roman" w:hAnsi="Times New Roman"/>
          <w:sz w:val="24"/>
          <w:szCs w:val="24"/>
          <w:rtl w:val="0"/>
        </w:rPr>
        <w:t xml:space="preserve">. (2024). Rbi.Org.In. </w:t>
      </w:r>
      <w:hyperlink r:id="rId26">
        <w:r w:rsidDel="00000000" w:rsidR="00000000" w:rsidRPr="00000000">
          <w:rPr>
            <w:rFonts w:ascii="Times New Roman" w:cs="Times New Roman" w:eastAsia="Times New Roman" w:hAnsi="Times New Roman"/>
            <w:sz w:val="24"/>
            <w:szCs w:val="24"/>
            <w:rtl w:val="0"/>
          </w:rPr>
          <w:t xml:space="preserve">https://data.rbi.org.in/#/dbie/home</w:t>
        </w:r>
      </w:hyperlink>
      <w:r w:rsidDel="00000000" w:rsidR="00000000" w:rsidRPr="00000000">
        <w:rPr>
          <w:rtl w:val="0"/>
        </w:rPr>
      </w:r>
    </w:p>
    <w:p w:rsidR="00000000" w:rsidDel="00000000" w:rsidP="00000000" w:rsidRDefault="00000000" w:rsidRPr="00000000" w14:paraId="00000137">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Domar, E. D. (1946). </w:t>
      </w:r>
      <w:r w:rsidDel="00000000" w:rsidR="00000000" w:rsidRPr="00000000">
        <w:rPr>
          <w:rFonts w:ascii="Times New Roman" w:cs="Times New Roman" w:eastAsia="Times New Roman" w:hAnsi="Times New Roman"/>
          <w:i w:val="1"/>
          <w:iCs w:val="1"/>
          <w:sz w:val="24"/>
          <w:szCs w:val="24"/>
          <w:rtl w:val="0"/>
        </w:rPr>
        <w:t xml:space="preserve">Econometrica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(2), 137. </w:t>
      </w:r>
      <w:hyperlink r:id="rId27">
        <w:r w:rsidDel="00000000" w:rsidR="00000000" w:rsidRPr="00000000">
          <w:rPr>
            <w:rFonts w:ascii="Times New Roman" w:cs="Times New Roman" w:eastAsia="Times New Roman" w:hAnsi="Times New Roman"/>
            <w:sz w:val="24"/>
            <w:szCs w:val="24"/>
            <w:rtl w:val="0"/>
          </w:rPr>
          <w:t xml:space="preserve">https://doi.org/10.2307/1905364</w:t>
        </w:r>
      </w:hyperlink>
      <w:r w:rsidDel="00000000" w:rsidR="00000000" w:rsidRPr="00000000">
        <w:rPr>
          <w:rtl w:val="0"/>
        </w:rPr>
      </w:r>
    </w:p>
    <w:p w:rsidR="00000000" w:rsidDel="00000000" w:rsidP="00000000" w:rsidRDefault="00000000" w:rsidRPr="00000000" w14:paraId="00000138">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Engle, R. F., &amp; Granger, C. W. J. (1987). Co-Integration and Error Correction: Representation, Estimation, and Testing. </w:t>
      </w:r>
      <w:r w:rsidDel="00000000" w:rsidR="00000000" w:rsidRPr="00000000">
        <w:rPr>
          <w:rFonts w:ascii="Times New Roman" w:cs="Times New Roman" w:eastAsia="Times New Roman" w:hAnsi="Times New Roman"/>
          <w:i w:val="1"/>
          <w:iCs w:val="1"/>
          <w:sz w:val="24"/>
          <w:szCs w:val="24"/>
          <w:rtl w:val="0"/>
        </w:rPr>
        <w:t xml:space="preserve">Econometrica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55</w:t>
      </w:r>
      <w:r w:rsidDel="00000000" w:rsidR="00000000" w:rsidRPr="00000000">
        <w:rPr>
          <w:rFonts w:ascii="Times New Roman" w:cs="Times New Roman" w:eastAsia="Times New Roman" w:hAnsi="Times New Roman"/>
          <w:sz w:val="24"/>
          <w:szCs w:val="24"/>
          <w:rtl w:val="0"/>
        </w:rPr>
        <w:t xml:space="preserve">(2), 251–276.</w:t>
      </w:r>
    </w:p>
    <w:p w:rsidR="00000000" w:rsidDel="00000000" w:rsidP="00000000" w:rsidRDefault="00000000" w:rsidRPr="00000000" w14:paraId="00000139">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Harrod, R. F. (1939). An Essay in Dynamic Theory. </w:t>
      </w:r>
      <w:r w:rsidDel="00000000" w:rsidR="00000000" w:rsidRPr="00000000">
        <w:rPr>
          <w:rFonts w:ascii="Times New Roman" w:cs="Times New Roman" w:eastAsia="Times New Roman" w:hAnsi="Times New Roman"/>
          <w:i w:val="1"/>
          <w:iCs w:val="1"/>
          <w:sz w:val="24"/>
          <w:szCs w:val="24"/>
          <w:rtl w:val="0"/>
        </w:rPr>
        <w:t xml:space="preserve">The Economic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49</w:t>
      </w:r>
      <w:r w:rsidDel="00000000" w:rsidR="00000000" w:rsidRPr="00000000">
        <w:rPr>
          <w:rFonts w:ascii="Times New Roman" w:cs="Times New Roman" w:eastAsia="Times New Roman" w:hAnsi="Times New Roman"/>
          <w:sz w:val="24"/>
          <w:szCs w:val="24"/>
          <w:rtl w:val="0"/>
        </w:rPr>
        <w:t xml:space="preserve">(193), 14. </w:t>
      </w:r>
      <w:hyperlink r:id="rId28">
        <w:r w:rsidDel="00000000" w:rsidR="00000000" w:rsidRPr="00000000">
          <w:rPr>
            <w:rFonts w:ascii="Times New Roman" w:cs="Times New Roman" w:eastAsia="Times New Roman" w:hAnsi="Times New Roman"/>
            <w:sz w:val="24"/>
            <w:szCs w:val="24"/>
            <w:rtl w:val="0"/>
          </w:rPr>
          <w:t xml:space="preserve">https://doi.org/https://doi.org/10.2307/2225181</w:t>
        </w:r>
      </w:hyperlink>
      <w:r w:rsidDel="00000000" w:rsidR="00000000" w:rsidRPr="00000000">
        <w:rPr>
          <w:rtl w:val="0"/>
        </w:rPr>
      </w:r>
    </w:p>
    <w:p w:rsidR="00000000" w:rsidDel="00000000" w:rsidP="00000000" w:rsidRDefault="00000000" w:rsidRPr="00000000" w14:paraId="0000013A">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Koti, T. (n.d.). </w:t>
      </w:r>
      <w:r w:rsidDel="00000000" w:rsidR="00000000" w:rsidRPr="00000000">
        <w:rPr>
          <w:rFonts w:ascii="Times New Roman" w:cs="Times New Roman" w:eastAsia="Times New Roman" w:hAnsi="Times New Roman"/>
          <w:i w:val="1"/>
          <w:iCs w:val="1"/>
          <w:sz w:val="24"/>
          <w:szCs w:val="24"/>
          <w:rtl w:val="0"/>
        </w:rPr>
        <w:t xml:space="preserve">THE IMPACT OF GROSS CAPITAL FORMATION ON ECONOMIC GROWTH : EVIDENCE FROM INDIA</w:t>
      </w:r>
      <w:r w:rsidDel="00000000" w:rsidR="00000000" w:rsidRPr="00000000">
        <w:rPr>
          <w:rFonts w:ascii="Times New Roman" w:cs="Times New Roman" w:eastAsia="Times New Roman" w:hAnsi="Times New Roman"/>
          <w:sz w:val="24"/>
          <w:szCs w:val="24"/>
          <w:rtl w:val="0"/>
        </w:rPr>
        <w:t xml:space="preserve"> [Review of </w:t>
      </w:r>
      <w:r w:rsidDel="00000000" w:rsidR="00000000" w:rsidRPr="00000000">
        <w:rPr>
          <w:rFonts w:ascii="Times New Roman" w:cs="Times New Roman" w:eastAsia="Times New Roman" w:hAnsi="Times New Roman"/>
          <w:i w:val="1"/>
          <w:iCs w:val="1"/>
          <w:sz w:val="24"/>
          <w:szCs w:val="24"/>
          <w:rtl w:val="0"/>
        </w:rPr>
        <w:t xml:space="preserve">THE IMPACT OF GROSS CAPITAL FORMATION ON ECONOMIC GROWTH : EVIDENCE FROM INDIA</w:t>
      </w:r>
      <w:r w:rsidDel="00000000" w:rsidR="00000000" w:rsidRPr="00000000">
        <w:rPr>
          <w:rFonts w:ascii="Times New Roman" w:cs="Times New Roman" w:eastAsia="Times New Roman" w:hAnsi="Times New Roman"/>
          <w:sz w:val="24"/>
          <w:szCs w:val="24"/>
          <w:rtl w:val="0"/>
        </w:rPr>
        <w:t xml:space="preserve">]. Retrieved July 8, 2026, from </w:t>
      </w:r>
      <w:hyperlink r:id="rId29">
        <w:r w:rsidDel="00000000" w:rsidR="00000000" w:rsidRPr="00000000">
          <w:rPr>
            <w:rFonts w:ascii="Times New Roman" w:cs="Times New Roman" w:eastAsia="Times New Roman" w:hAnsi="Times New Roman"/>
            <w:sz w:val="24"/>
            <w:szCs w:val="24"/>
            <w:rtl w:val="0"/>
          </w:rPr>
          <w:t xml:space="preserve">https://www.ashwinanokha.com/resources/ijeb%20v19-1-4.pdf</w:t>
        </w:r>
      </w:hyperlink>
      <w:r w:rsidDel="00000000" w:rsidR="00000000" w:rsidRPr="00000000">
        <w:rPr>
          <w:rtl w:val="0"/>
        </w:rPr>
      </w:r>
    </w:p>
    <w:p w:rsidR="00000000" w:rsidDel="00000000" w:rsidP="00000000" w:rsidRDefault="00000000" w:rsidRPr="00000000" w14:paraId="0000013B">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Lackman, C. L. (1982). A Note on the Stability Limitations in “A Stable Price Adjustment Process.” </w:t>
      </w:r>
      <w:r w:rsidDel="00000000" w:rsidR="00000000" w:rsidRPr="00000000">
        <w:rPr>
          <w:rFonts w:ascii="Times New Roman" w:cs="Times New Roman" w:eastAsia="Times New Roman" w:hAnsi="Times New Roman"/>
          <w:i w:val="1"/>
          <w:iCs w:val="1"/>
          <w:sz w:val="24"/>
          <w:szCs w:val="24"/>
          <w:rtl w:val="0"/>
        </w:rPr>
        <w:t xml:space="preserve">The Quarterly Journal of Economics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97</w:t>
      </w:r>
      <w:r w:rsidDel="00000000" w:rsidR="00000000" w:rsidRPr="00000000">
        <w:rPr>
          <w:rFonts w:ascii="Times New Roman" w:cs="Times New Roman" w:eastAsia="Times New Roman" w:hAnsi="Times New Roman"/>
          <w:sz w:val="24"/>
          <w:szCs w:val="24"/>
          <w:rtl w:val="0"/>
        </w:rPr>
        <w:t xml:space="preserve">(3), 541. </w:t>
      </w:r>
      <w:hyperlink r:id="rId30">
        <w:r w:rsidDel="00000000" w:rsidR="00000000" w:rsidRPr="00000000">
          <w:rPr>
            <w:rFonts w:ascii="Times New Roman" w:cs="Times New Roman" w:eastAsia="Times New Roman" w:hAnsi="Times New Roman"/>
            <w:sz w:val="24"/>
            <w:szCs w:val="24"/>
            <w:rtl w:val="0"/>
          </w:rPr>
          <w:t xml:space="preserve">https://doi.org/10.2307/1885877</w:t>
        </w:r>
      </w:hyperlink>
      <w:r w:rsidDel="00000000" w:rsidR="00000000" w:rsidRPr="00000000">
        <w:rPr>
          <w:rtl w:val="0"/>
        </w:rPr>
      </w:r>
    </w:p>
    <w:p w:rsidR="00000000" w:rsidDel="00000000" w:rsidP="00000000" w:rsidRDefault="00000000" w:rsidRPr="00000000" w14:paraId="0000013C">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Liya Varghese. (2025). Dynamic interaction between savings, investment and economic growth in India: Evidence from ARDL approach [Review of </w:t>
      </w:r>
      <w:r w:rsidDel="00000000" w:rsidR="00000000" w:rsidRPr="00000000">
        <w:rPr>
          <w:rFonts w:ascii="Times New Roman" w:cs="Times New Roman" w:eastAsia="Times New Roman" w:hAnsi="Times New Roman"/>
          <w:i w:val="1"/>
          <w:iCs w:val="1"/>
          <w:sz w:val="24"/>
          <w:szCs w:val="24"/>
          <w:rtl w:val="0"/>
        </w:rPr>
        <w:t xml:space="preserve">Dynamic interaction between savings, investment and economic growth in India: Evidence from ARDL approach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Srusti Management Review</w:t>
      </w:r>
      <w:r w:rsidDel="00000000" w:rsidR="00000000" w:rsidRPr="00000000">
        <w:rPr>
          <w:rFonts w:ascii="Times New Roman" w:cs="Times New Roman" w:eastAsia="Times New Roman" w:hAnsi="Times New Roman"/>
          <w:sz w:val="24"/>
          <w:szCs w:val="24"/>
          <w:rtl w:val="0"/>
        </w:rPr>
        <w:t xml:space="preserve">. </w:t>
      </w:r>
      <w:hyperlink r:id="rId31">
        <w:r w:rsidDel="00000000" w:rsidR="00000000" w:rsidRPr="00000000">
          <w:rPr>
            <w:rFonts w:ascii="Times New Roman" w:cs="Times New Roman" w:eastAsia="Times New Roman" w:hAnsi="Times New Roman"/>
            <w:sz w:val="24"/>
            <w:szCs w:val="24"/>
            <w:rtl w:val="0"/>
          </w:rPr>
          <w:t xml:space="preserve">https://doi.org/10.63340/samt/10011</w:t>
        </w:r>
      </w:hyperlink>
      <w:r w:rsidDel="00000000" w:rsidR="00000000" w:rsidRPr="00000000">
        <w:rPr>
          <w:rtl w:val="0"/>
        </w:rPr>
      </w:r>
    </w:p>
    <w:p w:rsidR="00000000" w:rsidDel="00000000" w:rsidP="00000000" w:rsidRDefault="00000000" w:rsidRPr="00000000" w14:paraId="0000013D">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Mahendra Dev, S., &amp; Sengupta, R. (2020). </w:t>
      </w:r>
      <w:r w:rsidDel="00000000" w:rsidR="00000000" w:rsidRPr="00000000">
        <w:rPr>
          <w:rFonts w:ascii="Times New Roman" w:cs="Times New Roman" w:eastAsia="Times New Roman" w:hAnsi="Times New Roman"/>
          <w:i w:val="1"/>
          <w:iCs w:val="1"/>
          <w:sz w:val="24"/>
          <w:szCs w:val="24"/>
          <w:rtl w:val="0"/>
        </w:rPr>
        <w:t xml:space="preserve">Covid-19: Impact on the Indian economy</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sz w:val="24"/>
            <w:szCs w:val="24"/>
            <w:rtl w:val="0"/>
          </w:rPr>
          <w:t xml:space="preserve">http://www.igidr.ac.in/pdf/publication/WP-2020-013.pdf</w:t>
        </w:r>
      </w:hyperlink>
      <w:r w:rsidDel="00000000" w:rsidR="00000000" w:rsidRPr="00000000">
        <w:rPr>
          <w:rtl w:val="0"/>
        </w:rPr>
      </w:r>
    </w:p>
    <w:p w:rsidR="00000000" w:rsidDel="00000000" w:rsidP="00000000" w:rsidRDefault="00000000" w:rsidRPr="00000000" w14:paraId="0000013E">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Ministry of Statistics and Program Implementation | Government Of India</w:t>
      </w:r>
      <w:r w:rsidDel="00000000" w:rsidR="00000000" w:rsidRPr="00000000">
        <w:rPr>
          <w:rFonts w:ascii="Times New Roman" w:cs="Times New Roman" w:eastAsia="Times New Roman" w:hAnsi="Times New Roman"/>
          <w:sz w:val="24"/>
          <w:szCs w:val="24"/>
          <w:rtl w:val="0"/>
        </w:rPr>
        <w:t xml:space="preserve">. (n.d.-a). Esankhyiki.Mospi.Gov.In. Retrieved July 8, 2026, from </w:t>
      </w:r>
      <w:hyperlink r:id="rId33">
        <w:r w:rsidDel="00000000" w:rsidR="00000000" w:rsidRPr="00000000">
          <w:rPr>
            <w:rFonts w:ascii="Times New Roman" w:cs="Times New Roman" w:eastAsia="Times New Roman" w:hAnsi="Times New Roman"/>
            <w:sz w:val="24"/>
            <w:szCs w:val="24"/>
            <w:rtl w:val="0"/>
          </w:rPr>
          <w:t xml:space="preserve">https://esankhyiki.mospi.gov.in/</w:t>
        </w:r>
      </w:hyperlink>
      <w:r w:rsidDel="00000000" w:rsidR="00000000" w:rsidRPr="00000000">
        <w:rPr>
          <w:rtl w:val="0"/>
        </w:rPr>
      </w:r>
    </w:p>
    <w:p w:rsidR="00000000" w:rsidDel="00000000" w:rsidP="00000000" w:rsidRDefault="00000000" w:rsidRPr="00000000" w14:paraId="0000013F">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National Data and Analytics Platform</w:t>
      </w:r>
      <w:r w:rsidDel="00000000" w:rsidR="00000000" w:rsidRPr="00000000">
        <w:rPr>
          <w:rFonts w:ascii="Times New Roman" w:cs="Times New Roman" w:eastAsia="Times New Roman" w:hAnsi="Times New Roman"/>
          <w:sz w:val="24"/>
          <w:szCs w:val="24"/>
          <w:rtl w:val="0"/>
        </w:rPr>
        <w:t xml:space="preserve">. (n.d.-b). Ndap.Niti.Gov.In. Retrieved July 8, 2026, from </w:t>
      </w:r>
      <w:hyperlink r:id="rId34">
        <w:r w:rsidDel="00000000" w:rsidR="00000000" w:rsidRPr="00000000">
          <w:rPr>
            <w:rFonts w:ascii="Times New Roman" w:cs="Times New Roman" w:eastAsia="Times New Roman" w:hAnsi="Times New Roman"/>
            <w:sz w:val="24"/>
            <w:szCs w:val="24"/>
            <w:rtl w:val="0"/>
          </w:rPr>
          <w:t xml:space="preserve">https://ndap.niti.gov.in/</w:t>
        </w:r>
      </w:hyperlink>
      <w:r w:rsidDel="00000000" w:rsidR="00000000" w:rsidRPr="00000000">
        <w:rPr>
          <w:rtl w:val="0"/>
        </w:rPr>
      </w:r>
    </w:p>
    <w:p w:rsidR="00000000" w:rsidDel="00000000" w:rsidP="00000000" w:rsidRDefault="00000000" w:rsidRPr="00000000" w14:paraId="00000140">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 P. M. (1986). Increasing Returns and Long-Run Growth. </w:t>
      </w:r>
      <w:r w:rsidDel="00000000" w:rsidR="00000000" w:rsidRPr="00000000">
        <w:rPr>
          <w:rFonts w:ascii="Times New Roman" w:cs="Times New Roman" w:eastAsia="Times New Roman" w:hAnsi="Times New Roman"/>
          <w:i w:val="1"/>
          <w:iCs w:val="1"/>
          <w:sz w:val="24"/>
          <w:szCs w:val="24"/>
          <w:rtl w:val="0"/>
        </w:rPr>
        <w:t xml:space="preserve">Journal of Political Economy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94</w:t>
      </w:r>
      <w:r w:rsidDel="00000000" w:rsidR="00000000" w:rsidRPr="00000000">
        <w:rPr>
          <w:rFonts w:ascii="Times New Roman" w:cs="Times New Roman" w:eastAsia="Times New Roman" w:hAnsi="Times New Roman"/>
          <w:sz w:val="24"/>
          <w:szCs w:val="24"/>
          <w:rtl w:val="0"/>
        </w:rPr>
        <w:t xml:space="preserve">(5), 1002–1037. </w:t>
      </w:r>
      <w:hyperlink r:id="rId35">
        <w:r w:rsidDel="00000000" w:rsidR="00000000" w:rsidRPr="00000000">
          <w:rPr>
            <w:rFonts w:ascii="Times New Roman" w:cs="Times New Roman" w:eastAsia="Times New Roman" w:hAnsi="Times New Roman"/>
            <w:sz w:val="24"/>
            <w:szCs w:val="24"/>
            <w:rtl w:val="0"/>
          </w:rPr>
          <w:t xml:space="preserve">https://www.jstor.org/stable/1833190</w:t>
        </w:r>
      </w:hyperlink>
      <w:r w:rsidDel="00000000" w:rsidR="00000000" w:rsidRPr="00000000">
        <w:rPr>
          <w:rtl w:val="0"/>
        </w:rPr>
      </w:r>
    </w:p>
    <w:p w:rsidR="00000000" w:rsidDel="00000000" w:rsidP="00000000" w:rsidRDefault="00000000" w:rsidRPr="00000000" w14:paraId="00000141">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K. (2018, January 2). </w:t>
      </w:r>
      <w:r w:rsidDel="00000000" w:rsidR="00000000" w:rsidRPr="00000000">
        <w:rPr>
          <w:rFonts w:ascii="Times New Roman" w:cs="Times New Roman" w:eastAsia="Times New Roman" w:hAnsi="Times New Roman"/>
          <w:i w:val="1"/>
          <w:iCs w:val="1"/>
          <w:sz w:val="24"/>
          <w:szCs w:val="24"/>
          <w:rtl w:val="0"/>
        </w:rPr>
        <w:t xml:space="preserve">Peasaran et al. (2001) Bound Test and ARDL cointegration Test</w:t>
      </w:r>
      <w:r w:rsidDel="00000000" w:rsidR="00000000" w:rsidRPr="00000000">
        <w:rPr>
          <w:rFonts w:ascii="Times New Roman" w:cs="Times New Roman" w:eastAsia="Times New Roman" w:hAnsi="Times New Roman"/>
          <w:sz w:val="24"/>
          <w:szCs w:val="24"/>
          <w:rtl w:val="0"/>
        </w:rPr>
        <w:t xml:space="preserve"> [Review of </w:t>
      </w:r>
      <w:r w:rsidDel="00000000" w:rsidR="00000000" w:rsidRPr="00000000">
        <w:rPr>
          <w:rFonts w:ascii="Times New Roman" w:cs="Times New Roman" w:eastAsia="Times New Roman" w:hAnsi="Times New Roman"/>
          <w:i w:val="1"/>
          <w:iCs w:val="1"/>
          <w:sz w:val="24"/>
          <w:szCs w:val="24"/>
          <w:rtl w:val="0"/>
        </w:rPr>
        <w:t xml:space="preserve">Peasaran et al. (2001) Bound Test and ARDL cointegration Test</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sz w:val="24"/>
            <w:szCs w:val="24"/>
            <w:rtl w:val="0"/>
          </w:rPr>
          <w:t xml:space="preserve">https://www.researchgate.net/publication/322208483_Peasaran_et_al_2001_Bound_Test_and_ARDL_cointegration_Test</w:t>
        </w:r>
      </w:hyperlink>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 The word count accounts for nearly 400 words in the table alone as part of the overall word count; this is the reason for a first inference high word count, rather than possible extensions in unnecessary words. Stating this just for ease of clarity and no other motives.</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Descriptive Statistics</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3663" cy="2140861"/>
            <wp:effectExtent b="0" l="0" r="0" t="0"/>
            <wp:docPr id="4"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633663" cy="214086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Pearson Correlation Analysis</w:t>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71788" cy="1071768"/>
            <wp:effectExtent b="0" l="0" r="0" t="0"/>
            <wp:docPr id="26"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2871788" cy="107176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GDP Growth Rate Correlogram</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52713" cy="2652713"/>
            <wp:effectExtent b="0" l="0" r="0" t="0"/>
            <wp:docPr id="1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65271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GFCF Growth Rate Correlogram</w:t>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95563" cy="2404087"/>
            <wp:effectExtent b="0" l="0" r="0" t="0"/>
            <wp:docPr id="2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2595563" cy="240408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GDS Correlogram (at level)</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3367" cy="2796964"/>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3173367" cy="279696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GDS Correlogram (at first-difference)</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67063" cy="2779849"/>
            <wp:effectExtent b="0" l="0" r="0" t="0"/>
            <wp:docPr id="1"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167063" cy="277984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ADF for GDP</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72213" cy="3145118"/>
            <wp:effectExtent b="0" l="0" r="0" t="0"/>
            <wp:docPr id="13"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6272213" cy="314511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PP test for GDP</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43413" cy="2506540"/>
            <wp:effectExtent b="0" l="0" r="0" t="0"/>
            <wp:docPr id="6"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4443413" cy="250654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7: ADF for GFCF Growth Rate </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79303" cy="3833813"/>
            <wp:effectExtent b="0" l="0" r="0" t="0"/>
            <wp:docPr id="12"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3779303"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8: PP Test for GFCF Growth</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19688" cy="2978280"/>
            <wp:effectExtent b="0" l="0" r="0" t="0"/>
            <wp:docPr id="1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119688" cy="297828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9: ADF for GDS at level</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09900"/>
            <wp:effectExtent b="0" l="0" r="0" t="0"/>
            <wp:docPr id="18"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10: ADF for GDS (first difference)</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44800"/>
            <wp:effectExtent b="0" l="0" r="0" t="0"/>
            <wp:docPr id="8"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11: PP Test for GDS (at level)</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87500"/>
            <wp:effectExtent b="0" l="0" r="0" t="0"/>
            <wp:docPr id="25"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12: PP Test for GDS (first difference)</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74800"/>
            <wp:effectExtent b="0" l="0" r="0" t="0"/>
            <wp:docPr id="9"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13: ARDL Model</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43338" cy="3061120"/>
            <wp:effectExtent b="0" l="0" r="0" t="0"/>
            <wp:docPr id="5"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3843338" cy="306112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14: Bounds Test</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05263" cy="2541801"/>
            <wp:effectExtent b="0" l="0" r="0" t="0"/>
            <wp:docPr id="20"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4005263" cy="254180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15: Long-run cointegrating test</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85421" cy="3463714"/>
            <wp:effectExtent b="0" l="0" r="0" t="0"/>
            <wp:docPr id="17"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3785421" cy="346371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16: Heteroscedasticity</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6914" cy="3523320"/>
            <wp:effectExtent b="0" l="0" r="0" t="0"/>
            <wp:docPr id="1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3836914" cy="352332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17: Serial Correlation Test </w:t>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94559" cy="2881313"/>
            <wp:effectExtent b="0" l="0" r="0" t="0"/>
            <wp:docPr id="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309455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18: Jarque-Bera Normality Test</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4817" cy="3161370"/>
            <wp:effectExtent b="0" l="0" r="0" t="0"/>
            <wp:docPr id="1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3424817" cy="316137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19: Variance Inflation Factor </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17800"/>
            <wp:effectExtent b="0" l="0" r="0" t="0"/>
            <wp:docPr id="14"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20: Ramsey RESET Test </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14700"/>
            <wp:effectExtent b="0" l="0" r="0" t="0"/>
            <wp:docPr id="22"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headerReference r:id="rId59" w:type="default"/>
      <w:headerReference r:id="rId6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highlight w:val="white"/>
        <w:rtl w:val="0"/>
      </w:rPr>
      <w:t xml:space="preserve">The Interplay of Investment, Savings, and Growth in India</w:t>
    </w:r>
    <w:r w:rsidDel="00000000" w:rsidR="00000000" w:rsidRPr="00000000">
      <w:rPr>
        <w:rFonts w:ascii="Times New Roman" w:cs="Times New Roman" w:eastAsia="Times New Roman" w:hAnsi="Times New Roman"/>
        <w:rtl w:val="0"/>
      </w:rPr>
      <w:t xml:space="preserve">: An ARDL Approach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5.png"/><Relationship Id="rId41" Type="http://schemas.openxmlformats.org/officeDocument/2006/relationships/image" Target="media/image22.png"/><Relationship Id="rId44" Type="http://schemas.openxmlformats.org/officeDocument/2006/relationships/image" Target="media/image24.png"/><Relationship Id="rId43" Type="http://schemas.openxmlformats.org/officeDocument/2006/relationships/image" Target="media/image12.png"/><Relationship Id="rId46" Type="http://schemas.openxmlformats.org/officeDocument/2006/relationships/image" Target="media/image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ic.oup.com/qje/article-abstract/97/3/541/1904033" TargetMode="External"/><Relationship Id="rId48" Type="http://schemas.openxmlformats.org/officeDocument/2006/relationships/image" Target="media/image2.png"/><Relationship Id="rId47" Type="http://schemas.openxmlformats.org/officeDocument/2006/relationships/image" Target="media/image18.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jstor.org/stable/2225181" TargetMode="External"/><Relationship Id="rId8" Type="http://schemas.openxmlformats.org/officeDocument/2006/relationships/hyperlink" Target="https://www.jstor.org/stable/1905364" TargetMode="External"/><Relationship Id="rId31" Type="http://schemas.openxmlformats.org/officeDocument/2006/relationships/hyperlink" Target="https://doi.org/10.1257/089533002760278721" TargetMode="External"/><Relationship Id="rId30" Type="http://schemas.openxmlformats.org/officeDocument/2006/relationships/hyperlink" Target="https://doi.org/10.1257/089533002760278721" TargetMode="External"/><Relationship Id="rId33" Type="http://schemas.openxmlformats.org/officeDocument/2006/relationships/hyperlink" Target="https://doi.org/10.1257/089533002760278721" TargetMode="External"/><Relationship Id="rId32" Type="http://schemas.openxmlformats.org/officeDocument/2006/relationships/hyperlink" Target="https://doi.org/10.1257/089533002760278721" TargetMode="External"/><Relationship Id="rId35" Type="http://schemas.openxmlformats.org/officeDocument/2006/relationships/hyperlink" Target="https://doi.org/10.1257/089533002760278721" TargetMode="External"/><Relationship Id="rId34" Type="http://schemas.openxmlformats.org/officeDocument/2006/relationships/hyperlink" Target="https://doi.org/10.1257/089533002760278721" TargetMode="External"/><Relationship Id="rId37" Type="http://schemas.openxmlformats.org/officeDocument/2006/relationships/image" Target="media/image17.png"/><Relationship Id="rId36" Type="http://schemas.openxmlformats.org/officeDocument/2006/relationships/hyperlink" Target="https://doi.org/10.1257/089533002760278721" TargetMode="External"/><Relationship Id="rId39" Type="http://schemas.openxmlformats.org/officeDocument/2006/relationships/image" Target="media/image3.png"/><Relationship Id="rId38" Type="http://schemas.openxmlformats.org/officeDocument/2006/relationships/image" Target="media/image14.png"/><Relationship Id="rId20" Type="http://schemas.openxmlformats.org/officeDocument/2006/relationships/hyperlink" Target="https://doi.org/10.2307/2118406" TargetMode="External"/><Relationship Id="rId22" Type="http://schemas.openxmlformats.org/officeDocument/2006/relationships/hyperlink" Target="http://www.igidr.ac.in/pdf/publication/WP-2020-013.pdf" TargetMode="External"/><Relationship Id="rId21" Type="http://schemas.openxmlformats.org/officeDocument/2006/relationships/hyperlink" Target="https://ideas.repec.org/a/sae/revmar/v1y2009i2p123-135.html" TargetMode="External"/><Relationship Id="rId24" Type="http://schemas.openxmlformats.org/officeDocument/2006/relationships/hyperlink" Target="https://doi.org/10.1257/089533002760278721" TargetMode="External"/><Relationship Id="rId23" Type="http://schemas.openxmlformats.org/officeDocument/2006/relationships/hyperlink" Target="https://doi.org/10.1257/089533002760278721" TargetMode="External"/><Relationship Id="rId60" Type="http://schemas.openxmlformats.org/officeDocument/2006/relationships/header" Target="header2.xml"/><Relationship Id="rId26" Type="http://schemas.openxmlformats.org/officeDocument/2006/relationships/hyperlink" Target="https://doi.org/10.1257/089533002760278721" TargetMode="External"/><Relationship Id="rId25" Type="http://schemas.openxmlformats.org/officeDocument/2006/relationships/hyperlink" Target="https://doi.org/10.1257/089533002760278721" TargetMode="External"/><Relationship Id="rId28" Type="http://schemas.openxmlformats.org/officeDocument/2006/relationships/hyperlink" Target="https://doi.org/10.1257/089533002760278721" TargetMode="External"/><Relationship Id="rId27" Type="http://schemas.openxmlformats.org/officeDocument/2006/relationships/hyperlink" Target="https://doi.org/10.1257/089533002760278721" TargetMode="External"/><Relationship Id="rId29" Type="http://schemas.openxmlformats.org/officeDocument/2006/relationships/hyperlink" Target="https://doi.org/10.1257/089533002760278721" TargetMode="External"/><Relationship Id="rId51" Type="http://schemas.openxmlformats.org/officeDocument/2006/relationships/image" Target="media/image9.png"/><Relationship Id="rId50" Type="http://schemas.openxmlformats.org/officeDocument/2006/relationships/image" Target="media/image23.png"/><Relationship Id="rId53" Type="http://schemas.openxmlformats.org/officeDocument/2006/relationships/image" Target="media/image26.png"/><Relationship Id="rId52" Type="http://schemas.openxmlformats.org/officeDocument/2006/relationships/image" Target="media/image4.png"/><Relationship Id="rId11" Type="http://schemas.openxmlformats.org/officeDocument/2006/relationships/hyperlink" Target="https://www.aeaweb.org/articles?id=10.1257/089533002760278721" TargetMode="External"/><Relationship Id="rId55" Type="http://schemas.openxmlformats.org/officeDocument/2006/relationships/image" Target="media/image6.png"/><Relationship Id="rId10" Type="http://schemas.openxmlformats.org/officeDocument/2006/relationships/hyperlink" Target="https://www.jstor.org/stable/1833190" TargetMode="External"/><Relationship Id="rId54" Type="http://schemas.openxmlformats.org/officeDocument/2006/relationships/image" Target="media/image13.png"/><Relationship Id="rId13" Type="http://schemas.openxmlformats.org/officeDocument/2006/relationships/hyperlink" Target="https://www.srustimanagementreview.ac.in/public/paperfile/paper-553.pdf" TargetMode="External"/><Relationship Id="rId57" Type="http://schemas.openxmlformats.org/officeDocument/2006/relationships/image" Target="media/image11.png"/><Relationship Id="rId12" Type="http://schemas.openxmlformats.org/officeDocument/2006/relationships/hyperlink" Target="https://www.jstor.org/stable/1913236" TargetMode="External"/><Relationship Id="rId56" Type="http://schemas.openxmlformats.org/officeDocument/2006/relationships/image" Target="media/image15.png"/><Relationship Id="rId15" Type="http://schemas.openxmlformats.org/officeDocument/2006/relationships/hyperlink" Target="https://store.ectap.ro/articole/1466.pdf" TargetMode="External"/><Relationship Id="rId59" Type="http://schemas.openxmlformats.org/officeDocument/2006/relationships/header" Target="header1.xml"/><Relationship Id="rId14" Type="http://schemas.openxmlformats.org/officeDocument/2006/relationships/hyperlink" Target="https://www.ashwinanokha.com/resources/ijeb%20v19-1-4.pdf" TargetMode="External"/><Relationship Id="rId58" Type="http://schemas.openxmlformats.org/officeDocument/2006/relationships/image" Target="media/image25.png"/><Relationship Id="rId17" Type="http://schemas.openxmlformats.org/officeDocument/2006/relationships/image" Target="media/image10.png"/><Relationship Id="rId16" Type="http://schemas.openxmlformats.org/officeDocument/2006/relationships/hyperlink" Target="https://www.researchgate.net/publication/322208483_Peasaran_et_al_2001_Bound_Test_and_ARDL_cointegration_Test" TargetMode="External"/><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