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180"/>
      </w:pPr>
      <w:r>
        <w:rPr>
          <w:rFonts w:ascii="Arial" w:cs="Arial" w:eastAsia="Arial" w:hAnsi="Arial"/>
          <w:b/>
          <w:bCs/>
          <w:color w:val="0B3C49"/>
          <w:sz w:val="40"/>
          <w:szCs w:val="40"/>
        </w:rPr>
        <w:t xml:space="preserve">Product Requirements Document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Sistem Digital Manajemen Tambak Udang 76 Kolam</w:t>
      </w:r>
    </w:p>
    <w:p>
      <w:pPr>
        <w:spacing w:after="20"/>
      </w:pPr>
      <w:r>
        <w:rPr>
          <w:rFonts w:ascii="Arial" w:cs="Arial" w:eastAsia="Arial" w:hAnsi="Arial"/>
          <w:i/>
          <w:iCs/>
          <w:color w:val="5B7882"/>
          <w:sz w:val="20"/>
          <w:szCs w:val="20"/>
        </w:rPr>
        <w:t xml:space="preserve">PT Aquaclear Teknologi Internasional — Tambak Malimping, Lebak, Banten</w:t>
      </w:r>
    </w:p>
    <w:p>
      <w:pPr>
        <w:spacing w:after="160"/>
      </w:pPr>
      <w:r>
        <w:rPr>
          <w:rFonts w:ascii="Arial" w:cs="Arial" w:eastAsia="Arial" w:hAnsi="Arial"/>
          <w:color w:val="5B7882"/>
          <w:sz w:val="19"/>
          <w:szCs w:val="19"/>
        </w:rPr>
        <w:t xml:space="preserve">Disusun oleh: Muhammad Raihan &amp; Farhan Prisa Pratama — Nata Digital  ·  v1.0</w:t>
      </w:r>
    </w:p>
    <w:p>
      <w:pPr>
        <w:pBdr>
          <w:top w:val="single" w:color="028090" w:sz="6" w:space="8"/>
          <w:bottom w:val="single" w:color="028090" w:sz="6" w:space="8"/>
        </w:pBdr>
        <w:spacing w:after="120" w:before="100" w:line="270"/>
      </w:pPr>
      <w:r>
        <w:rPr>
          <w:rFonts w:ascii="Arial" w:cs="Arial" w:eastAsia="Arial" w:hAnsi="Arial"/>
          <w:color w:val="16323B"/>
          <w:sz w:val="20"/>
          <w:szCs w:val="20"/>
        </w:rPr>
        <w:t xml:space="preserve">Dokumen ini adalah spesifikasi build internal, disusun dari proposal, hasil evaluasi 13 Proses Budidaya (review Fardan Ardiansyah), dan konfirmasi target panen (Jubir). Jadi acuan utama pengembangan sistem 14 hari.</w:t>
      </w:r>
    </w:p>
    <w:p>
      <w:r>
        <w:br w:type="page"/>
      </w:r>
    </w:p>
    <w:p>
      <w:pPr>
        <w:pStyle w:val="Heading1"/>
        <w:spacing w:after="130" w:before="40"/>
      </w:pPr>
      <w:r>
        <w:rPr>
          <w:rFonts w:ascii="Arial" w:cs="Arial" w:eastAsia="Arial" w:hAnsi="Arial"/>
          <w:color w:val="16323B"/>
          <w:sz w:val="20"/>
          <w:szCs w:val="20"/>
        </w:rPr>
        <w:t xml:space="preserve">1. Overview &amp; Tujuan</w:t>
      </w:r>
    </w:p>
    <w:p>
      <w:pPr>
        <w:spacing w:after="110" w:line="268"/>
      </w:pPr>
      <w:r>
        <w:rPr>
          <w:rFonts w:ascii="Arial" w:cs="Arial" w:eastAsia="Arial" w:hAnsi="Arial"/>
          <w:color w:val="16323B"/>
          <w:sz w:val="20"/>
          <w:szCs w:val="20"/>
        </w:rPr>
        <w:t xml:space="preserve">Mengubah pencatatan operasional 76 kolam yang saat ini tersebar di 60+ sheet Excel dan 2 file terpisah (monitoring &amp; biaya) menjadi satu sistem digital terpusat, bisa diakses laptop maupun HP.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color w:val="0B3C49"/>
          <w:sz w:val="21"/>
          <w:szCs w:val="21"/>
        </w:rPr>
        <w:t xml:space="preserve">Tujuan Utama</w:t>
      </w:r>
    </w:p>
    <w:p>
      <w:pPr>
        <w:pStyle w:val="ListParagraph"/>
        <w:numPr>
          <w:ilvl w:val="0"/>
          <w:numId w:val="2"/>
        </w:numPr>
        <w:spacing w:after="65" w:line="260"/>
      </w:pPr>
      <w:r>
        <w:rPr>
          <w:rFonts w:ascii="Arial" w:cs="Arial" w:eastAsia="Arial" w:hAnsi="Arial"/>
          <w:color w:val="16323B"/>
          <w:sz w:val="20"/>
          <w:szCs w:val="20"/>
        </w:rPr>
        <w:t xml:space="preserve">Mencatat data kolam, siklus, pakan, kualitas air, panen, dan biaya secara digital &amp; terpusat.</w:t>
      </w:r>
    </w:p>
    <w:p>
      <w:pPr>
        <w:pStyle w:val="ListParagraph"/>
        <w:numPr>
          <w:ilvl w:val="0"/>
          <w:numId w:val="2"/>
        </w:numPr>
        <w:spacing w:after="65" w:line="260"/>
      </w:pPr>
      <w:r>
        <w:rPr>
          <w:rFonts w:ascii="Arial" w:cs="Arial" w:eastAsia="Arial" w:hAnsi="Arial"/>
          <w:color w:val="16323B"/>
          <w:sz w:val="20"/>
          <w:szCs w:val="20"/>
        </w:rPr>
        <w:t xml:space="preserve">Menghitung metrik pertumbuhan (FCR, SR, biomass) otomatis dari input harian, menggantikan hitungan manual Excel.</w:t>
      </w:r>
    </w:p>
    <w:p>
      <w:pPr>
        <w:pStyle w:val="ListParagraph"/>
        <w:numPr>
          <w:ilvl w:val="0"/>
          <w:numId w:val="2"/>
        </w:numPr>
        <w:spacing w:after="65" w:line="260"/>
      </w:pPr>
      <w:r>
        <w:rPr>
          <w:rFonts w:ascii="Arial" w:cs="Arial" w:eastAsia="Arial" w:hAnsi="Arial"/>
          <w:color w:val="16323B"/>
          <w:sz w:val="20"/>
          <w:szCs w:val="20"/>
        </w:rPr>
        <w:t xml:space="preserve">Menyediakan dashboard ringkas untuk owner/pengelola memantau kondisi 76 kolam secara cepat.</w:t>
      </w:r>
    </w:p>
    <w:p>
      <w:pPr>
        <w:pStyle w:val="ListParagraph"/>
        <w:numPr>
          <w:ilvl w:val="0"/>
          <w:numId w:val="2"/>
        </w:numPr>
        <w:spacing w:after="65" w:line="260"/>
      </w:pPr>
      <w:r>
        <w:rPr>
          <w:rFonts w:ascii="Arial" w:cs="Arial" w:eastAsia="Arial" w:hAnsi="Arial"/>
          <w:color w:val="16323B"/>
          <w:sz w:val="20"/>
          <w:szCs w:val="20"/>
        </w:rPr>
        <w:t xml:space="preserve">Menghasilkan laporan biaya &amp; estimasi laba/rugi per siklus.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color w:val="0B3C49"/>
          <w:sz w:val="21"/>
          <w:szCs w:val="21"/>
        </w:rPr>
        <w:t xml:space="preserve">Konteks Proyek</w:t>
      </w:r>
    </w:p>
    <w:tbl>
      <w:tblPr>
        <w:tblW w:type="pct" w:w="100%"/>
        <w:tblBorders>
          <w:top w:val="single" w:color="CBD9DC" w:sz="2"/>
          <w:left w:val="single" w:color="CBD9DC" w:sz="2"/>
          <w:bottom w:val="single" w:color="CBD9DC" w:sz="2"/>
          <w:right w:val="single" w:color="CBD9DC" w:sz="2"/>
          <w:insideH w:val="single" w:color="E2EAEC" w:sz="1"/>
          <w:insideV w:val="single" w:color="E2EAEC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0B3C49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pct" w:w="72%"/>
            <w:shd w:fill="0B3C49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Nilai kontrak</w:t>
            </w:r>
          </w:p>
        </w:tc>
        <w:tc>
          <w:tcPr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Rp 27.000.000 — jual lepas + free maintenance 4 bulan</w:t>
            </w:r>
          </w:p>
        </w:tc>
      </w:tr>
      <w:tr>
        <w:tc>
          <w:tcPr>
            <w:shd w:fill="F4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Timeline</w:t>
            </w:r>
          </w:p>
        </w:tc>
        <w:tc>
          <w:tcPr>
            <w:shd w:fill="F4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Maksimal 14 hari sejak kebutuhan disepakati</w:t>
            </w:r>
          </w:p>
        </w:tc>
      </w:tr>
      <w:tr>
        <w:tc>
          <w:tcPr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Kapasitas</w:t>
            </w:r>
          </w:p>
        </w:tc>
        <w:tc>
          <w:tcPr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Konfigurasi awal hingga 76 kolam</w:t>
            </w:r>
          </w:p>
        </w:tc>
      </w:tr>
      <w:tr>
        <w:tc>
          <w:tcPr>
            <w:shd w:fill="F4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Stack</w:t>
            </w:r>
          </w:p>
        </w:tc>
        <w:tc>
          <w:tcPr>
            <w:shd w:fill="F4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Laravel 12, PostgreSQL, Blade, TailwindCSS</w:t>
            </w:r>
          </w:p>
        </w:tc>
      </w:tr>
      <w:tr>
        <w:tc>
          <w:tcPr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Deploy</w:t>
            </w:r>
          </w:p>
        </w:tc>
        <w:tc>
          <w:tcPr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Git push → SSH pull di Hostinger</w:t>
            </w:r>
          </w:p>
        </w:tc>
      </w:tr>
      <w:tr>
        <w:tc>
          <w:tcPr>
            <w:shd w:fill="F4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Basis kode</w:t>
            </w:r>
          </w:p>
        </w:tc>
        <w:tc>
          <w:tcPr>
            <w:shd w:fill="F4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Reuse pola dari POS SaaS (auth, multi-tenant, role/permission, komponen UI)</w:t>
            </w:r>
          </w:p>
        </w:tc>
      </w:tr>
    </w:tbl>
    <w:p>
      <w:r>
        <w:br w:type="page"/>
      </w:r>
    </w:p>
    <w:p>
      <w:pPr>
        <w:pStyle w:val="Heading1"/>
        <w:spacing w:after="130" w:before="40"/>
      </w:pPr>
      <w:r>
        <w:rPr>
          <w:rFonts w:ascii="Arial" w:cs="Arial" w:eastAsia="Arial" w:hAnsi="Arial"/>
          <w:color w:val="16323B"/>
          <w:sz w:val="20"/>
          <w:szCs w:val="20"/>
        </w:rPr>
        <w:t xml:space="preserve">2. Scope — Fase 1 vs Pencatatan Dasar</w:t>
      </w:r>
    </w:p>
    <w:p>
      <w:pPr>
        <w:spacing w:after="110" w:line="268"/>
      </w:pPr>
      <w:r>
        <w:rPr>
          <w:rFonts w:ascii="Arial" w:cs="Arial" w:eastAsia="Arial" w:hAnsi="Arial"/>
          <w:color w:val="16323B"/>
          <w:sz w:val="20"/>
          <w:szCs w:val="20"/>
        </w:rPr>
        <w:t xml:space="preserve">Modul Penyakit &amp; Penanggulangan digabung dengan Emergency Action menjadi satu modul (usulan Fardan, disetujui) — mengurangi satu modul dari beban build tanpa mengurangi cakupan.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color w:val="0B3C49"/>
          <w:sz w:val="21"/>
          <w:szCs w:val="21"/>
        </w:rPr>
        <w:t xml:space="preserve">Fase 1 — Dibangun Penuh</w:t>
      </w:r>
    </w:p>
    <w:tbl>
      <w:tblPr>
        <w:tblW w:type="pct" w:w="100%"/>
        <w:tblBorders>
          <w:top w:val="single" w:color="CBD9DC" w:sz="2"/>
          <w:left w:val="single" w:color="CBD9DC" w:sz="2"/>
          <w:bottom w:val="single" w:color="CBD9DC" w:sz="2"/>
          <w:right w:val="single" w:color="CBD9DC" w:sz="2"/>
          <w:insideH w:val="single" w:color="E2EAEC" w:sz="1"/>
          <w:insideV w:val="single" w:color="E2EAEC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2%"/>
            <w:shd w:fill="0B3C49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</w:t>
            </w:r>
          </w:p>
        </w:tc>
        <w:tc>
          <w:tcPr>
            <w:tcW w:type="pct" w:w="68%"/>
            <w:shd w:fill="0B3C49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Cakupan</w:t>
            </w:r>
          </w:p>
        </w:tc>
      </w:tr>
      <w:tr>
        <w:tc>
          <w:tcPr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Dashboard</w:t>
            </w:r>
          </w:p>
        </w:tc>
        <w:tc>
          <w:tcPr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Ringkasan kolam aktif, KPI, aktivitas terbaru (lihat Bagian 7)</w:t>
            </w:r>
          </w:p>
        </w:tc>
      </w:tr>
      <w:tr>
        <w:tc>
          <w:tcPr>
            <w:shd w:fill="F4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Data Kolam</w:t>
            </w:r>
          </w:p>
        </w:tc>
        <w:tc>
          <w:tcPr>
            <w:shd w:fill="F4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Master 76 kolam: kode, blok, luas, kapasitas, status</w:t>
            </w:r>
          </w:p>
        </w:tc>
      </w:tr>
      <w:tr>
        <w:tc>
          <w:tcPr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Siklus Budidaya (Penebaran Benur)</w:t>
            </w:r>
          </w:p>
        </w:tc>
        <w:tc>
          <w:tcPr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Tanggal tebar, tanggal pakan pertama (anchor DOC), asal benur, jumlah tebar, harga benur</w:t>
            </w:r>
          </w:p>
        </w:tc>
      </w:tr>
      <w:tr>
        <w:tc>
          <w:tcPr>
            <w:shd w:fill="F4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Manajemen Pakan</w:t>
            </w:r>
          </w:p>
        </w:tc>
        <w:tc>
          <w:tcPr>
            <w:shd w:fill="F4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Pakan harian 4x, program pakan per fase DOC, pengecekan ancho, FR%, FCR</w:t>
            </w:r>
          </w:p>
        </w:tc>
      </w:tr>
      <w:tr>
        <w:tc>
          <w:tcPr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Kualitas Air</w:t>
            </w:r>
          </w:p>
        </w:tc>
        <w:tc>
          <w:tcPr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Monitoring harian &amp; mingguan, standar mutu &amp; alert otomatis, perlakuan air</w:t>
            </w:r>
          </w:p>
        </w:tc>
      </w:tr>
      <w:tr>
        <w:tc>
          <w:tcPr>
            <w:shd w:fill="F4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Sampling &amp; Pertumbuhan</w:t>
            </w:r>
          </w:p>
        </w:tc>
        <w:tc>
          <w:tcPr>
            <w:shd w:fill="F4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MBW, ADG, Size, SR%, biomass, jadwal otomatis (DOC 30 + 7 hari)</w:t>
            </w:r>
          </w:p>
        </w:tc>
      </w:tr>
      <w:tr>
        <w:tc>
          <w:tcPr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Panen</w:t>
            </w:r>
          </w:p>
        </w:tc>
        <w:tc>
          <w:tcPr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Multi-tahap: partial 1, partial 2, total — biomass, size, harga, pendapatan</w:t>
            </w:r>
          </w:p>
        </w:tc>
      </w:tr>
      <w:tr>
        <w:tc>
          <w:tcPr>
            <w:shd w:fill="F4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Aplikasi Kimia &amp; Biologi</w:t>
            </w:r>
          </w:p>
        </w:tc>
        <w:tc>
          <w:tcPr>
            <w:shd w:fill="F4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Pemakaian &amp; biaya probiotik/mineral/desinfektan</w:t>
            </w:r>
          </w:p>
        </w:tc>
      </w:tr>
      <w:tr>
        <w:tc>
          <w:tcPr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Biaya &amp; Laporan</w:t>
            </w:r>
          </w:p>
        </w:tc>
        <w:tc>
          <w:tcPr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Biaya per kategori, HPP per kg, estimasi laba/rugi per siklus</w:t>
            </w:r>
          </w:p>
        </w:tc>
      </w:tr>
    </w:tbl>
    <w:p>
      <w:pPr>
        <w:spacing w:after="50" w:before="120"/>
      </w:pPr>
      <w:r>
        <w:rPr>
          <w:rFonts w:ascii="Arial" w:cs="Arial" w:eastAsia="Arial" w:hAnsi="Arial"/>
          <w:b/>
          <w:bCs/>
          <w:color w:val="0B3C49"/>
          <w:sz w:val="21"/>
          <w:szCs w:val="21"/>
        </w:rPr>
        <w:t xml:space="preserve">Pencatatan Dasar — Fase 1 Ringan (bisa dikembangkan Fase 2)</w:t>
      </w:r>
    </w:p>
    <w:tbl>
      <w:tblPr>
        <w:tblW w:type="pct" w:w="100%"/>
        <w:tblBorders>
          <w:top w:val="single" w:color="CBD9DC" w:sz="2"/>
          <w:left w:val="single" w:color="CBD9DC" w:sz="2"/>
          <w:bottom w:val="single" w:color="CBD9DC" w:sz="2"/>
          <w:right w:val="single" w:color="CBD9DC" w:sz="2"/>
          <w:insideH w:val="single" w:color="E2EAEC" w:sz="1"/>
          <w:insideV w:val="single" w:color="E2EAEC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2%"/>
            <w:shd w:fill="0B3C49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</w:t>
            </w:r>
          </w:p>
        </w:tc>
        <w:tc>
          <w:tcPr>
            <w:tcW w:type="pct" w:w="68%"/>
            <w:shd w:fill="0B3C49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Cakupan</w:t>
            </w:r>
          </w:p>
        </w:tc>
      </w:tr>
      <w:tr>
        <w:tc>
          <w:tcPr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Persiapan Tambak</w:t>
            </w:r>
          </w:p>
        </w:tc>
        <w:tc>
          <w:tcPr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Checklist progres, tanggal mulai, biaya sterilisasi — tanpa workflow kompleks</w:t>
            </w:r>
          </w:p>
        </w:tc>
      </w:tr>
      <w:tr>
        <w:tc>
          <w:tcPr>
            <w:shd w:fill="F4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Persiapan Air</w:t>
            </w:r>
          </w:p>
        </w:tc>
        <w:tc>
          <w:tcPr>
            <w:shd w:fill="F4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Tanggal isi air, sterilisasi, cek awal kualitas air</w:t>
            </w:r>
          </w:p>
        </w:tc>
      </w:tr>
      <w:tr>
        <w:tc>
          <w:tcPr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Manajemen Dasar Tambak</w:t>
            </w:r>
          </w:p>
        </w:tc>
        <w:tc>
          <w:tcPr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Siphon, kondisi lumpur, kincir — pencatatan sederhana</w:t>
            </w:r>
          </w:p>
        </w:tc>
      </w:tr>
      <w:tr>
        <w:tc>
          <w:tcPr>
            <w:shd w:fill="F4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Emergency &amp; Kesehatan (gabungan)</w:t>
            </w:r>
          </w:p>
        </w:tc>
        <w:tc>
          <w:tcPr>
            <w:shd w:fill="F4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Tanggal, jenis kejadian, tindakan, keputusan (lanjut/flush-out/panen parsial). Tanpa modul diagnosis penyakit terpisah.</w:t>
            </w:r>
          </w:p>
        </w:tc>
      </w:tr>
    </w:tbl>
    <w:tbl>
      <w:tblPr>
        <w:tblW w:type="pct" w:w="100%"/>
        <w:tblBorders>
          <w:top w:val="single" w:color="D8E6E8" w:sz="2"/>
          <w:left w:val="single" w:color="B5781F" w:sz="18"/>
          <w:bottom w:val="single" w:color="D8E6E8" w:sz="2"/>
          <w:right w:val="single" w:color="D8E6E8" w:sz="2"/>
          <w:insideH w:val="none"/>
          <w:insideV w:val="none"/>
        </w:tblBorders>
      </w:tblPr>
      <w:tblGrid>
        <w:gridCol w:w="100"/>
      </w:tblGrid>
      <w:tr>
        <w:tc>
          <w:tcPr>
            <w:shd w:fill="FFF6E6" w:val="clear"/>
            <w:tcMar>
              <w:top w:type="dxa" w:w="110"/>
              <w:left w:type="dxa" w:w="190"/>
              <w:bottom w:type="dxa" w:w="110"/>
              <w:right w:type="dxa" w:w="16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B5781F"/>
                <w:sz w:val="20"/>
                <w:szCs w:val="20"/>
              </w:rPr>
              <w:t xml:space="preserve">Di luar scope (lihat Bagian 10 untuk detail lengkap):</w:t>
            </w:r>
          </w:p>
          <w:p>
            <w:pPr>
              <w:spacing w:after="35" w:line="258"/>
            </w:pPr>
            <w:r>
              <w:rPr>
                <w:rFonts w:ascii="Arial" w:cs="Arial" w:eastAsia="Arial" w:hAnsi="Arial"/>
                <w:color w:val="16323B"/>
                <w:sz w:val="19"/>
                <w:szCs w:val="19"/>
              </w:rPr>
              <w:t xml:space="preserve">Migrasi data historis dari Excel — dibahas &amp; dikerjakan terpisah dari 14 hari inti.</w:t>
            </w:r>
          </w:p>
        </w:tc>
      </w:tr>
    </w:tbl>
    <w:p>
      <w:r>
        <w:br w:type="page"/>
      </w:r>
    </w:p>
    <w:p>
      <w:pPr>
        <w:pStyle w:val="Heading1"/>
        <w:spacing w:after="130" w:before="40"/>
      </w:pPr>
      <w:r>
        <w:rPr>
          <w:rFonts w:ascii="Arial" w:cs="Arial" w:eastAsia="Arial" w:hAnsi="Arial"/>
          <w:color w:val="16323B"/>
          <w:sz w:val="20"/>
          <w:szCs w:val="20"/>
        </w:rPr>
        <w:t xml:space="preserve">3. User Roles</w:t>
      </w:r>
    </w:p>
    <w:tbl>
      <w:tblPr>
        <w:tblW w:type="pct" w:w="100%"/>
        <w:tblBorders>
          <w:top w:val="single" w:color="CBD9DC" w:sz="2"/>
          <w:left w:val="single" w:color="CBD9DC" w:sz="2"/>
          <w:bottom w:val="single" w:color="CBD9DC" w:sz="2"/>
          <w:right w:val="single" w:color="CBD9DC" w:sz="2"/>
          <w:insideH w:val="single" w:color="E2EAEC" w:sz="1"/>
          <w:insideV w:val="single" w:color="E2EAEC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0B3C49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pct" w:w="70%"/>
            <w:shd w:fill="0B3C49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/ Akses Utama</w:t>
            </w:r>
          </w:p>
        </w:tc>
      </w:tr>
      <w:tr>
        <w:tc>
          <w:tcPr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Owner / Manajer</w:t>
            </w:r>
          </w:p>
        </w:tc>
        <w:tc>
          <w:tcPr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Lihat dashboard, semua laporan, approval; tidak input harian</w:t>
            </w:r>
          </w:p>
        </w:tc>
      </w:tr>
      <w:tr>
        <w:tc>
          <w:tcPr>
            <w:shd w:fill="F4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Analis</w:t>
            </w:r>
          </w:p>
        </w:tc>
        <w:tc>
          <w:tcPr>
            <w:shd w:fill="F4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Sampling (MBW, populasi), pencatatan mortalitas</w:t>
            </w:r>
          </w:p>
        </w:tc>
      </w:tr>
      <w:tr>
        <w:tc>
          <w:tcPr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Petugas Lapangan / Operasional</w:t>
            </w:r>
          </w:p>
        </w:tc>
        <w:tc>
          <w:tcPr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Pakan harian, cek kualitas air harian, ancho, obat-obatan</w:t>
            </w:r>
          </w:p>
        </w:tc>
      </w:tr>
      <w:tr>
        <w:tc>
          <w:tcPr>
            <w:shd w:fill="F4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Lab</w:t>
            </w:r>
          </w:p>
        </w:tc>
        <w:tc>
          <w:tcPr>
            <w:shd w:fill="F4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Hasil uji air mingguan (TAN, ammonia, nitrit, nitrat, vibrio/bakteri)</w:t>
            </w:r>
          </w:p>
        </w:tc>
      </w:tr>
    </w:tbl>
    <w:p>
      <w:pPr>
        <w:spacing w:after="110" w:line="268"/>
      </w:pPr>
      <w:r>
        <w:rPr>
          <w:rFonts w:ascii="Arial" w:cs="Arial" w:eastAsia="Arial" w:hAnsi="Arial"/>
          <w:i/>
          <w:iCs/>
          <w:color w:val="5B7882"/>
          <w:sz w:val="18"/>
          <w:szCs w:val="18"/>
        </w:rPr>
        <w:t xml:space="preserve">Sumber: dikonfirmasi langsung oleh Fardan Ardiansyah pada review 13 Proses Budidaya.</w:t>
      </w:r>
    </w:p>
    <w:p>
      <w:r>
        <w:br w:type="page"/>
      </w:r>
    </w:p>
    <w:p>
      <w:pPr>
        <w:pStyle w:val="Heading1"/>
        <w:spacing w:after="130" w:before="40"/>
      </w:pPr>
      <w:r>
        <w:rPr>
          <w:rFonts w:ascii="Arial" w:cs="Arial" w:eastAsia="Arial" w:hAnsi="Arial"/>
          <w:color w:val="16323B"/>
          <w:sz w:val="20"/>
          <w:szCs w:val="20"/>
        </w:rPr>
        <w:t xml:space="preserve">4. Data Model</w:t>
      </w:r>
    </w:p>
    <w:p>
      <w:pPr>
        <w:spacing w:after="110" w:line="268"/>
      </w:pPr>
      <w:r>
        <w:rPr>
          <w:rFonts w:ascii="Arial" w:cs="Arial" w:eastAsia="Arial" w:hAnsi="Arial"/>
          <w:color w:val="16323B"/>
          <w:sz w:val="20"/>
          <w:szCs w:val="20"/>
        </w:rPr>
        <w:t xml:space="preserve">Struktur inti — semua data menempel ke </w:t>
      </w:r>
      <w:r>
        <w:rPr>
          <w:rFonts w:ascii="Arial" w:cs="Arial" w:eastAsia="Arial" w:hAnsi="Arial"/>
          <w:b/>
          <w:bCs/>
          <w:color w:val="16323B"/>
          <w:sz w:val="20"/>
          <w:szCs w:val="20"/>
        </w:rPr>
        <w:t xml:space="preserve">stocking</w:t>
      </w:r>
      <w:r>
        <w:rPr>
          <w:rFonts w:ascii="Arial" w:cs="Arial" w:eastAsia="Arial" w:hAnsi="Arial"/>
          <w:color w:val="16323B"/>
          <w:sz w:val="20"/>
          <w:szCs w:val="20"/>
        </w:rPr>
        <w:t xml:space="preserve"> (siklus × kolam), bukan langsung ke kolam, karena satu kolam dipakai berkali-kali lintas siklus.</w:t>
      </w:r>
    </w:p>
    <w:tbl>
      <w:tblPr>
        <w:tblW w:type="pct" w:w="100%"/>
        <w:tblBorders>
          <w:top w:val="single" w:color="CBD9DC" w:sz="2"/>
          <w:left w:val="single" w:color="CBD9DC" w:sz="2"/>
          <w:bottom w:val="single" w:color="CBD9DC" w:sz="2"/>
          <w:right w:val="single" w:color="CBD9DC" w:sz="2"/>
          <w:insideH w:val="single" w:color="E2EAEC" w:sz="1"/>
          <w:insideV w:val="single" w:color="E2EAEC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shd w:fill="0B3C49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</w:t>
            </w:r>
          </w:p>
        </w:tc>
        <w:tc>
          <w:tcPr>
            <w:tcW w:type="pct" w:w="78%"/>
            <w:shd w:fill="0B3C49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Kolom Kunci</w:t>
            </w:r>
          </w:p>
        </w:tc>
      </w:tr>
      <w:tr>
        <w:tc>
          <w:tcPr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farms</w:t>
            </w:r>
          </w:p>
        </w:tc>
        <w:tc>
          <w:tcPr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id, nama, lokasi</w:t>
            </w:r>
          </w:p>
        </w:tc>
      </w:tr>
      <w:tr>
        <w:tc>
          <w:tcPr>
            <w:shd w:fill="F4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blocks</w:t>
            </w:r>
          </w:p>
        </w:tc>
        <w:tc>
          <w:tcPr>
            <w:shd w:fill="F4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id, farm_id, nama (A, B, C, D, R, RW)</w:t>
            </w:r>
          </w:p>
        </w:tc>
      </w:tr>
      <w:tr>
        <w:tc>
          <w:tcPr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ponds</w:t>
            </w:r>
          </w:p>
        </w:tc>
        <w:tc>
          <w:tcPr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id, block_id, kode_kolam, luas, kapasitas, status</w:t>
            </w:r>
          </w:p>
        </w:tc>
      </w:tr>
      <w:tr>
        <w:tc>
          <w:tcPr>
            <w:shd w:fill="F4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cycles</w:t>
            </w:r>
          </w:p>
        </w:tc>
        <w:tc>
          <w:tcPr>
            <w:shd w:fill="F4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id, nama</w:t>
            </w:r>
          </w:p>
        </w:tc>
      </w:tr>
      <w:tr>
        <w:tc>
          <w:tcPr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stockings</w:t>
            </w:r>
          </w:p>
        </w:tc>
        <w:tc>
          <w:tcPr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id, pond_id, cycle_id, tgl_tebar, tgl_pakan_pertama (anchor DOC), asal_benur, jumlah_tebar, harga_benur</w:t>
            </w:r>
          </w:p>
        </w:tc>
      </w:tr>
      <w:tr>
        <w:tc>
          <w:tcPr>
            <w:shd w:fill="F4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daily_logs</w:t>
            </w:r>
          </w:p>
        </w:tc>
        <w:tc>
          <w:tcPr>
            <w:shd w:fill="F4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id, stocking_id, tgl, pakan_kg (4x), kode_pakan, hasil_ancho, do/ph/suhu/salinitas (pagi-sore)</w:t>
            </w:r>
          </w:p>
        </w:tc>
      </w:tr>
      <w:tr>
        <w:tc>
          <w:tcPr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water_quality_weekly</w:t>
            </w:r>
          </w:p>
        </w:tc>
        <w:tc>
          <w:tcPr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id, stocking_id, tgl, TAN, ammonia, nitrit, nitrat, vibrio, total_bakteri</w:t>
            </w:r>
          </w:p>
        </w:tc>
      </w:tr>
      <w:tr>
        <w:tc>
          <w:tcPr>
            <w:shd w:fill="F4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samplings</w:t>
            </w:r>
          </w:p>
        </w:tc>
        <w:tc>
          <w:tcPr>
            <w:shd w:fill="F4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id, stocking_id, tgl, doc, mbw, populasi, kondisi_organ</w:t>
            </w:r>
          </w:p>
        </w:tc>
      </w:tr>
      <w:tr>
        <w:tc>
          <w:tcPr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harvests</w:t>
            </w:r>
          </w:p>
        </w:tc>
        <w:tc>
          <w:tcPr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id, stocking_id, tahap (partial1/partial2/total), tgl, berat_kg, size, harga_per_kg</w:t>
            </w:r>
          </w:p>
        </w:tc>
      </w:tr>
      <w:tr>
        <w:tc>
          <w:tcPr>
            <w:shd w:fill="F4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inventory_usage</w:t>
            </w:r>
          </w:p>
        </w:tc>
        <w:tc>
          <w:tcPr>
            <w:shd w:fill="F4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id, stocking_id, tgl, kategori, item, qty, harga</w:t>
            </w:r>
          </w:p>
        </w:tc>
      </w:tr>
      <w:tr>
        <w:tc>
          <w:tcPr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prep_logs</w:t>
            </w:r>
          </w:p>
        </w:tc>
        <w:tc>
          <w:tcPr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id, pond_id, cycle_id, jenis (tambak/air), tgl, checklist, biaya</w:t>
            </w:r>
          </w:p>
        </w:tc>
      </w:tr>
      <w:tr>
        <w:tc>
          <w:tcPr>
            <w:shd w:fill="F4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emergency_logs</w:t>
            </w:r>
          </w:p>
        </w:tc>
        <w:tc>
          <w:tcPr>
            <w:shd w:fill="F4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id, stocking_id, tgl, jenis, tindakan, keputusan</w:t>
            </w:r>
          </w:p>
        </w:tc>
      </w:tr>
    </w:tbl>
    <w:tbl>
      <w:tblPr>
        <w:tblW w:type="pct" w:w="100%"/>
        <w:tblBorders>
          <w:top w:val="single" w:color="D8E6E8" w:sz="2"/>
          <w:left w:val="single" w:color="1F7A52" w:sz="18"/>
          <w:bottom w:val="single" w:color="D8E6E8" w:sz="2"/>
          <w:right w:val="single" w:color="D8E6E8" w:sz="2"/>
          <w:insideH w:val="none"/>
          <w:insideV w:val="none"/>
        </w:tblBorders>
      </w:tblPr>
      <w:tblGrid>
        <w:gridCol w:w="100"/>
      </w:tblGrid>
      <w:tr>
        <w:tc>
          <w:tcPr>
            <w:shd w:fill="E9F5EE" w:val="clear"/>
            <w:tcMar>
              <w:top w:type="dxa" w:w="110"/>
              <w:left w:type="dxa" w:w="190"/>
              <w:bottom w:type="dxa" w:w="110"/>
              <w:right w:type="dxa" w:w="16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7A52"/>
                <w:sz w:val="20"/>
                <w:szCs w:val="20"/>
              </w:rPr>
              <w:t xml:space="preserve">Keputusan desain penting:</w:t>
            </w:r>
          </w:p>
          <w:p>
            <w:pPr>
              <w:spacing w:after="35" w:line="258"/>
            </w:pPr>
            <w:r>
              <w:rPr>
                <w:rFonts w:ascii="Arial" w:cs="Arial" w:eastAsia="Arial" w:hAnsi="Arial"/>
                <w:b/>
                <w:bCs/>
                <w:color w:val="16323B"/>
                <w:sz w:val="20"/>
                <w:szCs w:val="20"/>
              </w:rPr>
              <w:t xml:space="preserve">DOC dihitung dari tgl_pakan_pertama</w:t>
            </w:r>
            <w:r>
              <w:rPr>
                <w:rFonts w:ascii="Arial" w:cs="Arial" w:eastAsia="Arial" w:hAnsi="Arial"/>
                <w:color w:val="16323B"/>
                <w:sz w:val="20"/>
                <w:szCs w:val="20"/>
              </w:rPr>
              <w:t xml:space="preserve">, bukan tgl_tebar — hasil koreksi Fardan. Semua field/query berbasis DOC (jadwal sampling, fase pakan) mengacu ke sini.</w:t>
            </w:r>
          </w:p>
        </w:tc>
      </w:tr>
    </w:tbl>
    <w:p>
      <w:r>
        <w:br w:type="page"/>
      </w:r>
    </w:p>
    <w:p>
      <w:pPr>
        <w:pStyle w:val="Heading1"/>
        <w:spacing w:after="130" w:before="40"/>
      </w:pPr>
      <w:r>
        <w:rPr>
          <w:rFonts w:ascii="Arial" w:cs="Arial" w:eastAsia="Arial" w:hAnsi="Arial"/>
          <w:color w:val="16323B"/>
          <w:sz w:val="20"/>
          <w:szCs w:val="20"/>
        </w:rPr>
        <w:t xml:space="preserve">5. Spesifikasi per Modul &amp; Business Rules</w:t>
      </w:r>
    </w:p>
    <w:p>
      <w:pPr>
        <w:pStyle w:val="Heading2"/>
        <w:spacing w:after="70" w:before="160"/>
      </w:pPr>
      <w:r>
        <w:rPr>
          <w:rFonts w:ascii="Arial" w:cs="Arial" w:eastAsia="Arial" w:hAnsi="Arial"/>
          <w:b/>
          <w:bCs/>
          <w:color w:val="028090"/>
          <w:sz w:val="24"/>
          <w:szCs w:val="24"/>
        </w:rPr>
        <w:t xml:space="preserve">5.1 Manajemen Pakan</w:t>
      </w:r>
    </w:p>
    <w:p>
      <w:pPr>
        <w:pStyle w:val="ListParagraph"/>
        <w:numPr>
          <w:ilvl w:val="0"/>
          <w:numId w:val="2"/>
        </w:numPr>
        <w:spacing w:after="65" w:line="260"/>
      </w:pPr>
      <w:r>
        <w:rPr>
          <w:rFonts w:ascii="Arial" w:cs="Arial" w:eastAsia="Arial" w:hAnsi="Arial"/>
          <w:color w:val="16323B"/>
          <w:sz w:val="20"/>
          <w:szCs w:val="20"/>
        </w:rPr>
        <w:t xml:space="preserve">Input: 4x pemberian/hari (07.00/11.00/15.00/19.00), kode pakan sesuai fase DOC (#0→3M).</w:t>
      </w:r>
    </w:p>
    <w:p>
      <w:pPr>
        <w:pStyle w:val="ListParagraph"/>
        <w:numPr>
          <w:ilvl w:val="0"/>
          <w:numId w:val="2"/>
        </w:numPr>
        <w:spacing w:after="65" w:line="260"/>
      </w:pPr>
      <w:r>
        <w:rPr>
          <w:rFonts w:ascii="Arial" w:cs="Arial" w:eastAsia="Arial" w:hAnsi="Arial"/>
          <w:color w:val="16323B"/>
          <w:sz w:val="20"/>
          <w:szCs w:val="20"/>
        </w:rPr>
        <w:t xml:space="preserve">Program pakan acuan tebar 60.000 tersimpan sebagai target pembanding (tabel fase DOC → kg/hari).</w:t>
      </w:r>
    </w:p>
    <w:p>
      <w:pPr>
        <w:pStyle w:val="ListParagraph"/>
        <w:numPr>
          <w:ilvl w:val="0"/>
          <w:numId w:val="2"/>
        </w:numPr>
        <w:spacing w:after="65" w:line="260"/>
      </w:pPr>
      <w:r>
        <w:rPr>
          <w:rFonts w:ascii="Arial" w:cs="Arial" w:eastAsia="Arial" w:hAnsi="Arial"/>
          <w:color w:val="16323B"/>
          <w:sz w:val="20"/>
          <w:szCs w:val="20"/>
        </w:rPr>
        <w:t xml:space="preserve">Ancho: dinilai </w:t>
      </w:r>
      <w:r>
        <w:rPr>
          <w:rFonts w:ascii="Arial" w:cs="Arial" w:eastAsia="Arial" w:hAnsi="Arial"/>
          <w:b/>
          <w:bCs/>
          <w:color w:val="16323B"/>
          <w:sz w:val="20"/>
          <w:szCs w:val="20"/>
        </w:rPr>
        <w:t xml:space="preserve">visual saja</w:t>
      </w:r>
      <w:r>
        <w:rPr>
          <w:rFonts w:ascii="Arial" w:cs="Arial" w:eastAsia="Arial" w:hAnsi="Arial"/>
          <w:color w:val="16323B"/>
          <w:sz w:val="20"/>
          <w:szCs w:val="20"/>
        </w:rPr>
        <w:t xml:space="preserve"> (Habis/Sisa sedikit/Sisa banyak) — timbang persen tidak dipakai.</w:t>
      </w:r>
    </w:p>
    <w:tbl>
      <w:tblPr>
        <w:tblW w:type="pct" w:w="100%"/>
        <w:tblBorders>
          <w:top w:val="single" w:color="D8E6E8" w:sz="2"/>
          <w:left w:val="single" w:color="B5781F" w:sz="18"/>
          <w:bottom w:val="single" w:color="D8E6E8" w:sz="2"/>
          <w:right w:val="single" w:color="D8E6E8" w:sz="2"/>
          <w:insideH w:val="none"/>
          <w:insideV w:val="none"/>
        </w:tblBorders>
      </w:tblPr>
      <w:tblGrid>
        <w:gridCol w:w="100"/>
      </w:tblGrid>
      <w:tr>
        <w:tc>
          <w:tcPr>
            <w:shd w:fill="FFF6E6" w:val="clear"/>
            <w:tcMar>
              <w:top w:type="dxa" w:w="110"/>
              <w:left w:type="dxa" w:w="190"/>
              <w:bottom w:type="dxa" w:w="110"/>
              <w:right w:type="dxa" w:w="16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B5781F"/>
                <w:sz w:val="20"/>
                <w:szCs w:val="20"/>
              </w:rPr>
              <w:t xml:space="preserve">Asumsi sementara (butuh konfirmasi Fardan):</w:t>
            </w:r>
          </w:p>
          <w:p>
            <w:pPr>
              <w:spacing w:after="35" w:line="258"/>
            </w:pPr>
            <w:r>
              <w:rPr>
                <w:rFonts w:ascii="Arial" w:cs="Arial" w:eastAsia="Arial" w:hAnsi="Arial"/>
                <w:color w:val="16323B"/>
                <w:sz w:val="19"/>
                <w:szCs w:val="19"/>
              </w:rPr>
              <w:t xml:space="preserve">Jeda waktu cek ancho: ±2 jam (default tengah dari pilihan yang diberikan).</w:t>
            </w:r>
          </w:p>
          <w:p>
            <w:pPr>
              <w:spacing w:after="35" w:line="258"/>
            </w:pPr>
            <w:r>
              <w:rPr>
                <w:rFonts w:ascii="Arial" w:cs="Arial" w:eastAsia="Arial" w:hAnsi="Arial"/>
                <w:color w:val="16323B"/>
                <w:sz w:val="19"/>
                <w:szCs w:val="19"/>
              </w:rPr>
              <w:t xml:space="preserve">Aturan penyesuaian: Habis → naik 10%; Sisa banyak → turun 10%; Sisa sedikit → tetap.</w:t>
            </w:r>
          </w:p>
          <w:p>
            <w:pPr>
              <w:spacing w:after="35" w:line="258"/>
            </w:pPr>
            <w:r>
              <w:rPr>
                <w:rFonts w:ascii="Arial" w:cs="Arial" w:eastAsia="Arial" w:hAnsi="Arial"/>
                <w:color w:val="16323B"/>
                <w:sz w:val="19"/>
                <w:szCs w:val="19"/>
              </w:rPr>
              <w:t xml:space="preserve">Porsi pakan ditaruh di ancho: 2% dari total pakan harian.</w:t>
            </w:r>
          </w:p>
          <w:p>
            <w:pPr>
              <w:spacing w:after="35" w:line="258"/>
            </w:pPr>
            <w:r>
              <w:rPr>
                <w:rFonts w:ascii="Arial" w:cs="Arial" w:eastAsia="Arial" w:hAnsi="Arial"/>
                <w:color w:val="16323B"/>
                <w:sz w:val="19"/>
                <w:szCs w:val="19"/>
              </w:rPr>
              <w:t xml:space="preserve">Alert otomatis dipicu setelah 2x berturut-turut hasil “sisa banyak”.</w:t>
            </w:r>
          </w:p>
        </w:tc>
      </w:tr>
    </w:tbl>
    <w:p>
      <w:pPr>
        <w:pStyle w:val="ListParagraph"/>
        <w:numPr>
          <w:ilvl w:val="0"/>
          <w:numId w:val="2"/>
        </w:numPr>
        <w:spacing w:after="65" w:line="260"/>
      </w:pPr>
      <w:r>
        <w:rPr>
          <w:rFonts w:ascii="Arial" w:cs="Arial" w:eastAsia="Arial" w:hAnsi="Arial"/>
          <w:i/>
          <w:iCs/>
          <w:color w:val="16323B"/>
          <w:sz w:val="20"/>
          <w:szCs w:val="20"/>
        </w:rPr>
        <w:t xml:space="preserve">FR% = (pakan harian ÷ biomass) × 100</w:t>
      </w:r>
    </w:p>
    <w:p>
      <w:pPr>
        <w:pStyle w:val="ListParagraph"/>
        <w:numPr>
          <w:ilvl w:val="0"/>
          <w:numId w:val="2"/>
        </w:numPr>
        <w:spacing w:after="65" w:line="260"/>
      </w:pPr>
      <w:r>
        <w:rPr>
          <w:rFonts w:ascii="Arial" w:cs="Arial" w:eastAsia="Arial" w:hAnsi="Arial"/>
          <w:i/>
          <w:iCs/>
          <w:color w:val="16323B"/>
          <w:sz w:val="20"/>
          <w:szCs w:val="20"/>
        </w:rPr>
        <w:t xml:space="preserve">FCR = akumulasi pakan (kg) ÷ biomass (kg)</w:t>
      </w:r>
    </w:p>
    <w:p>
      <w:pPr>
        <w:pStyle w:val="Heading2"/>
        <w:spacing w:after="70" w:before="160"/>
      </w:pPr>
      <w:r>
        <w:rPr>
          <w:rFonts w:ascii="Arial" w:cs="Arial" w:eastAsia="Arial" w:hAnsi="Arial"/>
          <w:b/>
          <w:bCs/>
          <w:color w:val="028090"/>
          <w:sz w:val="24"/>
          <w:szCs w:val="24"/>
        </w:rPr>
        <w:t xml:space="preserve">5.2 Sampling &amp; Pertumbuhan</w:t>
      </w:r>
    </w:p>
    <w:p>
      <w:pPr>
        <w:pStyle w:val="ListParagraph"/>
        <w:numPr>
          <w:ilvl w:val="0"/>
          <w:numId w:val="2"/>
        </w:numPr>
        <w:spacing w:after="65" w:line="260"/>
      </w:pPr>
      <w:r>
        <w:rPr>
          <w:rFonts w:ascii="Arial" w:cs="Arial" w:eastAsia="Arial" w:hAnsi="Arial"/>
          <w:color w:val="16323B"/>
          <w:sz w:val="20"/>
          <w:szCs w:val="20"/>
        </w:rPr>
        <w:t xml:space="preserve">Jadwal otomatis: sampling pertama di DOC 30, selanjutnya tiap 7 hari.</w:t>
      </w:r>
    </w:p>
    <w:p>
      <w:pPr>
        <w:pStyle w:val="ListParagraph"/>
        <w:numPr>
          <w:ilvl w:val="0"/>
          <w:numId w:val="2"/>
        </w:numPr>
        <w:spacing w:after="65" w:line="260"/>
      </w:pPr>
      <w:r>
        <w:rPr>
          <w:rFonts w:ascii="Arial" w:cs="Arial" w:eastAsia="Arial" w:hAnsi="Arial"/>
          <w:i/>
          <w:iCs/>
          <w:color w:val="16323B"/>
          <w:sz w:val="20"/>
          <w:szCs w:val="20"/>
        </w:rPr>
        <w:t xml:space="preserve">MBW = berat total sampel ÷ jumlah ekor</w:t>
      </w:r>
    </w:p>
    <w:p>
      <w:pPr>
        <w:pStyle w:val="ListParagraph"/>
        <w:numPr>
          <w:ilvl w:val="0"/>
          <w:numId w:val="2"/>
        </w:numPr>
        <w:spacing w:after="65" w:line="260"/>
      </w:pPr>
      <w:r>
        <w:rPr>
          <w:rFonts w:ascii="Arial" w:cs="Arial" w:eastAsia="Arial" w:hAnsi="Arial"/>
          <w:i/>
          <w:iCs/>
          <w:color w:val="16323B"/>
          <w:sz w:val="20"/>
          <w:szCs w:val="20"/>
        </w:rPr>
        <w:t xml:space="preserve">ADG = (MBW sekarang − MBW lalu) ÷ selisih hari</w:t>
      </w:r>
    </w:p>
    <w:p>
      <w:pPr>
        <w:pStyle w:val="ListParagraph"/>
        <w:numPr>
          <w:ilvl w:val="0"/>
          <w:numId w:val="2"/>
        </w:numPr>
        <w:spacing w:after="65" w:line="260"/>
      </w:pPr>
      <w:r>
        <w:rPr>
          <w:rFonts w:ascii="Arial" w:cs="Arial" w:eastAsia="Arial" w:hAnsi="Arial"/>
          <w:i/>
          <w:iCs/>
          <w:color w:val="16323B"/>
          <w:sz w:val="20"/>
          <w:szCs w:val="20"/>
        </w:rPr>
        <w:t xml:space="preserve">Size = 1.000 ÷ MBW</w:t>
      </w:r>
    </w:p>
    <w:p>
      <w:pPr>
        <w:pStyle w:val="ListParagraph"/>
        <w:numPr>
          <w:ilvl w:val="0"/>
          <w:numId w:val="2"/>
        </w:numPr>
        <w:spacing w:after="65" w:line="260"/>
      </w:pPr>
      <w:r>
        <w:rPr>
          <w:rFonts w:ascii="Arial" w:cs="Arial" w:eastAsia="Arial" w:hAnsi="Arial"/>
          <w:i/>
          <w:iCs/>
          <w:color w:val="16323B"/>
          <w:sz w:val="20"/>
          <w:szCs w:val="20"/>
        </w:rPr>
        <w:t xml:space="preserve">SR% = (populasi ÷ jumlah tebar) × 100</w:t>
      </w:r>
    </w:p>
    <w:p>
      <w:pPr>
        <w:pStyle w:val="ListParagraph"/>
        <w:numPr>
          <w:ilvl w:val="0"/>
          <w:numId w:val="2"/>
        </w:numPr>
        <w:spacing w:after="65" w:line="260"/>
      </w:pPr>
      <w:r>
        <w:rPr>
          <w:rFonts w:ascii="Arial" w:cs="Arial" w:eastAsia="Arial" w:hAnsi="Arial"/>
          <w:i/>
          <w:iCs/>
          <w:color w:val="16323B"/>
          <w:sz w:val="20"/>
          <w:szCs w:val="20"/>
        </w:rPr>
        <w:t xml:space="preserve">Biomass = (populasi × MBW) ÷ 1.000</w:t>
      </w:r>
    </w:p>
    <w:tbl>
      <w:tblPr>
        <w:tblW w:type="pct" w:w="100%"/>
        <w:tblBorders>
          <w:top w:val="single" w:color="D8E6E8" w:sz="2"/>
          <w:left w:val="single" w:color="1F7A52" w:sz="18"/>
          <w:bottom w:val="single" w:color="D8E6E8" w:sz="2"/>
          <w:right w:val="single" w:color="D8E6E8" w:sz="2"/>
          <w:insideH w:val="none"/>
          <w:insideV w:val="none"/>
        </w:tblBorders>
      </w:tblPr>
      <w:tblGrid>
        <w:gridCol w:w="100"/>
      </w:tblGrid>
      <w:tr>
        <w:tc>
          <w:tcPr>
            <w:shd w:fill="E9F5EE" w:val="clear"/>
            <w:tcMar>
              <w:top w:type="dxa" w:w="110"/>
              <w:left w:type="dxa" w:w="190"/>
              <w:bottom w:type="dxa" w:w="110"/>
              <w:right w:type="dxa" w:w="16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7A52"/>
                <w:sz w:val="20"/>
                <w:szCs w:val="20"/>
              </w:rPr>
              <w:t xml:space="preserve">Aturan penting:</w:t>
            </w:r>
          </w:p>
          <w:p>
            <w:pPr>
              <w:spacing w:after="35" w:line="258"/>
            </w:pPr>
            <w:r>
              <w:rPr>
                <w:rFonts w:ascii="Arial" w:cs="Arial" w:eastAsia="Arial" w:hAnsi="Arial"/>
                <w:b/>
                <w:bCs/>
                <w:color w:val="16323B"/>
                <w:sz w:val="20"/>
                <w:szCs w:val="20"/>
              </w:rPr>
              <w:t xml:space="preserve">Mortalitas dikali 2</w:t>
            </w:r>
            <w:r>
              <w:rPr>
                <w:rFonts w:ascii="Arial" w:cs="Arial" w:eastAsia="Arial" w:hAnsi="Arial"/>
                <w:color w:val="16323B"/>
                <w:sz w:val="20"/>
                <w:szCs w:val="20"/>
              </w:rPr>
              <w:t xml:space="preserve"> — sesuai praktik Excel Aquaclear, karena sifat kanibalisme udang (bangkai sering dimakan, jumlah asli lebih tinggi dari yang terlihat langsung).</w:t>
            </w:r>
          </w:p>
        </w:tc>
      </w:tr>
    </w:tbl>
    <w:p>
      <w:pPr>
        <w:pStyle w:val="Heading2"/>
        <w:spacing w:after="70" w:before="160"/>
      </w:pPr>
      <w:r>
        <w:rPr>
          <w:rFonts w:ascii="Arial" w:cs="Arial" w:eastAsia="Arial" w:hAnsi="Arial"/>
          <w:b/>
          <w:bCs/>
          <w:color w:val="028090"/>
          <w:sz w:val="24"/>
          <w:szCs w:val="24"/>
        </w:rPr>
        <w:t xml:space="preserve">5.3 Kualitas Air</w:t>
      </w:r>
    </w:p>
    <w:p>
      <w:pPr>
        <w:spacing w:after="110" w:line="268"/>
      </w:pPr>
      <w:r>
        <w:rPr>
          <w:rFonts w:ascii="Arial" w:cs="Arial" w:eastAsia="Arial" w:hAnsi="Arial"/>
          <w:color w:val="16323B"/>
          <w:sz w:val="20"/>
          <w:szCs w:val="20"/>
        </w:rPr>
        <w:t xml:space="preserve">Tampilan dipecah dua: Monitoring Harian dan Monitoring Mingguan.</w:t>
      </w:r>
    </w:p>
    <w:tbl>
      <w:tblPr>
        <w:tblW w:type="pct" w:w="100%"/>
        <w:tblBorders>
          <w:top w:val="single" w:color="CBD9DC" w:sz="2"/>
          <w:left w:val="single" w:color="CBD9DC" w:sz="2"/>
          <w:bottom w:val="single" w:color="CBD9DC" w:sz="2"/>
          <w:right w:val="single" w:color="CBD9DC" w:sz="2"/>
          <w:insideH w:val="single" w:color="E2EAEC" w:sz="1"/>
          <w:insideV w:val="single" w:color="E2EAEC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shd w:fill="0B3C49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pct" w:w="42%"/>
            <w:shd w:fill="0B3C49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Standar</w:t>
            </w:r>
          </w:p>
        </w:tc>
        <w:tc>
          <w:tcPr>
            <w:tcW w:type="pct" w:w="30%"/>
            <w:shd w:fill="0B3C49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Frekuensi</w:t>
            </w:r>
          </w:p>
        </w:tc>
      </w:tr>
      <w:tr>
        <w:tc>
          <w:tcPr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DO (pagi/sore)</w:t>
            </w:r>
          </w:p>
        </w:tc>
        <w:tc>
          <w:tcPr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&gt; 4 ppm</w:t>
            </w:r>
          </w:p>
        </w:tc>
        <w:tc>
          <w:tcPr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Harian</w:t>
            </w:r>
          </w:p>
        </w:tc>
      </w:tr>
      <w:tr>
        <w:tc>
          <w:tcPr>
            <w:shd w:fill="F4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pH (pagi/sore)</w:t>
            </w:r>
          </w:p>
        </w:tc>
        <w:tc>
          <w:tcPr>
            <w:shd w:fill="F4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7,5 – 8,5</w:t>
            </w:r>
          </w:p>
        </w:tc>
        <w:tc>
          <w:tcPr>
            <w:shd w:fill="F4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Harian</w:t>
            </w:r>
          </w:p>
        </w:tc>
      </w:tr>
      <w:tr>
        <w:tc>
          <w:tcPr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Suhu (pagi/sore)</w:t>
            </w:r>
          </w:p>
        </w:tc>
        <w:tc>
          <w:tcPr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28 – 32 °C</w:t>
            </w:r>
          </w:p>
        </w:tc>
        <w:tc>
          <w:tcPr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Harian</w:t>
            </w:r>
          </w:p>
        </w:tc>
      </w:tr>
      <w:tr>
        <w:tc>
          <w:tcPr>
            <w:shd w:fill="F4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Salinitas</w:t>
            </w:r>
          </w:p>
        </w:tc>
        <w:tc>
          <w:tcPr>
            <w:shd w:fill="F4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25 – 30 ppt</w:t>
            </w:r>
          </w:p>
        </w:tc>
        <w:tc>
          <w:tcPr>
            <w:shd w:fill="F4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Harian</w:t>
            </w:r>
          </w:p>
        </w:tc>
      </w:tr>
      <w:tr>
        <w:tc>
          <w:tcPr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TAN</w:t>
            </w:r>
          </w:p>
        </w:tc>
        <w:tc>
          <w:tcPr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&lt; 2 ppm</w:t>
            </w:r>
          </w:p>
        </w:tc>
        <w:tc>
          <w:tcPr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Mingguan</w:t>
            </w:r>
          </w:p>
        </w:tc>
      </w:tr>
      <w:tr>
        <w:tc>
          <w:tcPr>
            <w:shd w:fill="F4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Ammonia</w:t>
            </w:r>
          </w:p>
        </w:tc>
        <w:tc>
          <w:tcPr>
            <w:shd w:fill="F4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&lt; 0,1 ppm</w:t>
            </w:r>
          </w:p>
        </w:tc>
        <w:tc>
          <w:tcPr>
            <w:shd w:fill="F4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Mingguan</w:t>
            </w:r>
          </w:p>
        </w:tc>
      </w:tr>
      <w:tr>
        <w:tc>
          <w:tcPr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Nitrit</w:t>
            </w:r>
          </w:p>
        </w:tc>
        <w:tc>
          <w:tcPr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&lt; 0,1 ppm</w:t>
            </w:r>
          </w:p>
        </w:tc>
        <w:tc>
          <w:tcPr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Mingguan</w:t>
            </w:r>
          </w:p>
        </w:tc>
      </w:tr>
      <w:tr>
        <w:tc>
          <w:tcPr>
            <w:shd w:fill="F4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Nitrat</w:t>
            </w:r>
          </w:p>
        </w:tc>
        <w:tc>
          <w:tcPr>
            <w:shd w:fill="F4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&lt; 50 ppm</w:t>
            </w:r>
          </w:p>
        </w:tc>
        <w:tc>
          <w:tcPr>
            <w:shd w:fill="F4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Mingguan</w:t>
            </w:r>
          </w:p>
        </w:tc>
      </w:tr>
      <w:tr>
        <w:tc>
          <w:tcPr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TOM, alkalinitas, Fe</w:t>
            </w:r>
          </w:p>
        </w:tc>
        <w:tc>
          <w:tcPr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Uji lab, tanpa ambang pasti</w:t>
            </w:r>
          </w:p>
        </w:tc>
        <w:tc>
          <w:tcPr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10 hari sekali</w:t>
            </w:r>
          </w:p>
        </w:tc>
      </w:tr>
      <w:tr>
        <w:tc>
          <w:tcPr>
            <w:shd w:fill="F4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Vibrio &amp; bakteri</w:t>
            </w:r>
          </w:p>
        </w:tc>
        <w:tc>
          <w:tcPr>
            <w:shd w:fill="F4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Rasio V/B — warning jika &gt; 10%</w:t>
            </w:r>
          </w:p>
        </w:tc>
        <w:tc>
          <w:tcPr>
            <w:shd w:fill="F4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7 hari sekali</w:t>
            </w:r>
          </w:p>
        </w:tc>
      </w:tr>
    </w:tbl>
    <w:p>
      <w:pPr>
        <w:spacing w:after="110" w:line="268"/>
      </w:pPr>
      <w:r>
        <w:rPr>
          <w:rFonts w:ascii="Arial" w:cs="Arial" w:eastAsia="Arial" w:hAnsi="Arial"/>
          <w:i/>
          <w:iCs/>
          <w:color w:val="16323B"/>
          <w:sz w:val="19"/>
          <w:szCs w:val="19"/>
        </w:rPr>
        <w:t xml:space="preserve">“Vibrio tinggi” berlaku khusus untuk vibrio hijau, hitam, dan luminer. Nilai di atas jadi basis alert otomatis di sistem.</w:t>
      </w:r>
    </w:p>
    <w:p>
      <w:pPr>
        <w:pStyle w:val="Heading2"/>
        <w:spacing w:after="70" w:before="160"/>
      </w:pPr>
      <w:r>
        <w:rPr>
          <w:rFonts w:ascii="Arial" w:cs="Arial" w:eastAsia="Arial" w:hAnsi="Arial"/>
          <w:b/>
          <w:bCs/>
          <w:color w:val="028090"/>
          <w:sz w:val="24"/>
          <w:szCs w:val="24"/>
        </w:rPr>
        <w:t xml:space="preserve">5.4 Panen — Multi-Tahap</w:t>
      </w:r>
    </w:p>
    <w:p>
      <w:pPr>
        <w:spacing w:after="110" w:line="268"/>
      </w:pPr>
      <w:r>
        <w:rPr>
          <w:rFonts w:ascii="Arial" w:cs="Arial" w:eastAsia="Arial" w:hAnsi="Arial"/>
          <w:color w:val="16323B"/>
          <w:sz w:val="20"/>
          <w:szCs w:val="20"/>
        </w:rPr>
        <w:t xml:space="preserve">Jenis udang: </w:t>
      </w:r>
      <w:r>
        <w:rPr>
          <w:rFonts w:ascii="Arial" w:cs="Arial" w:eastAsia="Arial" w:hAnsi="Arial"/>
          <w:b/>
          <w:bCs/>
          <w:color w:val="16323B"/>
          <w:sz w:val="20"/>
          <w:szCs w:val="20"/>
        </w:rPr>
        <w:t xml:space="preserve">Vaname saja</w:t>
      </w:r>
      <w:r>
        <w:rPr>
          <w:rFonts w:ascii="Arial" w:cs="Arial" w:eastAsia="Arial" w:hAnsi="Arial"/>
          <w:color w:val="16323B"/>
          <w:sz w:val="20"/>
          <w:szCs w:val="20"/>
        </w:rPr>
        <w:t xml:space="preserve"> (Windu sudah tidak dibudidayakan Aquaclear, dikonfirmasi Jubir).</w:t>
      </w:r>
    </w:p>
    <w:tbl>
      <w:tblPr>
        <w:tblW w:type="pct" w:w="100%"/>
        <w:tblBorders>
          <w:top w:val="single" w:color="CBD9DC" w:sz="2"/>
          <w:left w:val="single" w:color="CBD9DC" w:sz="2"/>
          <w:bottom w:val="single" w:color="CBD9DC" w:sz="2"/>
          <w:right w:val="single" w:color="CBD9DC" w:sz="2"/>
          <w:insideH w:val="single" w:color="E2EAEC" w:sz="1"/>
          <w:insideV w:val="single" w:color="E2EAEC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0B3C49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Tahap</w:t>
            </w:r>
          </w:p>
        </w:tc>
        <w:tc>
          <w:tcPr>
            <w:tcW w:type="pct" w:w="37%"/>
            <w:shd w:fill="0B3C49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MBW</w:t>
            </w:r>
          </w:p>
        </w:tc>
        <w:tc>
          <w:tcPr>
            <w:tcW w:type="pct" w:w="38%"/>
            <w:shd w:fill="0B3C49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</w:tr>
      <w:tr>
        <w:tc>
          <w:tcPr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Partial 1</w:t>
            </w:r>
          </w:p>
        </w:tc>
        <w:tc>
          <w:tcPr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13 – 15 gr</w:t>
            </w:r>
          </w:p>
        </w:tc>
        <w:tc>
          <w:tcPr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65 – 70 ekor/kg</w:t>
            </w:r>
          </w:p>
        </w:tc>
      </w:tr>
      <w:tr>
        <w:tc>
          <w:tcPr>
            <w:shd w:fill="F4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Partial 2</w:t>
            </w:r>
          </w:p>
        </w:tc>
        <w:tc>
          <w:tcPr>
            <w:shd w:fill="F4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20 gr</w:t>
            </w:r>
          </w:p>
        </w:tc>
        <w:tc>
          <w:tcPr>
            <w:shd w:fill="F4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50 ekor/kg</w:t>
            </w:r>
          </w:p>
        </w:tc>
      </w:tr>
      <w:tr>
        <w:tc>
          <w:tcPr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Total / Habis</w:t>
            </w:r>
          </w:p>
        </w:tc>
        <w:tc>
          <w:tcPr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30 – 40 gr</w:t>
            </w:r>
          </w:p>
        </w:tc>
        <w:tc>
          <w:tcPr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25 – 35 ekor/kg</w:t>
            </w:r>
          </w:p>
        </w:tc>
      </w:tr>
    </w:tbl>
    <w:tbl>
      <w:tblPr>
        <w:tblW w:type="pct" w:w="100%"/>
        <w:tblBorders>
          <w:top w:val="single" w:color="D8E6E8" w:sz="2"/>
          <w:left w:val="single" w:color="B5781F" w:sz="18"/>
          <w:bottom w:val="single" w:color="D8E6E8" w:sz="2"/>
          <w:right w:val="single" w:color="D8E6E8" w:sz="2"/>
          <w:insideH w:val="none"/>
          <w:insideV w:val="none"/>
        </w:tblBorders>
      </w:tblPr>
      <w:tblGrid>
        <w:gridCol w:w="100"/>
      </w:tblGrid>
      <w:tr>
        <w:tc>
          <w:tcPr>
            <w:shd w:fill="FFF6E6" w:val="clear"/>
            <w:tcMar>
              <w:top w:type="dxa" w:w="110"/>
              <w:left w:type="dxa" w:w="190"/>
              <w:bottom w:type="dxa" w:w="110"/>
              <w:right w:type="dxa" w:w="16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B5781F"/>
                <w:sz w:val="20"/>
                <w:szCs w:val="20"/>
              </w:rPr>
              <w:t xml:space="preserve">Target &amp; asumsi:</w:t>
            </w:r>
          </w:p>
          <w:p>
            <w:pPr>
              <w:spacing w:after="35" w:line="258"/>
            </w:pPr>
            <w:r>
              <w:rPr>
                <w:rFonts w:ascii="Arial" w:cs="Arial" w:eastAsia="Arial" w:hAnsi="Arial"/>
                <w:b/>
                <w:bCs/>
                <w:color w:val="16323B"/>
                <w:sz w:val="20"/>
                <w:szCs w:val="20"/>
              </w:rPr>
              <w:t xml:space="preserve">Target hasil: 1.100–1.200 kg per kolam</w:t>
            </w:r>
            <w:r>
              <w:rPr>
                <w:rFonts w:ascii="Arial" w:cs="Arial" w:eastAsia="Arial" w:hAnsi="Arial"/>
                <w:color w:val="16323B"/>
                <w:sz w:val="20"/>
                <w:szCs w:val="20"/>
              </w:rPr>
              <w:t xml:space="preserve">, sama untuk semua kolam (dikonfirmasi Jubir).</w:t>
            </w:r>
          </w:p>
          <w:p>
            <w:pPr>
              <w:spacing w:after="35" w:line="258"/>
            </w:pPr>
            <w:r>
              <w:rPr>
                <w:rFonts w:ascii="Arial" w:cs="Arial" w:eastAsia="Arial" w:hAnsi="Arial"/>
                <w:b/>
                <w:bCs/>
                <w:color w:val="C2503F"/>
                <w:sz w:val="20"/>
                <w:szCs w:val="20"/>
              </w:rPr>
              <w:t xml:space="preserve">Asumsi kami: </w:t>
            </w:r>
            <w:r>
              <w:rPr>
                <w:rFonts w:ascii="Arial" w:cs="Arial" w:eastAsia="Arial" w:hAnsi="Arial"/>
                <w:color w:val="16323B"/>
                <w:sz w:val="20"/>
                <w:szCs w:val="20"/>
              </w:rPr>
              <w:t xml:space="preserve">angka ini adalah total akumulasi seluruh tahap panen (partial 1 + partial 2 + total) per kolam per siklus, bukan hanya tahap panen total. Sistem dibangun dengan asumsi ini — perlu dikonfirmasi ulang bila memungkinkan.</w:t>
            </w:r>
          </w:p>
          <w:p>
            <w:pPr>
              <w:spacing w:after="35" w:line="258"/>
            </w:pPr>
            <w:r>
              <w:rPr>
                <w:rFonts w:ascii="Arial" w:cs="Arial" w:eastAsia="Arial" w:hAnsi="Arial"/>
                <w:color w:val="16323B"/>
                <w:sz w:val="20"/>
                <w:szCs w:val="20"/>
              </w:rPr>
              <w:t xml:space="preserve">Sistem menjumlahkan biomass keluar tiap tahap panen; dashboard menampilkan progres terhadap target 1.100–1.200 kg per kolam.</w:t>
            </w:r>
          </w:p>
        </w:tc>
      </w:tr>
    </w:tbl>
    <w:p>
      <w:pPr>
        <w:pStyle w:val="ListParagraph"/>
        <w:numPr>
          <w:ilvl w:val="0"/>
          <w:numId w:val="2"/>
        </w:numPr>
        <w:spacing w:after="65" w:line="260"/>
      </w:pPr>
      <w:r>
        <w:rPr>
          <w:rFonts w:ascii="Arial" w:cs="Arial" w:eastAsia="Arial" w:hAnsi="Arial"/>
          <w:i/>
          <w:iCs/>
          <w:color w:val="16323B"/>
          <w:sz w:val="20"/>
          <w:szCs w:val="20"/>
        </w:rPr>
        <w:t xml:space="preserve">HPP per kg = total biaya operasional kolam ÷ total biomass panen (akumulasi semua tahap)</w:t>
      </w:r>
    </w:p>
    <w:p>
      <w:pPr>
        <w:pStyle w:val="Heading2"/>
        <w:spacing w:after="70" w:before="160"/>
      </w:pPr>
      <w:r>
        <w:rPr>
          <w:rFonts w:ascii="Arial" w:cs="Arial" w:eastAsia="Arial" w:hAnsi="Arial"/>
          <w:b/>
          <w:bCs/>
          <w:color w:val="028090"/>
          <w:sz w:val="24"/>
          <w:szCs w:val="24"/>
        </w:rPr>
        <w:t xml:space="preserve">5.5 Biaya &amp; Laporan</w:t>
      </w:r>
    </w:p>
    <w:p>
      <w:pPr>
        <w:pStyle w:val="ListParagraph"/>
        <w:numPr>
          <w:ilvl w:val="0"/>
          <w:numId w:val="2"/>
        </w:numPr>
        <w:spacing w:after="65" w:line="260"/>
      </w:pPr>
      <w:r>
        <w:rPr>
          <w:rFonts w:ascii="Arial" w:cs="Arial" w:eastAsia="Arial" w:hAnsi="Arial"/>
          <w:color w:val="16323B"/>
          <w:sz w:val="20"/>
          <w:szCs w:val="20"/>
        </w:rPr>
        <w:t xml:space="preserve">Biaya per kategori: benur, pakan, probiotik, mineral, desinfektan (dari input harian &amp; aplikasi kimia).</w:t>
      </w:r>
    </w:p>
    <w:p>
      <w:pPr>
        <w:pStyle w:val="ListParagraph"/>
        <w:numPr>
          <w:ilvl w:val="0"/>
          <w:numId w:val="2"/>
        </w:numPr>
        <w:spacing w:after="65" w:line="260"/>
      </w:pPr>
      <w:r>
        <w:rPr>
          <w:rFonts w:ascii="Arial" w:cs="Arial" w:eastAsia="Arial" w:hAnsi="Arial"/>
          <w:color w:val="16323B"/>
          <w:sz w:val="20"/>
          <w:szCs w:val="20"/>
        </w:rPr>
        <w:t xml:space="preserve">% biaya pakan = (biaya pakan ÷ total biaya) × 100 — acuan historis 60–68% dari total biaya operasional.</w:t>
      </w:r>
    </w:p>
    <w:p>
      <w:pPr>
        <w:pStyle w:val="ListParagraph"/>
        <w:numPr>
          <w:ilvl w:val="0"/>
          <w:numId w:val="2"/>
        </w:numPr>
        <w:spacing w:after="65" w:line="260"/>
      </w:pPr>
      <w:r>
        <w:rPr>
          <w:rFonts w:ascii="Arial" w:cs="Arial" w:eastAsia="Arial" w:hAnsi="Arial"/>
          <w:i/>
          <w:iCs/>
          <w:color w:val="16323B"/>
          <w:sz w:val="20"/>
          <w:szCs w:val="20"/>
        </w:rPr>
        <w:t xml:space="preserve">Laba/Rugi per siklus = total pendapatan panen (semua tahap) − total biaya operasional.</w:t>
      </w:r>
    </w:p>
    <w:tbl>
      <w:tblPr>
        <w:tblW w:type="pct" w:w="100%"/>
        <w:tblBorders>
          <w:top w:val="single" w:color="D8E6E8" w:sz="2"/>
          <w:left w:val="single" w:color="B5781F" w:sz="18"/>
          <w:bottom w:val="single" w:color="D8E6E8" w:sz="2"/>
          <w:right w:val="single" w:color="D8E6E8" w:sz="2"/>
          <w:insideH w:val="none"/>
          <w:insideV w:val="none"/>
        </w:tblBorders>
      </w:tblPr>
      <w:tblGrid>
        <w:gridCol w:w="100"/>
      </w:tblGrid>
      <w:tr>
        <w:tc>
          <w:tcPr>
            <w:shd w:fill="FFF6E6" w:val="clear"/>
            <w:tcMar>
              <w:top w:type="dxa" w:w="110"/>
              <w:left w:type="dxa" w:w="190"/>
              <w:bottom w:type="dxa" w:w="110"/>
              <w:right w:type="dxa" w:w="16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B5781F"/>
                <w:sz w:val="20"/>
                <w:szCs w:val="20"/>
              </w:rPr>
              <w:t xml:space="preserve">Catatan penting:</w:t>
            </w:r>
          </w:p>
          <w:p>
            <w:pPr>
              <w:spacing w:after="35" w:line="258"/>
            </w:pPr>
            <w:r>
              <w:rPr>
                <w:rFonts w:ascii="Arial" w:cs="Arial" w:eastAsia="Arial" w:hAnsi="Arial"/>
                <w:color w:val="16323B"/>
                <w:sz w:val="19"/>
                <w:szCs w:val="19"/>
              </w:rPr>
              <w:t xml:space="preserve">Estimasi panen &amp; laba/rugi bersifat proyeksi, bukan angka pasti — dipengaruhi harga jual aktual saat panen (fluktuatif) dan kondisi lapangan. Sistem menampilkan sebagai “estimasi”, bukan “prediksi akurat”.</w:t>
            </w:r>
          </w:p>
        </w:tc>
      </w:tr>
    </w:tbl>
    <w:p>
      <w:pPr>
        <w:pStyle w:val="Heading2"/>
        <w:spacing w:after="70" w:before="160"/>
      </w:pPr>
      <w:r>
        <w:rPr>
          <w:rFonts w:ascii="Arial" w:cs="Arial" w:eastAsia="Arial" w:hAnsi="Arial"/>
          <w:b/>
          <w:bCs/>
          <w:color w:val="028090"/>
          <w:sz w:val="24"/>
          <w:szCs w:val="24"/>
        </w:rPr>
        <w:t xml:space="preserve">5.6 Emergency &amp; Kesehatan (Gabungan)</w:t>
      </w:r>
    </w:p>
    <w:p>
      <w:pPr>
        <w:pStyle w:val="ListParagraph"/>
        <w:numPr>
          <w:ilvl w:val="0"/>
          <w:numId w:val="2"/>
        </w:numPr>
        <w:spacing w:after="65" w:line="260"/>
      </w:pPr>
      <w:r>
        <w:rPr>
          <w:rFonts w:ascii="Arial" w:cs="Arial" w:eastAsia="Arial" w:hAnsi="Arial"/>
          <w:color w:val="16323B"/>
          <w:sz w:val="20"/>
          <w:szCs w:val="20"/>
        </w:rPr>
        <w:t xml:space="preserve">Input: tanggal &amp; jenis kejadian (udang sakit/air jelek/SR turun), sampling khusus, tindakan penanganan (termasuk perlakuan khusus).</w:t>
      </w:r>
    </w:p>
    <w:tbl>
      <w:tblPr>
        <w:tblW w:type="pct" w:w="100%"/>
        <w:tblBorders>
          <w:top w:val="single" w:color="D8E6E8" w:sz="2"/>
          <w:left w:val="single" w:color="1F7A52" w:sz="18"/>
          <w:bottom w:val="single" w:color="D8E6E8" w:sz="2"/>
          <w:right w:val="single" w:color="D8E6E8" w:sz="2"/>
          <w:insideH w:val="none"/>
          <w:insideV w:val="none"/>
        </w:tblBorders>
      </w:tblPr>
      <w:tblGrid>
        <w:gridCol w:w="100"/>
      </w:tblGrid>
      <w:tr>
        <w:tc>
          <w:tcPr>
            <w:shd w:fill="E9F5EE" w:val="clear"/>
            <w:tcMar>
              <w:top w:type="dxa" w:w="110"/>
              <w:left w:type="dxa" w:w="190"/>
              <w:bottom w:type="dxa" w:w="110"/>
              <w:right w:type="dxa" w:w="16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7A52"/>
                <w:sz w:val="20"/>
                <w:szCs w:val="20"/>
              </w:rPr>
              <w:t xml:space="preserve">Aturan flush-out (dikonfirmasi Fardan):</w:t>
            </w:r>
          </w:p>
          <w:p>
            <w:pPr>
              <w:spacing w:after="35" w:line="258"/>
            </w:pPr>
            <w:r>
              <w:rPr>
                <w:rFonts w:ascii="Arial" w:cs="Arial" w:eastAsia="Arial" w:hAnsi="Arial"/>
                <w:b/>
                <w:bCs/>
                <w:color w:val="16323B"/>
                <w:sz w:val="20"/>
                <w:szCs w:val="20"/>
              </w:rPr>
              <w:t xml:space="preserve">Flush-out bila DOC &lt; 30</w:t>
            </w:r>
            <w:r>
              <w:rPr>
                <w:rFonts w:ascii="Arial" w:cs="Arial" w:eastAsia="Arial" w:hAnsi="Arial"/>
                <w:color w:val="16323B"/>
                <w:sz w:val="20"/>
                <w:szCs w:val="20"/>
              </w:rPr>
              <w:t xml:space="preserve"> dan kondisi kritis (SR turun tajam / serangan penyakit); lalu restocking.</w:t>
            </w:r>
          </w:p>
        </w:tc>
      </w:tr>
    </w:tbl>
    <w:tbl>
      <w:tblPr>
        <w:tblW w:type="pct" w:w="100%"/>
        <w:tblBorders>
          <w:top w:val="single" w:color="D8E6E8" w:sz="2"/>
          <w:left w:val="single" w:color="B5781F" w:sz="18"/>
          <w:bottom w:val="single" w:color="D8E6E8" w:sz="2"/>
          <w:right w:val="single" w:color="D8E6E8" w:sz="2"/>
          <w:insideH w:val="none"/>
          <w:insideV w:val="none"/>
        </w:tblBorders>
      </w:tblPr>
      <w:tblGrid>
        <w:gridCol w:w="100"/>
      </w:tblGrid>
      <w:tr>
        <w:tc>
          <w:tcPr>
            <w:shd w:fill="FFF6E6" w:val="clear"/>
            <w:tcMar>
              <w:top w:type="dxa" w:w="110"/>
              <w:left w:type="dxa" w:w="190"/>
              <w:bottom w:type="dxa" w:w="110"/>
              <w:right w:type="dxa" w:w="16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B5781F"/>
                <w:sz w:val="20"/>
                <w:szCs w:val="20"/>
              </w:rPr>
              <w:t xml:space="preserve">Masih asumsi (TBD):</w:t>
            </w:r>
          </w:p>
          <w:p>
            <w:pPr>
              <w:spacing w:after="35" w:line="258"/>
            </w:pPr>
            <w:r>
              <w:rPr>
                <w:rFonts w:ascii="Arial" w:cs="Arial" w:eastAsia="Arial" w:hAnsi="Arial"/>
                <w:color w:val="16323B"/>
                <w:sz w:val="19"/>
                <w:szCs w:val="19"/>
              </w:rPr>
              <w:t xml:space="preserve">Kriteria “sampling khusus” di luar jadwal rutin — sementara dipicu manual oleh analis/petugas berdasarkan penilaian lapangan, belum ada aturan otomatis.</w:t>
            </w:r>
          </w:p>
        </w:tc>
      </w:tr>
    </w:tbl>
    <w:p>
      <w:r>
        <w:br w:type="page"/>
      </w:r>
    </w:p>
    <w:p>
      <w:pPr>
        <w:pStyle w:val="Heading1"/>
        <w:spacing w:after="130" w:before="40"/>
      </w:pPr>
      <w:r>
        <w:rPr>
          <w:rFonts w:ascii="Arial" w:cs="Arial" w:eastAsia="Arial" w:hAnsi="Arial"/>
          <w:color w:val="16323B"/>
          <w:sz w:val="20"/>
          <w:szCs w:val="20"/>
        </w:rPr>
        <w:t xml:space="preserve">6. Modul Pencatatan Dasar</w:t>
      </w:r>
    </w:p>
    <w:p>
      <w:pPr>
        <w:pStyle w:val="Heading2"/>
        <w:spacing w:after="70" w:before="160"/>
      </w:pPr>
      <w:r>
        <w:rPr>
          <w:rFonts w:ascii="Arial" w:cs="Arial" w:eastAsia="Arial" w:hAnsi="Arial"/>
          <w:b/>
          <w:bCs/>
          <w:color w:val="028090"/>
          <w:sz w:val="24"/>
          <w:szCs w:val="24"/>
        </w:rPr>
        <w:t xml:space="preserve">6.1 Persiapan Tambak &amp; Air</w:t>
      </w:r>
    </w:p>
    <w:p>
      <w:pPr>
        <w:pStyle w:val="ListParagraph"/>
        <w:numPr>
          <w:ilvl w:val="0"/>
          <w:numId w:val="2"/>
        </w:numPr>
        <w:spacing w:after="65" w:line="260"/>
      </w:pPr>
      <w:r>
        <w:rPr>
          <w:rFonts w:ascii="Arial" w:cs="Arial" w:eastAsia="Arial" w:hAnsi="Arial"/>
          <w:color w:val="16323B"/>
          <w:sz w:val="20"/>
          <w:szCs w:val="20"/>
        </w:rPr>
        <w:t xml:space="preserve">Checklist progres (pembersihan, sterilisasi, penambalan bila bocor), biaya desinfektan, status “Siap Isi Air” → “Siap Tebar”.</w:t>
      </w:r>
    </w:p>
    <w:tbl>
      <w:tblPr>
        <w:tblW w:type="pct" w:w="100%"/>
        <w:tblBorders>
          <w:top w:val="single" w:color="D8E6E8" w:sz="2"/>
          <w:left w:val="single" w:color="B5781F" w:sz="18"/>
          <w:bottom w:val="single" w:color="D8E6E8" w:sz="2"/>
          <w:right w:val="single" w:color="D8E6E8" w:sz="2"/>
          <w:insideH w:val="none"/>
          <w:insideV w:val="none"/>
        </w:tblBorders>
      </w:tblPr>
      <w:tblGrid>
        <w:gridCol w:w="100"/>
      </w:tblGrid>
      <w:tr>
        <w:tc>
          <w:tcPr>
            <w:shd w:fill="FFF6E6" w:val="clear"/>
            <w:tcMar>
              <w:top w:type="dxa" w:w="110"/>
              <w:left w:type="dxa" w:w="190"/>
              <w:bottom w:type="dxa" w:w="110"/>
              <w:right w:type="dxa" w:w="16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B5781F"/>
                <w:sz w:val="20"/>
                <w:szCs w:val="20"/>
              </w:rPr>
              <w:t xml:space="preserve">Masih terbuka:</w:t>
            </w:r>
          </w:p>
          <w:p>
            <w:pPr>
              <w:spacing w:after="35" w:line="258"/>
            </w:pPr>
            <w:r>
              <w:rPr>
                <w:rFonts w:ascii="Arial" w:cs="Arial" w:eastAsia="Arial" w:hAnsi="Arial"/>
                <w:color w:val="16323B"/>
                <w:sz w:val="19"/>
                <w:szCs w:val="19"/>
              </w:rPr>
              <w:t xml:space="preserve">Standar mutu checklist persiapan tambak — Fardan sendiri menandai perlu dicek ulang. Sementara dibangun sebagai checklist bebas (tanpa validasi ketat), bisa diperketat di Fase 2.</w:t>
            </w:r>
          </w:p>
        </w:tc>
      </w:tr>
    </w:tbl>
    <w:p>
      <w:pPr>
        <w:pStyle w:val="Heading2"/>
        <w:spacing w:after="70" w:before="160"/>
      </w:pPr>
      <w:r>
        <w:rPr>
          <w:rFonts w:ascii="Arial" w:cs="Arial" w:eastAsia="Arial" w:hAnsi="Arial"/>
          <w:b/>
          <w:bCs/>
          <w:color w:val="028090"/>
          <w:sz w:val="24"/>
          <w:szCs w:val="24"/>
        </w:rPr>
        <w:t xml:space="preserve">6.2 Manajemen Dasar Tambak</w:t>
      </w:r>
    </w:p>
    <w:p>
      <w:pPr>
        <w:pStyle w:val="ListParagraph"/>
        <w:numPr>
          <w:ilvl w:val="0"/>
          <w:numId w:val="2"/>
        </w:numPr>
        <w:spacing w:after="65" w:line="260"/>
      </w:pPr>
      <w:r>
        <w:rPr>
          <w:rFonts w:ascii="Arial" w:cs="Arial" w:eastAsia="Arial" w:hAnsi="Arial"/>
          <w:color w:val="16323B"/>
          <w:sz w:val="20"/>
          <w:szCs w:val="20"/>
        </w:rPr>
        <w:t xml:space="preserve">Siphon, kondisi lumpur dasar (kualitatif, acuan uji lab TOM bila tersedia), jumlah &amp; jam nyala kincir.</w:t>
      </w:r>
    </w:p>
    <w:p>
      <w:r>
        <w:br w:type="page"/>
      </w:r>
    </w:p>
    <w:p>
      <w:pPr>
        <w:pStyle w:val="Heading1"/>
        <w:spacing w:after="130" w:before="40"/>
      </w:pPr>
      <w:r>
        <w:rPr>
          <w:rFonts w:ascii="Arial" w:cs="Arial" w:eastAsia="Arial" w:hAnsi="Arial"/>
          <w:color w:val="16323B"/>
          <w:sz w:val="20"/>
          <w:szCs w:val="20"/>
        </w:rPr>
        <w:t xml:space="preserve">7. Dashboard &amp; KPI</w:t>
      </w:r>
    </w:p>
    <w:p>
      <w:pPr>
        <w:spacing w:after="110" w:line="268"/>
      </w:pPr>
      <w:r>
        <w:rPr>
          <w:rFonts w:ascii="Arial" w:cs="Arial" w:eastAsia="Arial" w:hAnsi="Arial"/>
          <w:color w:val="16323B"/>
          <w:sz w:val="20"/>
          <w:szCs w:val="20"/>
        </w:rPr>
        <w:t xml:space="preserve">6 kartu utama — usulan Nata Digital (diminta langsung oleh Fardan), siap direview klien.</w:t>
      </w:r>
    </w:p>
    <w:tbl>
      <w:tblPr>
        <w:tblW w:type="pct" w:w="100%"/>
        <w:tblBorders>
          <w:top w:val="single" w:color="CBD9DC" w:sz="2"/>
          <w:left w:val="single" w:color="CBD9DC" w:sz="2"/>
          <w:bottom w:val="single" w:color="CBD9DC" w:sz="2"/>
          <w:right w:val="single" w:color="CBD9DC" w:sz="2"/>
          <w:insideH w:val="single" w:color="E2EAEC" w:sz="1"/>
          <w:insideV w:val="single" w:color="E2EAEC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8%"/>
            <w:shd w:fill="0B3C49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Kartu</w:t>
            </w:r>
          </w:p>
        </w:tc>
        <w:tc>
          <w:tcPr>
            <w:tcW w:type="pct" w:w="62%"/>
            <w:shd w:fill="0B3C49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Deskripsi</w:t>
            </w:r>
          </w:p>
        </w:tc>
      </w:tr>
      <w:tr>
        <w:tc>
          <w:tcPr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1. Kolam Aktif</w:t>
            </w:r>
          </w:p>
        </w:tc>
        <w:tc>
          <w:tcPr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Jumlah kolam berjalan dari 76 kapasitas</w:t>
            </w:r>
          </w:p>
        </w:tc>
      </w:tr>
      <w:tr>
        <w:tc>
          <w:tcPr>
            <w:shd w:fill="F4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2. Rata-rata FCR</w:t>
            </w:r>
          </w:p>
        </w:tc>
        <w:tc>
          <w:tcPr>
            <w:shd w:fill="F4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Efisiensi pakan seluruh kolam aktif</w:t>
            </w:r>
          </w:p>
        </w:tc>
      </w:tr>
      <w:tr>
        <w:tc>
          <w:tcPr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3. Kolam Emergency</w:t>
            </w:r>
          </w:p>
        </w:tc>
        <w:tc>
          <w:tcPr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Jumlah kolam berstatus darurat (alert cepat)</w:t>
            </w:r>
          </w:p>
        </w:tc>
      </w:tr>
      <w:tr>
        <w:tc>
          <w:tcPr>
            <w:shd w:fill="F4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4. Pakan Bulan Ini</w:t>
            </w:r>
          </w:p>
        </w:tc>
        <w:tc>
          <w:tcPr>
            <w:shd w:fill="F4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Total pakan terpakai, kg &amp; Rp</w:t>
            </w:r>
          </w:p>
        </w:tc>
      </w:tr>
      <w:tr>
        <w:tc>
          <w:tcPr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5. Estimasi Biomass Siap Panen</w:t>
            </w:r>
          </w:p>
        </w:tc>
        <w:tc>
          <w:tcPr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Proyeksi hasil terdekat dari kolam aktif</w:t>
            </w:r>
          </w:p>
        </w:tc>
      </w:tr>
      <w:tr>
        <w:tc>
          <w:tcPr>
            <w:shd w:fill="F4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6. Estimasi Laba/Rugi Siklus Berjalan</w:t>
            </w:r>
          </w:p>
        </w:tc>
        <w:tc>
          <w:tcPr>
            <w:shd w:fill="F4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Bottom line operasional</w:t>
            </w:r>
          </w:p>
        </w:tc>
      </w:tr>
    </w:tbl>
    <w:p>
      <w:pPr>
        <w:spacing w:after="110" w:line="268"/>
      </w:pPr>
      <w:r>
        <w:rPr>
          <w:rFonts w:ascii="Arial" w:cs="Arial" w:eastAsia="Arial" w:hAnsi="Arial"/>
          <w:i/>
          <w:iCs/>
          <w:color w:val="16323B"/>
          <w:sz w:val="19"/>
          <w:szCs w:val="19"/>
        </w:rPr>
        <w:t xml:space="preserve">Ditambah panel “Aktivitas Terbaru” di bawah 6 kartu — log input pakan/sampling/panen paling baru (bukan kartu KPI tersendiri).</w:t>
      </w:r>
    </w:p>
    <w:p>
      <w:r>
        <w:br w:type="page"/>
      </w:r>
    </w:p>
    <w:p>
      <w:pPr>
        <w:pStyle w:val="Heading1"/>
        <w:spacing w:after="130" w:before="40"/>
      </w:pPr>
      <w:r>
        <w:rPr>
          <w:rFonts w:ascii="Arial" w:cs="Arial" w:eastAsia="Arial" w:hAnsi="Arial"/>
          <w:color w:val="16323B"/>
          <w:sz w:val="20"/>
          <w:szCs w:val="20"/>
        </w:rPr>
        <w:t xml:space="preserve">8. Log Asumsi &amp; Item Terbuka</w:t>
      </w:r>
    </w:p>
    <w:p>
      <w:pPr>
        <w:spacing w:after="110" w:line="268"/>
      </w:pPr>
      <w:r>
        <w:rPr>
          <w:rFonts w:ascii="Arial" w:cs="Arial" w:eastAsia="Arial" w:hAnsi="Arial"/>
          <w:color w:val="16323B"/>
          <w:sz w:val="20"/>
          <w:szCs w:val="20"/>
        </w:rPr>
        <w:t xml:space="preserve">Status per item — mana yang sudah settled, mana yang masih pakai asumsi sementara untuk memulai build.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color w:val="1F7A52"/>
          <w:sz w:val="21"/>
          <w:szCs w:val="21"/>
        </w:rPr>
        <w:t xml:space="preserve">Sudah Terjawab / Diputuskan</w:t>
      </w:r>
    </w:p>
    <w:p>
      <w:pPr>
        <w:spacing w:after="15" w:before="70"/>
      </w:pPr>
      <w:r>
        <w:rPr>
          <w:rFonts w:ascii="Arial" w:cs="Arial" w:eastAsia="Arial" w:hAnsi="Arial"/>
          <w:b/>
          <w:bCs/>
          <w:color w:val="0B3C49"/>
          <w:sz w:val="19"/>
          <w:szCs w:val="19"/>
        </w:rPr>
        <w:t xml:space="preserve">Target panen &amp; jenis udang</w:t>
      </w:r>
    </w:p>
    <w:p>
      <w:pPr>
        <w:spacing w:after="15" w:line="258"/>
        <w:ind w:left="240"/>
      </w:pPr>
      <w:r>
        <w:rPr>
          <w:rFonts w:ascii="Arial" w:cs="Arial" w:eastAsia="Arial" w:hAnsi="Arial"/>
          <w:color w:val="5B7882"/>
          <w:sz w:val="18"/>
          <w:szCs w:val="18"/>
        </w:rPr>
        <w:t xml:space="preserve">Vaname saja; 3 tahap panen dengan MBW/size per tahap; target 1.100–1.200 kg/kolam (dikonfirmasi Jubir).</w:t>
      </w:r>
    </w:p>
    <w:p>
      <w:pPr>
        <w:spacing w:after="15" w:before="70"/>
      </w:pPr>
      <w:r>
        <w:rPr>
          <w:rFonts w:ascii="Arial" w:cs="Arial" w:eastAsia="Arial" w:hAnsi="Arial"/>
          <w:b/>
          <w:bCs/>
          <w:color w:val="0B3C49"/>
          <w:sz w:val="19"/>
          <w:szCs w:val="19"/>
        </w:rPr>
        <w:t xml:space="preserve">Penggabungan modul Penyakit + Emergency</w:t>
      </w:r>
    </w:p>
    <w:p>
      <w:pPr>
        <w:spacing w:after="15" w:line="258"/>
        <w:ind w:left="240"/>
      </w:pPr>
      <w:r>
        <w:rPr>
          <w:rFonts w:ascii="Arial" w:cs="Arial" w:eastAsia="Arial" w:hAnsi="Arial"/>
          <w:color w:val="5B7882"/>
          <w:sz w:val="18"/>
          <w:szCs w:val="18"/>
        </w:rPr>
        <w:t xml:space="preserve">Disetujui, dibangun sebagai satu modul (keputusan Raihan).</w:t>
      </w:r>
    </w:p>
    <w:p>
      <w:pPr>
        <w:spacing w:after="15" w:before="70"/>
      </w:pPr>
      <w:r>
        <w:rPr>
          <w:rFonts w:ascii="Arial" w:cs="Arial" w:eastAsia="Arial" w:hAnsi="Arial"/>
          <w:b/>
          <w:bCs/>
          <w:color w:val="0B3C49"/>
          <w:sz w:val="19"/>
          <w:szCs w:val="19"/>
        </w:rPr>
        <w:t xml:space="preserve">DOC, ancho (cara nilai), mortalitas ×2, standar mutu air, jadwal sampling, ambang DOC flush-out</w:t>
      </w:r>
    </w:p>
    <w:p>
      <w:pPr>
        <w:spacing w:after="15" w:line="258"/>
        <w:ind w:left="240"/>
      </w:pPr>
      <w:r>
        <w:rPr>
          <w:rFonts w:ascii="Arial" w:cs="Arial" w:eastAsia="Arial" w:hAnsi="Arial"/>
          <w:color w:val="5B7882"/>
          <w:sz w:val="18"/>
          <w:szCs w:val="18"/>
        </w:rPr>
        <w:t xml:space="preserve">Dikonfirmasi lengkap oleh Fardan — lihat Bagian 4–5.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color w:val="B5781F"/>
          <w:sz w:val="21"/>
          <w:szCs w:val="21"/>
        </w:rPr>
        <w:t xml:space="preserve">Asumsi Sementara — Dipakai untuk Build, Perlu Konfirmasi Ulang</w:t>
      </w:r>
    </w:p>
    <w:p>
      <w:pPr>
        <w:spacing w:after="15" w:before="70"/>
      </w:pPr>
      <w:r>
        <w:rPr>
          <w:rFonts w:ascii="Arial" w:cs="Arial" w:eastAsia="Arial" w:hAnsi="Arial"/>
          <w:b/>
          <w:bCs/>
          <w:color w:val="0B3C49"/>
          <w:sz w:val="19"/>
          <w:szCs w:val="19"/>
        </w:rPr>
        <w:t xml:space="preserve">4 aturan teknis Ancho</w:t>
      </w:r>
    </w:p>
    <w:p>
      <w:pPr>
        <w:spacing w:after="15" w:line="258"/>
        <w:ind w:left="240"/>
      </w:pPr>
      <w:r>
        <w:rPr>
          <w:rFonts w:ascii="Arial" w:cs="Arial" w:eastAsia="Arial" w:hAnsi="Arial"/>
          <w:color w:val="5B7882"/>
          <w:sz w:val="18"/>
          <w:szCs w:val="18"/>
        </w:rPr>
        <w:t xml:space="preserve">Jeda 2 jam, naik/turun 10%, porsi 2%, alert 2x berturut sisa banyak.</w:t>
      </w:r>
    </w:p>
    <w:p>
      <w:pPr>
        <w:spacing w:after="15" w:before="70"/>
      </w:pPr>
      <w:r>
        <w:rPr>
          <w:rFonts w:ascii="Arial" w:cs="Arial" w:eastAsia="Arial" w:hAnsi="Arial"/>
          <w:b/>
          <w:bCs/>
          <w:color w:val="0B3C49"/>
          <w:sz w:val="19"/>
          <w:szCs w:val="19"/>
        </w:rPr>
        <w:t xml:space="preserve">Interpretasi target 1.100–1.200 kg</w:t>
      </w:r>
    </w:p>
    <w:p>
      <w:pPr>
        <w:spacing w:after="15" w:line="258"/>
        <w:ind w:left="240"/>
      </w:pPr>
      <w:r>
        <w:rPr>
          <w:rFonts w:ascii="Arial" w:cs="Arial" w:eastAsia="Arial" w:hAnsi="Arial"/>
          <w:color w:val="5B7882"/>
          <w:sz w:val="18"/>
          <w:szCs w:val="18"/>
        </w:rPr>
        <w:t xml:space="preserve">Diasumsikan total akumulasi semua tahap panen per kolam per siklus.</w:t>
      </w:r>
    </w:p>
    <w:p>
      <w:pPr>
        <w:spacing w:after="15" w:before="70"/>
      </w:pPr>
      <w:r>
        <w:rPr>
          <w:rFonts w:ascii="Arial" w:cs="Arial" w:eastAsia="Arial" w:hAnsi="Arial"/>
          <w:b/>
          <w:bCs/>
          <w:color w:val="0B3C49"/>
          <w:sz w:val="19"/>
          <w:szCs w:val="19"/>
        </w:rPr>
        <w:t xml:space="preserve">Kriteria sampling khusus</w:t>
      </w:r>
    </w:p>
    <w:p>
      <w:pPr>
        <w:spacing w:after="15" w:line="258"/>
        <w:ind w:left="240"/>
      </w:pPr>
      <w:r>
        <w:rPr>
          <w:rFonts w:ascii="Arial" w:cs="Arial" w:eastAsia="Arial" w:hAnsi="Arial"/>
          <w:color w:val="5B7882"/>
          <w:sz w:val="18"/>
          <w:szCs w:val="18"/>
        </w:rPr>
        <w:t xml:space="preserve">Dipicu manual oleh analis/petugas, tanpa aturan otomatis.</w:t>
      </w:r>
    </w:p>
    <w:p>
      <w:pPr>
        <w:spacing w:after="15" w:before="70"/>
      </w:pPr>
      <w:r>
        <w:rPr>
          <w:rFonts w:ascii="Arial" w:cs="Arial" w:eastAsia="Arial" w:hAnsi="Arial"/>
          <w:b/>
          <w:bCs/>
          <w:color w:val="0B3C49"/>
          <w:sz w:val="19"/>
          <w:szCs w:val="19"/>
        </w:rPr>
        <w:t xml:space="preserve">Checklist standar mutu Persiapan Tambak</w:t>
      </w:r>
    </w:p>
    <w:p>
      <w:pPr>
        <w:spacing w:after="15" w:line="258"/>
        <w:ind w:left="240"/>
      </w:pPr>
      <w:r>
        <w:rPr>
          <w:rFonts w:ascii="Arial" w:cs="Arial" w:eastAsia="Arial" w:hAnsi="Arial"/>
          <w:color w:val="5B7882"/>
          <w:sz w:val="18"/>
          <w:szCs w:val="18"/>
        </w:rPr>
        <w:t xml:space="preserve">Dibangun sebagai checklist bebas, belum divalidasi ketat.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color w:val="C2503F"/>
          <w:sz w:val="21"/>
          <w:szCs w:val="21"/>
        </w:rPr>
        <w:t xml:space="preserve">Masih Benar-Benar Terbuka</w:t>
      </w:r>
    </w:p>
    <w:p>
      <w:pPr>
        <w:pStyle w:val="ListParagraph"/>
        <w:numPr>
          <w:ilvl w:val="0"/>
          <w:numId w:val="2"/>
        </w:numPr>
        <w:spacing w:after="65" w:line="260"/>
      </w:pPr>
      <w:r>
        <w:rPr>
          <w:rFonts w:ascii="Arial" w:cs="Arial" w:eastAsia="Arial" w:hAnsi="Arial"/>
          <w:color w:val="16323B"/>
          <w:sz w:val="20"/>
          <w:szCs w:val="20"/>
        </w:rPr>
        <w:t xml:space="preserve">Daftar &amp; harga acuan bahan probiotik/mineral/desinfektan/obat — menunggu data dari bagian operasional tambak (field harga dikosongkan, diisi manual saat data tersedia).</w:t>
      </w:r>
    </w:p>
    <w:p>
      <w:r>
        <w:br w:type="page"/>
      </w:r>
    </w:p>
    <w:p>
      <w:pPr>
        <w:pStyle w:val="Heading1"/>
        <w:spacing w:after="130" w:before="40"/>
      </w:pPr>
      <w:r>
        <w:rPr>
          <w:rFonts w:ascii="Arial" w:cs="Arial" w:eastAsia="Arial" w:hAnsi="Arial"/>
          <w:color w:val="16323B"/>
          <w:sz w:val="20"/>
          <w:szCs w:val="20"/>
        </w:rPr>
        <w:t xml:space="preserve">9. Non-Functional Requirements</w:t>
      </w:r>
    </w:p>
    <w:tbl>
      <w:tblPr>
        <w:tblW w:type="pct" w:w="100%"/>
        <w:tblBorders>
          <w:top w:val="single" w:color="CBD9DC" w:sz="2"/>
          <w:left w:val="single" w:color="CBD9DC" w:sz="2"/>
          <w:bottom w:val="single" w:color="CBD9DC" w:sz="2"/>
          <w:right w:val="single" w:color="CBD9DC" w:sz="2"/>
          <w:insideH w:val="single" w:color="E2EAEC" w:sz="1"/>
          <w:insideV w:val="single" w:color="E2EAEC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0B3C49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Aspek</w:t>
            </w:r>
          </w:p>
        </w:tc>
        <w:tc>
          <w:tcPr>
            <w:tcW w:type="pct" w:w="72%"/>
            <w:shd w:fill="0B3C49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Ketentuan</w:t>
            </w:r>
          </w:p>
        </w:tc>
      </w:tr>
      <w:tr>
        <w:tc>
          <w:tcPr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Stack</w:t>
            </w:r>
          </w:p>
        </w:tc>
        <w:tc>
          <w:tcPr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Laravel 12, PostgreSQL, Blade, TailwindCSS</w:t>
            </w:r>
          </w:p>
        </w:tc>
      </w:tr>
      <w:tr>
        <w:tc>
          <w:tcPr>
            <w:shd w:fill="F4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Multi-tenant &amp; role</w:t>
            </w:r>
          </w:p>
        </w:tc>
        <w:tc>
          <w:tcPr>
            <w:shd w:fill="F4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Reuse pola hardening dari POS SaaS; role: Owner, Analis, Operasional, Lab</w:t>
            </w:r>
          </w:p>
        </w:tc>
      </w:tr>
      <w:tr>
        <w:tc>
          <w:tcPr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Akses</w:t>
            </w:r>
          </w:p>
        </w:tc>
        <w:tc>
          <w:tcPr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Responsive — laptop &amp; HP</w:t>
            </w:r>
          </w:p>
        </w:tc>
      </w:tr>
      <w:tr>
        <w:tc>
          <w:tcPr>
            <w:shd w:fill="F4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Deployment</w:t>
            </w:r>
          </w:p>
        </w:tc>
        <w:tc>
          <w:tcPr>
            <w:shd w:fill="F4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Git push ke GitHub → SSH pull di Hostinger</w:t>
            </w:r>
          </w:p>
        </w:tc>
      </w:tr>
      <w:tr>
        <w:tc>
          <w:tcPr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Kinerja</w:t>
            </w:r>
          </w:p>
        </w:tc>
        <w:tc>
          <w:tcPr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Optimal untuk 76 kolam aktif bersamaan, query per-stocking bukan per-sheet</w:t>
            </w:r>
          </w:p>
        </w:tc>
      </w:tr>
      <w:tr>
        <w:tc>
          <w:tcPr>
            <w:shd w:fill="F4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Perhitungan</w:t>
            </w:r>
          </w:p>
        </w:tc>
        <w:tc>
          <w:tcPr>
            <w:shd w:fill="F4FA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323B"/>
                <w:sz w:val="18"/>
                <w:szCs w:val="18"/>
              </w:rPr>
              <w:t xml:space="preserve">Dihitung di backend (service class terpusat), bukan di Blade — hindari duplikasi rumus</w:t>
            </w:r>
          </w:p>
        </w:tc>
      </w:tr>
    </w:tbl>
    <w:p>
      <w:r>
        <w:br w:type="page"/>
      </w:r>
    </w:p>
    <w:p>
      <w:pPr>
        <w:pStyle w:val="Heading1"/>
        <w:spacing w:after="130" w:before="40"/>
      </w:pPr>
      <w:r>
        <w:rPr>
          <w:rFonts w:ascii="Arial" w:cs="Arial" w:eastAsia="Arial" w:hAnsi="Arial"/>
          <w:color w:val="16323B"/>
          <w:sz w:val="20"/>
          <w:szCs w:val="20"/>
        </w:rPr>
        <w:t xml:space="preserve">10. Di Luar Scope</w:t>
      </w:r>
    </w:p>
    <w:p>
      <w:pPr>
        <w:pStyle w:val="ListParagraph"/>
        <w:numPr>
          <w:ilvl w:val="0"/>
          <w:numId w:val="2"/>
        </w:numPr>
        <w:spacing w:after="65" w:line="260"/>
      </w:pPr>
      <w:r>
        <w:rPr>
          <w:rFonts w:ascii="Arial" w:cs="Arial" w:eastAsia="Arial" w:hAnsi="Arial"/>
          <w:color w:val="16323B"/>
          <w:sz w:val="20"/>
          <w:szCs w:val="20"/>
        </w:rPr>
        <w:t xml:space="preserve">Migrasi data historis dari Excel (60+ sheet) — dibahas &amp; dikerjakan terpisah dari 14 hari inti.</w:t>
      </w:r>
    </w:p>
    <w:p>
      <w:pPr>
        <w:pStyle w:val="ListParagraph"/>
        <w:numPr>
          <w:ilvl w:val="0"/>
          <w:numId w:val="2"/>
        </w:numPr>
        <w:spacing w:after="65" w:line="260"/>
      </w:pPr>
      <w:r>
        <w:rPr>
          <w:rFonts w:ascii="Arial" w:cs="Arial" w:eastAsia="Arial" w:hAnsi="Arial"/>
          <w:color w:val="16323B"/>
          <w:sz w:val="20"/>
          <w:szCs w:val="20"/>
        </w:rPr>
        <w:t xml:space="preserve">Prediksi panen berbasis AI/machine learning — sistem hanya estimasi berbasis rumus deterministik.</w:t>
      </w:r>
    </w:p>
    <w:p>
      <w:pPr>
        <w:pStyle w:val="ListParagraph"/>
        <w:numPr>
          <w:ilvl w:val="0"/>
          <w:numId w:val="2"/>
        </w:numPr>
        <w:spacing w:after="65" w:line="260"/>
      </w:pPr>
      <w:r>
        <w:rPr>
          <w:rFonts w:ascii="Arial" w:cs="Arial" w:eastAsia="Arial" w:hAnsi="Arial"/>
          <w:color w:val="16323B"/>
          <w:sz w:val="20"/>
          <w:szCs w:val="20"/>
        </w:rPr>
        <w:t xml:space="preserve">Integrasi pihak ketiga (payment gateway, notifikasi WhatsApp otomatis, dsb).</w:t>
      </w:r>
    </w:p>
    <w:p>
      <w:pPr>
        <w:pStyle w:val="ListParagraph"/>
        <w:numPr>
          <w:ilvl w:val="0"/>
          <w:numId w:val="2"/>
        </w:numPr>
        <w:spacing w:after="65" w:line="260"/>
      </w:pPr>
      <w:r>
        <w:rPr>
          <w:rFonts w:ascii="Arial" w:cs="Arial" w:eastAsia="Arial" w:hAnsi="Arial"/>
          <w:color w:val="16323B"/>
          <w:sz w:val="20"/>
          <w:szCs w:val="20"/>
        </w:rPr>
        <w:t xml:space="preserve">Modul diagnosis penyakit terpisah dengan database penyakit — digabung ringkas ke Emergency.</w:t>
      </w:r>
    </w:p>
    <w:p>
      <w:pPr>
        <w:pStyle w:val="ListParagraph"/>
        <w:numPr>
          <w:ilvl w:val="0"/>
          <w:numId w:val="2"/>
        </w:numPr>
        <w:spacing w:after="65" w:line="260"/>
      </w:pPr>
      <w:r>
        <w:rPr>
          <w:rFonts w:ascii="Arial" w:cs="Arial" w:eastAsia="Arial" w:hAnsi="Arial"/>
          <w:color w:val="16323B"/>
          <w:sz w:val="20"/>
          <w:szCs w:val="20"/>
        </w:rPr>
        <w:t xml:space="preserve">Export laporan kompleks di luar laporan laba/rugi sederhana yang disepakati.</w:t>
      </w:r>
    </w:p>
    <w:p>
      <w:pPr>
        <w:pBdr>
          <w:top w:val="single" w:color="028090" w:sz="6" w:space="8"/>
        </w:pBdr>
        <w:spacing w:before="200"/>
      </w:pPr>
      <w:r>
        <w:rPr>
          <w:rFonts w:ascii="Arial" w:cs="Arial" w:eastAsia="Arial" w:hAnsi="Arial"/>
          <w:b/>
          <w:bCs/>
          <w:i/>
          <w:iCs/>
          <w:color w:val="028090"/>
          <w:sz w:val="20"/>
          <w:szCs w:val="20"/>
        </w:rPr>
        <w:t xml:space="preserve">Dokumen ini jadi acuan build 14 hari. Perubahan scope di luar sini perlu dicatat &amp; dibahas terpisah — bukan disisipkan diam-diam ke sprint yang berjalan.</w:t>
      </w:r>
    </w:p>
    <w:sectPr>
      <w:pgSz w:w="12240" w:h="15840" w:orient="portrait"/>
      <w:pgMar w:top="1150" w:right="1150" w:bottom="115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32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200"/>
      <w:outlineLvl w:val="0"/>
    </w:pPr>
    <w:rPr>
      <w:rFonts w:ascii="Arial" w:cs="Arial" w:eastAsia="Arial" w:hAnsi="Arial"/>
      <w:b/>
      <w:bCs/>
      <w:color w:val="0B3C49"/>
      <w:sz w:val="27"/>
      <w:szCs w:val="27"/>
    </w:rPr>
  </w:style>
  <w:style w:type="paragraph" w:styleId="Heading2">
    <w:name w:val="Heading 2"/>
    <w:basedOn w:val="Normal"/>
    <w:next w:val="Normal"/>
    <w:qFormat/>
    <w:pPr>
      <w:spacing w:after="70" w:before="160"/>
      <w:outlineLvl w:val="1"/>
    </w:pPr>
    <w:rPr>
      <w:rFonts w:ascii="Arial" w:cs="Arial" w:eastAsia="Arial" w:hAnsi="Arial"/>
      <w:b/>
      <w:bCs/>
      <w:color w:val="02809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2026-07-02T06:39:44.883Z</dcterms:created>
  <dcterms:modified xsi:type="dcterms:W3CDTF">2026-07-02T06:39:44.897Z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