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B6CF8">
      <w:pPr>
        <w:spacing w:before="0" w:after="1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40"/>
          <w:szCs w:val="40"/>
        </w:rPr>
        <w:t>多专业教学资源库建设项目</w:t>
      </w:r>
    </w:p>
    <w:p w14:paraId="3D953799">
      <w:pPr>
        <w:spacing w:before="0" w:after="80"/>
        <w:jc w:val="center"/>
      </w:pPr>
      <w:r>
        <w:rPr>
          <w:rFonts w:ascii="微软雅黑" w:hAnsi="微软雅黑" w:eastAsia="微软雅黑" w:cs="微软雅黑"/>
          <w:b/>
          <w:bCs/>
          <w:color w:val="2E75B6"/>
          <w:sz w:val="28"/>
          <w:szCs w:val="28"/>
        </w:rPr>
        <w:t>第一阶段·功能清单</w:t>
      </w:r>
    </w:p>
    <w:p w14:paraId="0E1B78A1">
      <w:pPr>
        <w:pBdr>
          <w:bottom w:val="single" w:color="BBCFE8" w:sz="4" w:space="10"/>
        </w:pBdr>
        <w:spacing w:before="0" w:after="400"/>
        <w:jc w:val="center"/>
      </w:pPr>
      <w:r>
        <w:rPr>
          <w:rFonts w:ascii="微软雅黑" w:hAnsi="微软雅黑" w:eastAsia="微软雅黑" w:cs="微软雅黑"/>
          <w:color w:val="888888"/>
          <w:sz w:val="18"/>
          <w:szCs w:val="18"/>
        </w:rPr>
        <w:t>合同编号：JSLQ-2026-002　　适用阶段：第一阶段（合同签订后第1-5周）</w:t>
      </w:r>
    </w:p>
    <w:p w14:paraId="1B0586F5">
      <w:pPr>
        <w:pBdr>
          <w:left w:val="single" w:color="2E75B6" w:sz="20" w:space="8"/>
        </w:pBdr>
        <w:spacing w:before="100" w:after="60"/>
      </w:pPr>
      <w:r>
        <w:rPr>
          <w:rFonts w:ascii="微软雅黑" w:hAnsi="微软雅黑" w:eastAsia="微软雅黑" w:cs="微软雅黑"/>
          <w:b/>
          <w:bCs/>
          <w:color w:val="1F4E79"/>
          <w:sz w:val="20"/>
          <w:szCs w:val="20"/>
        </w:rPr>
        <w:t xml:space="preserve">  项目基本信息</w:t>
      </w:r>
    </w:p>
    <w:p w14:paraId="41E0915F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39"/>
        <w:gridCol w:w="4530"/>
        <w:gridCol w:w="1291"/>
      </w:tblGrid>
      <w:tr w14:paraId="2172D82D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9BADDA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信息项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C9D830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91207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6393571A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B6BCE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甲方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158DAF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江苏联庆教育科技有限公司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C8CB3">
            <w:pPr>
              <w:jc w:val="left"/>
            </w:pPr>
          </w:p>
        </w:tc>
      </w:tr>
      <w:tr w14:paraId="6CA3CDFE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12033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乙方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437D59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白晨生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99666B">
            <w:pPr>
              <w:jc w:val="left"/>
            </w:pPr>
          </w:p>
        </w:tc>
      </w:tr>
      <w:tr w14:paraId="3AE7A603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1C633C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第一阶段交付模块数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1148E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 个核心功能模块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BF50C">
            <w:pPr>
              <w:jc w:val="left"/>
            </w:pPr>
          </w:p>
        </w:tc>
      </w:tr>
    </w:tbl>
    <w:p w14:paraId="6E9AA504">
      <w:pPr>
        <w:spacing w:before="180" w:after="0"/>
      </w:pPr>
    </w:p>
    <w:p w14:paraId="17A2F1E1">
      <w:pPr>
        <w:pStyle w:val="2"/>
        <w:pBdr>
          <w:bottom w:val="single" w:color="1F4E79" w:sz="6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一、模块总览</w:t>
      </w:r>
    </w:p>
    <w:p w14:paraId="045AB4D1">
      <w:pPr>
        <w:spacing w:before="60" w:after="6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第一阶段需完整开发并交付以下5个核心功能模块，各模块须完成开发、单元测试、集成测试及部署。</w:t>
      </w:r>
    </w:p>
    <w:p w14:paraId="5CD381EA">
      <w:pPr>
        <w:spacing w:before="60" w:after="0"/>
      </w:pPr>
    </w:p>
    <w:tbl>
      <w:tblPr>
        <w:tblStyle w:val="12"/>
        <w:tblW w:w="103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3"/>
        <w:gridCol w:w="1159"/>
        <w:gridCol w:w="8590"/>
      </w:tblGrid>
      <w:tr w14:paraId="3038AAD0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B4BB2F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280CE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8590" w:type="dxa"/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DD02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核心功能点</w:t>
            </w:r>
          </w:p>
        </w:tc>
      </w:tr>
      <w:tr w14:paraId="6FA1E98D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EEC4E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F1129B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资源管理模块</w:t>
            </w:r>
          </w:p>
        </w:tc>
        <w:tc>
          <w:tcPr>
            <w:tcW w:w="8590" w:type="dxa"/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CBB1B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• 资源上传　• 二级审核机制　• 资源分类存储　• 版本管理　• 资源删除　• 权限管控（RBAC）</w:t>
            </w:r>
          </w:p>
        </w:tc>
      </w:tr>
      <w:tr w14:paraId="38F83AF7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BBD50E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1EC397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智能检索与推送模块</w:t>
            </w:r>
          </w:p>
        </w:tc>
        <w:tc>
          <w:tcPr>
            <w:tcW w:w="8590" w:type="dxa"/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909FF6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• 关键词检索　• 自然语言检索　• 多条件筛选　• 个性化资源推送　• 检索数据统计</w:t>
            </w:r>
          </w:p>
        </w:tc>
      </w:tr>
      <w:tr w14:paraId="75A8C2C6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61F1F6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3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E1E67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专业大模型应用模块</w:t>
            </w:r>
          </w:p>
        </w:tc>
        <w:tc>
          <w:tcPr>
            <w:tcW w:w="8590" w:type="dxa"/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A9DD3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• 智能问答　• 教案/课件生成　• 案例分析　• 模型迭代更新机制</w:t>
            </w:r>
          </w:p>
        </w:tc>
      </w:tr>
      <w:tr w14:paraId="1E7D0F88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0E133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A53BA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在线课程中心学习模块</w:t>
            </w:r>
          </w:p>
        </w:tc>
        <w:tc>
          <w:tcPr>
            <w:tcW w:w="8590" w:type="dxa"/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4F0274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• 课程学习与进度管理　• 可视化知识图谱　• 章节测试与反馈　• 学习数据统计</w:t>
            </w:r>
          </w:p>
        </w:tc>
      </w:tr>
      <w:tr w14:paraId="2DFD1320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A8D520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A29EB2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多校协同管理模块</w:t>
            </w:r>
          </w:p>
        </w:tc>
        <w:tc>
          <w:tcPr>
            <w:tcW w:w="8590" w:type="dxa"/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EF626E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• 统一用户管理　• 精细化权限分配　</w:t>
            </w:r>
          </w:p>
        </w:tc>
      </w:tr>
    </w:tbl>
    <w:p w14:paraId="2DA7FFC0">
      <w:pPr>
        <w:spacing w:before="180" w:after="0"/>
      </w:pPr>
    </w:p>
    <w:p w14:paraId="73D7CB35">
      <w:pPr>
        <w:pStyle w:val="2"/>
        <w:pBdr>
          <w:bottom w:val="single" w:color="1F4E79" w:sz="6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二、各模块功能详细说明</w:t>
      </w:r>
    </w:p>
    <w:p w14:paraId="258E24A3">
      <w:pPr>
        <w:spacing w:before="96" w:after="0"/>
      </w:pPr>
    </w:p>
    <w:p w14:paraId="7820C1A8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1. 资源管理模块</w:t>
      </w:r>
    </w:p>
    <w:p w14:paraId="68CE6E81">
      <w:pPr>
        <w:pBdr>
          <w:left w:val="single" w:color="2E75B6" w:sz="16" w:space="6"/>
        </w:pBdr>
        <w:spacing w:before="40" w:after="10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 xml:space="preserve">  模块定位：实现资源的上传、审核、分类、存储、更新、删除、版本管理等全生命周期管理</w:t>
      </w:r>
    </w:p>
    <w:p w14:paraId="537BB392">
      <w:pPr>
        <w:spacing w:before="36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"/>
        <w:gridCol w:w="1386"/>
        <w:gridCol w:w="7473"/>
      </w:tblGrid>
      <w:tr w14:paraId="1DCF7EFE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F4BC26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065BB6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AEC1EF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1D20A2DD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AD1C73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B6E1D5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资源上传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2CAA76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支持文档（doc/docx/pdf）、视频（mp4/avi）、音频（mp3）、图片（jpg/png）、PPT（ppt/pptx）等主流格式统一上传；支持批量上传与断点续传；上传时须填写元数据（资源名称、所属模块/课程、资源类型、关键词、版权信息等）。</w:t>
            </w:r>
          </w:p>
        </w:tc>
      </w:tr>
      <w:tr w14:paraId="3F12CC05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0752DA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D19BE8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二级审核机制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1C729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建立双级审核流程：</w:t>
            </w: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</w:rPr>
              <w:t>院校审核人员初审，通过后提交</w:t>
            </w:r>
            <w:r>
              <w:commentReference w:id="0"/>
            </w: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</w:rPr>
              <w:t>联盟终审</w:t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；审核通过则录入资源库并共享，未通过则反馈具体修改意见；</w:t>
            </w:r>
          </w:p>
        </w:tc>
      </w:tr>
      <w:tr w14:paraId="1329902B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E9D626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3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6BAA24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资源分类存储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FD73B2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按分类体系构建目录，支持自定义分类，文档资源采用数据库+文件系统存储。</w:t>
            </w:r>
          </w:p>
        </w:tc>
      </w:tr>
      <w:tr w14:paraId="107B1C4D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A35AEF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DDB523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版本管理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2B57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对资源的修改/更新进行完整版本记录，保留全部历史版本；</w:t>
            </w: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</w:rPr>
              <w:t>资源更新后须重新提交审核，审核通过后替换当前版本并标注更新时间与更新内容。</w:t>
            </w:r>
            <w:r>
              <w:commentReference w:id="1"/>
            </w:r>
          </w:p>
        </w:tc>
      </w:tr>
      <w:tr w14:paraId="726390FC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B0511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7091C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资源删除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81053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逻辑删除（隐藏资源，保留数据备份，可恢复）；物理删除须经</w:t>
            </w: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</w:rPr>
              <w:t>联盟审核委员会</w:t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审批，删除后不可恢复，同时自动记录删除日志。</w:t>
            </w:r>
          </w:p>
        </w:tc>
      </w:tr>
      <w:tr w14:paraId="1A66081C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1EBD8B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6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8D3C9F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权限管控（RBAC）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201462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联盟管理员：全权限含终审/违规删除/全局版本管理；</w:t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院校管理员：本校资源初审/分类管理/数据统计；</w:t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教师：上传/修改未审核资源，使用全平台共享资源；</w:t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学生：查看/学习/收藏/下载（限可下载标注）共享资源；</w:t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br w:type="textWrapping"/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企业用户：上传企业资源，查看教学资源，不参与审核。</w:t>
            </w:r>
          </w:p>
        </w:tc>
      </w:tr>
    </w:tbl>
    <w:p w14:paraId="27F444FD">
      <w:pPr>
        <w:spacing w:before="96" w:after="0"/>
      </w:pPr>
    </w:p>
    <w:p w14:paraId="5287992D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2. 智能检索与推送模块</w:t>
      </w:r>
    </w:p>
    <w:p w14:paraId="4559F71A">
      <w:pPr>
        <w:pBdr>
          <w:left w:val="single" w:color="2E75B6" w:sz="16" w:space="6"/>
        </w:pBdr>
        <w:spacing w:before="40" w:after="10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 xml:space="preserve">  模块定位：支持多种方式检索资源，并基于AI算法向用户推送个性化资源</w:t>
      </w:r>
    </w:p>
    <w:p w14:paraId="6B56926B">
      <w:pPr>
        <w:spacing w:before="60" w:after="60"/>
      </w:pPr>
      <w:r>
        <w:rPr>
          <w:rFonts w:ascii="微软雅黑" w:hAnsi="微软雅黑" w:eastAsia="微软雅黑" w:cs="微软雅黑"/>
          <w:color w:val="666666"/>
          <w:sz w:val="17"/>
          <w:szCs w:val="17"/>
        </w:rPr>
        <w:t>技术栈：倒排索引 + 专业大模型语义解析 + 协同过滤+内容推荐算法</w:t>
      </w:r>
    </w:p>
    <w:p w14:paraId="158E89EB">
      <w:pPr>
        <w:spacing w:before="36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"/>
        <w:gridCol w:w="1195"/>
        <w:gridCol w:w="7664"/>
      </w:tblGrid>
      <w:tr w14:paraId="2FC7CC70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7B7BCA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E6C7F4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BFC2F5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5F881E38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028C10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E0D9F0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关键词检索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855031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基于倒排索引实现，支持模糊匹配与精确匹配；检索结果按相关度、时间、热度等多维度排序；</w:t>
            </w:r>
          </w:p>
        </w:tc>
      </w:tr>
      <w:tr w14:paraId="7394AE0A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5FE4BE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9C07FC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自然语言检索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C2BC9A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接入专业大模型进行语义解析，支持自然语言提问式检索（例如：帮我找养老护理实操类视频）；理解用户查询意图并返回语义相关资源。</w:t>
            </w:r>
          </w:p>
        </w:tc>
      </w:tr>
      <w:tr w14:paraId="3CDD3701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66BEE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3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5AFDD0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多条件筛选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DCDD98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支持按资源类型、所属模块、所属课程、上传时间、资源格式、院校等多条件任意组合筛选</w:t>
            </w:r>
          </w:p>
        </w:tc>
      </w:tr>
      <w:tr w14:paraId="65C918FF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B9E33A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CC4B1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个性化资源推送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BADDA0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自动采集用户学习行为数据</w:t>
            </w:r>
            <w:r>
              <w:rPr>
                <w:rFonts w:hint="default" w:cs="微软雅黑"/>
                <w:color w:val="1A1A2E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采用推荐算法，结合专业大模型推送适配资源；</w:t>
            </w:r>
          </w:p>
        </w:tc>
      </w:tr>
      <w:tr w14:paraId="040FD3B7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FA9312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4F5EA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检索数据统计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E07C3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联盟/院校管理员可查看全平台/本校检索统计数据；教师/学生可查看个人检索记录及评价记录。</w:t>
            </w:r>
          </w:p>
        </w:tc>
      </w:tr>
    </w:tbl>
    <w:p w14:paraId="2A1AA32A">
      <w:pPr>
        <w:spacing w:before="96" w:after="0"/>
      </w:pPr>
    </w:p>
    <w:p w14:paraId="5A3C6A5F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3. 专业大模型应用模块</w:t>
      </w:r>
    </w:p>
    <w:p w14:paraId="79E63D0D">
      <w:pPr>
        <w:pBdr>
          <w:left w:val="single" w:color="2E75B6" w:sz="16" w:space="6"/>
        </w:pBdr>
        <w:spacing w:before="40" w:after="10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 xml:space="preserve">  模块定位：以开源大模型为基础，提供智能化教学支撑</w:t>
      </w:r>
    </w:p>
    <w:p w14:paraId="616F3A28">
      <w:pPr>
        <w:spacing w:before="36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"/>
        <w:gridCol w:w="1278"/>
        <w:gridCol w:w="7581"/>
      </w:tblGrid>
      <w:tr w14:paraId="783253C2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52077B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14DB0A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FFB043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2C428B9A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8EFA0E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2333C6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智能问答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63CC8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支持文本/语音提问，关联相关教学资源作为回答依据；涵盖专业知识问答、学习答疑等场景；</w:t>
            </w:r>
          </w:p>
        </w:tc>
      </w:tr>
      <w:tr w14:paraId="73D2452E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89E87F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463E6D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教案/课件生成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6D7EF6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教师输入课程主题、教学目标、学时等信息，AI自动生成结构化教案与课件；支持教师在线修改后直接上传至资源库；</w:t>
            </w:r>
          </w:p>
        </w:tc>
      </w:tr>
      <w:tr w14:paraId="2FE1BC07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50E73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3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B12F2E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案例分析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761B86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教师/学生上传案例文档，AI自动解析并提供多维度分析（背景分析、关键问题识别、解决方案建议）；企业用户可上传项目案例供系统分析。</w:t>
            </w:r>
          </w:p>
        </w:tc>
      </w:tr>
      <w:tr w14:paraId="7ED3052D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C88ED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3A12A5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职业规划指导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64821B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结合学生个人档案（专业/成绩/技能）与行业岗位需求数据，提供个性化职业发展建议；支持多轮对话式规划辅导。</w:t>
            </w:r>
          </w:p>
        </w:tc>
      </w:tr>
      <w:tr w14:paraId="1AFC736C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8287EC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92AB14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模型迭代更新机制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ECBED5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建立用户反馈入口，收集问答质量评价；乙方每月对模型进行一次迭代更新</w:t>
            </w:r>
          </w:p>
        </w:tc>
      </w:tr>
    </w:tbl>
    <w:p w14:paraId="4667B022">
      <w:pPr>
        <w:spacing w:before="96" w:after="0"/>
      </w:pPr>
    </w:p>
    <w:p w14:paraId="280890F4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4. 在线课程中心学习模块</w:t>
      </w:r>
    </w:p>
    <w:p w14:paraId="5B3F86A2">
      <w:pPr>
        <w:pBdr>
          <w:left w:val="single" w:color="2E75B6" w:sz="16" w:space="6"/>
        </w:pBdr>
        <w:spacing w:before="40" w:after="10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 xml:space="preserve">  模块定位：整合在线课程资源，融入可视化知识图谱，实现课程学习等功能</w:t>
      </w:r>
    </w:p>
    <w:p w14:paraId="0F8B5C96">
      <w:pPr>
        <w:spacing w:before="36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"/>
        <w:gridCol w:w="1263"/>
        <w:gridCol w:w="7596"/>
      </w:tblGrid>
      <w:tr w14:paraId="1A58F717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4B349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21CCE57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420A28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4D9FD0D1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44BBB4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282C6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课程学习与进度管理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D799C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学生自主选课、断点续学，系统自动记录并可视化展示学习进度（已学/未学/在学）；支持按专业/课程类型/难度等多维度筛选课程；</w:t>
            </w:r>
          </w:p>
        </w:tc>
      </w:tr>
      <w:tr w14:paraId="52FD92C1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8F011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7BEEF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可视化知识图谱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173C91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构建并可视化展示专业知识图谱；支持知识点关联查询（点击某知识点可查看前后置知识）；基于知识图谱推荐个性化学习路径；。</w:t>
            </w:r>
          </w:p>
        </w:tc>
      </w:tr>
      <w:tr w14:paraId="35875E2B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022AE4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CC44F1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章节测试与反馈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D30ED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每章节配套多题型测试（客观题/主观题/案例分析题）；系统自动批改客观题，教师在线批改主观题；自动生成含错题关联知识点的测试报告；成绩记录准确可查。</w:t>
            </w:r>
          </w:p>
        </w:tc>
      </w:tr>
      <w:tr w14:paraId="5E4B8067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A59E0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83400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学习数据统计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3C8BE0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联盟管理员查看全平台学习数据；院校管理员查看本校数据并审核课程；教师查看所教课程学生学习数据；学生查看个人学习记录与知识图谱；支持可视化报表导出。</w:t>
            </w:r>
          </w:p>
        </w:tc>
      </w:tr>
    </w:tbl>
    <w:p w14:paraId="02D5F620">
      <w:pPr>
        <w:spacing w:before="96" w:after="0"/>
      </w:pPr>
    </w:p>
    <w:p w14:paraId="35F9DE8E">
      <w:pPr>
        <w:pStyle w:val="3"/>
        <w:spacing w:before="280" w:after="120"/>
      </w:pPr>
      <w:r>
        <w:rPr>
          <w:rFonts w:ascii="微软雅黑" w:hAnsi="微软雅黑" w:eastAsia="微软雅黑" w:cs="微软雅黑"/>
          <w:b/>
          <w:bCs/>
          <w:color w:val="2E75B6"/>
          <w:sz w:val="24"/>
          <w:szCs w:val="24"/>
        </w:rPr>
        <w:t>5. 多校协同管理模块</w:t>
      </w:r>
    </w:p>
    <w:p w14:paraId="213B8513">
      <w:pPr>
        <w:pBdr>
          <w:left w:val="single" w:color="2E75B6" w:sz="16" w:space="6"/>
        </w:pBdr>
        <w:spacing w:before="40" w:after="100"/>
      </w:pPr>
      <w:r>
        <w:rPr>
          <w:rFonts w:ascii="微软雅黑" w:hAnsi="微软雅黑" w:eastAsia="微软雅黑" w:cs="微软雅黑"/>
          <w:i/>
          <w:iCs/>
          <w:color w:val="555555"/>
          <w:sz w:val="18"/>
          <w:szCs w:val="18"/>
        </w:rPr>
        <w:t xml:space="preserve">  模块定位：实现多校用户统一管理、权限分配、资源共建共享及运营数据统计</w:t>
      </w:r>
    </w:p>
    <w:p w14:paraId="2E428C2E">
      <w:pPr>
        <w:spacing w:before="60" w:after="60"/>
      </w:pPr>
      <w:r>
        <w:rPr>
          <w:rFonts w:ascii="微软雅黑" w:hAnsi="微软雅黑" w:eastAsia="微软雅黑" w:cs="微软雅黑"/>
          <w:color w:val="666666"/>
          <w:sz w:val="17"/>
          <w:szCs w:val="17"/>
        </w:rPr>
        <w:t>技术栈：RBAC权限模型 + 区块链版权保护 + 可视化报表引擎 + SSO单点登录</w:t>
      </w:r>
    </w:p>
    <w:p w14:paraId="405AA41D">
      <w:pPr>
        <w:spacing w:before="36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1"/>
        <w:gridCol w:w="1074"/>
        <w:gridCol w:w="7785"/>
      </w:tblGrid>
      <w:tr w14:paraId="03C6C180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7BF87B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37BE56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7F45E46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6499FDD6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AE1784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69118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统一用户管理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FCEFE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建立多校统一用户体系，支持用户批量导入（Excel模板导入）；用户信息统一维护，账号变更实时同步。</w:t>
            </w:r>
          </w:p>
        </w:tc>
      </w:tr>
      <w:tr w14:paraId="17B4873C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9F460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69678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精细化权限分配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7F0E4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基于RBAC模型构建权限体系，支持联盟/院校/教师/学生/企业共</w:t>
            </w:r>
            <w:r>
              <w:rPr>
                <w:rFonts w:hint="default" w:cs="微软雅黑"/>
                <w:color w:val="1A1A2E"/>
                <w:sz w:val="18"/>
                <w:szCs w:val="18"/>
                <w:lang w:val="en-US"/>
              </w:rPr>
              <w:t>5</w:t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类角色；支持自定义角色与权限配置；权限调整后24小时内实时生效（刷新即生效）。</w:t>
            </w:r>
          </w:p>
        </w:tc>
      </w:tr>
      <w:tr w14:paraId="1D92E432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C2257B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3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80FCB0">
            <w:r>
              <w:rPr>
                <w:rFonts w:ascii="微软雅黑" w:hAnsi="微软雅黑" w:eastAsia="微软雅黑" w:cs="微软雅黑"/>
                <w:b/>
                <w:bCs/>
                <w:color w:val="FF0000"/>
                <w:sz w:val="18"/>
                <w:szCs w:val="18"/>
              </w:rPr>
              <w:t>资源共建共享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8331E1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建立资源贡献积分激励机制；支持多校联合申报教研项目；自动记录资源来源及</w:t>
            </w:r>
            <w:r>
              <w:commentReference w:id="2"/>
            </w: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贡献方信息。</w:t>
            </w:r>
          </w:p>
        </w:tc>
      </w:tr>
      <w:tr w14:paraId="01545C38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AB0C0D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4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9F327B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运营数据统计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2008C7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实时统计平台访问量、资源上传/使用量等核心运营数据；数据更新实时同步；支持按院校/时间/专业等多维度自定义导出统计报表（Excel/PDF）。</w:t>
            </w:r>
          </w:p>
        </w:tc>
      </w:tr>
      <w:tr w14:paraId="7EF5A962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2F9CA2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29BAF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多维度数据看板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B2FAE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提供可视化数据看板（图表/趋势图/排名）；联盟管理员查看全平台数据，院校管理员仅查看本校数据；。</w:t>
            </w:r>
          </w:p>
        </w:tc>
      </w:tr>
    </w:tbl>
    <w:p w14:paraId="7F803120">
      <w:pPr>
        <w:spacing w:before="180" w:after="0"/>
      </w:pPr>
    </w:p>
    <w:p w14:paraId="28200164">
      <w:pPr>
        <w:pStyle w:val="2"/>
        <w:pBdr>
          <w:bottom w:val="single" w:color="1F4E79" w:sz="6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三、第一阶段交付物清单</w:t>
      </w:r>
    </w:p>
    <w:p w14:paraId="5FF35FB5">
      <w:pPr>
        <w:spacing w:before="60" w:after="6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乙方须在提交验收申请时，同步提交以下所有交付物（缺少任一项视为验收条件不满足）：</w:t>
      </w:r>
    </w:p>
    <w:p w14:paraId="44FF45AC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1658"/>
        <w:gridCol w:w="5327"/>
        <w:gridCol w:w="1690"/>
      </w:tblGrid>
      <w:tr w14:paraId="6D14884D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D31B36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CD64E3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交付物类型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E46C72E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具体内容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6D64A7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交付形式</w:t>
            </w:r>
          </w:p>
        </w:tc>
      </w:tr>
      <w:tr w14:paraId="462B4670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65E0E6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1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2CE739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完整平台系统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8F3265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5个功能模块全部可运行系统，含数据库、后端服务程序、前端程序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402BE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服务器部署 + 源码</w:t>
            </w:r>
          </w:p>
        </w:tc>
      </w:tr>
      <w:tr w14:paraId="291DC049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7F1174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83821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全部源代码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879D3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后端 代码 + 前端 代码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5671D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源码</w:t>
            </w:r>
          </w:p>
        </w:tc>
      </w:tr>
      <w:tr w14:paraId="3543E48D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844145">
            <w:pPr>
              <w:jc w:val="center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7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D9F422">
            <w:r>
              <w:rPr>
                <w:rFonts w:ascii="微软雅黑" w:hAnsi="微软雅黑" w:eastAsia="微软雅黑" w:cs="微软雅黑"/>
                <w:b/>
                <w:bCs/>
                <w:color w:val="1F4E79"/>
                <w:sz w:val="18"/>
                <w:szCs w:val="18"/>
              </w:rPr>
              <w:t>使用说明（初版）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4DEED">
            <w:pPr>
              <w:jc w:val="left"/>
            </w:pPr>
            <w:r>
              <w:rPr>
                <w:rFonts w:ascii="微软雅黑" w:hAnsi="微软雅黑" w:eastAsia="微软雅黑" w:cs="微软雅黑"/>
                <w:color w:val="1A1A2E"/>
                <w:sz w:val="18"/>
                <w:szCs w:val="18"/>
              </w:rPr>
              <w:t>平台操作使用手册初版，覆盖第一阶段5个功能模块</w:t>
            </w: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AD5A22">
            <w:pPr>
              <w:jc w:val="left"/>
            </w:pPr>
          </w:p>
        </w:tc>
      </w:tr>
    </w:tbl>
    <w:p w14:paraId="62AC433D">
      <w:pPr>
        <w:spacing w:before="180" w:after="0"/>
      </w:pPr>
    </w:p>
    <w:p w14:paraId="66D4DF18">
      <w:pPr>
        <w:pStyle w:val="2"/>
        <w:pBdr>
          <w:bottom w:val="single" w:color="1F4E79" w:sz="6" w:space="6"/>
        </w:pBdr>
        <w:spacing w:before="360" w:after="180"/>
      </w:pPr>
      <w: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  <w:t>四、通用技术要求</w:t>
      </w:r>
    </w:p>
    <w:p w14:paraId="21CBF83A">
      <w:pPr>
        <w:spacing w:before="60" w:after="60"/>
      </w:pPr>
      <w:r>
        <w:rPr>
          <w:rFonts w:ascii="微软雅黑" w:hAnsi="微软雅黑" w:eastAsia="微软雅黑" w:cs="微软雅黑"/>
          <w:color w:val="333333"/>
          <w:sz w:val="18"/>
          <w:szCs w:val="18"/>
        </w:rPr>
        <w:t>以下技术指标适用于第一阶段所有已交付模块：</w:t>
      </w:r>
    </w:p>
    <w:p w14:paraId="2A0AAB30">
      <w:pPr>
        <w:spacing w:before="60" w:after="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5345E3A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8BC025A">
            <w:pPr>
              <w:jc w:val="center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BBD262C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9077C1A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1F4E79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B64E484"/>
        </w:tc>
      </w:tr>
      <w:tr w14:paraId="5C8ADF33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9B80C">
            <w:pPr>
              <w:jc w:val="center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9CA47B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727F0A">
            <w:pPr>
              <w:jc w:val="left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AE49B9">
            <w:pPr>
              <w:jc w:val="left"/>
            </w:pPr>
          </w:p>
        </w:tc>
      </w:tr>
      <w:tr w14:paraId="7F6FDBBA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ACD166">
            <w:pPr>
              <w:jc w:val="center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4C1F2D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313556">
            <w:pPr>
              <w:jc w:val="left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EF32F6">
            <w:pPr>
              <w:jc w:val="left"/>
            </w:pPr>
          </w:p>
        </w:tc>
      </w:tr>
      <w:tr w14:paraId="3B8D277A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4E9D9A">
            <w:pPr>
              <w:jc w:val="center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C18CB2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3D95EE">
            <w:pPr>
              <w:jc w:val="left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B24F0A">
            <w:pPr>
              <w:jc w:val="left"/>
            </w:pPr>
          </w:p>
        </w:tc>
      </w:tr>
      <w:tr w14:paraId="277F84CE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0B9EA9">
            <w:pPr>
              <w:jc w:val="center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9D65F2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913FC8">
            <w:pPr>
              <w:jc w:val="left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251004">
            <w:pPr>
              <w:jc w:val="left"/>
            </w:pPr>
          </w:p>
        </w:tc>
      </w:tr>
      <w:tr w14:paraId="3CC941F2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FBA7D1">
            <w:pPr>
              <w:jc w:val="center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E0FCE5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B804D">
            <w:pPr>
              <w:jc w:val="left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4FC61">
            <w:pPr>
              <w:jc w:val="left"/>
            </w:pPr>
          </w:p>
        </w:tc>
      </w:tr>
      <w:tr w14:paraId="4DD3A44B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1FEB9">
            <w:pPr>
              <w:jc w:val="center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8F1F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C076C3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357DB6">
            <w:pPr>
              <w:jc w:val="left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AE263E">
            <w:pPr>
              <w:jc w:val="left"/>
            </w:pPr>
          </w:p>
        </w:tc>
      </w:tr>
      <w:tr w14:paraId="6312D68B"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1B1FC">
            <w:pPr>
              <w:jc w:val="center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D6E4F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FE52CB"/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1A83B1">
            <w:pPr>
              <w:jc w:val="left"/>
            </w:pPr>
          </w:p>
        </w:tc>
        <w:tc>
          <w:tcPr>
            <w:tcBorders>
              <w:top w:val="single" w:color="BBCFE8" w:sz="2" w:space="0"/>
              <w:left w:val="single" w:color="BBCFE8" w:sz="2" w:space="0"/>
              <w:bottom w:val="single" w:color="BBCFE8" w:sz="2" w:space="0"/>
              <w:right w:val="single" w:color="BBCFE8" w:sz="2" w:space="0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6DC6B0">
            <w:pPr>
              <w:jc w:val="left"/>
            </w:pPr>
          </w:p>
        </w:tc>
      </w:tr>
    </w:tbl>
    <w:p w14:paraId="59352E8A">
      <w:pPr>
        <w:spacing w:before="240" w:after="0"/>
      </w:pPr>
    </w:p>
    <w:p w14:paraId="6D5EAD6D">
      <w:pPr>
        <w:pBdr>
          <w:left w:val="single" w:color="2E75B6" w:sz="20" w:space="8"/>
        </w:pBdr>
        <w:spacing w:before="100" w:after="60"/>
      </w:pPr>
      <w:r>
        <w:rPr>
          <w:rFonts w:ascii="微软雅黑" w:hAnsi="微软雅黑" w:eastAsia="微软雅黑" w:cs="微软雅黑"/>
          <w:b/>
          <w:bCs/>
          <w:color w:val="1F4E79"/>
          <w:sz w:val="20"/>
          <w:szCs w:val="20"/>
        </w:rPr>
        <w:t xml:space="preserve">  文档确认</w:t>
      </w:r>
    </w:p>
    <w:p w14:paraId="63AF595F">
      <w:pPr>
        <w:spacing w:before="60" w:after="0"/>
      </w:pPr>
    </w:p>
    <w:p w14:paraId="7F671D6A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1F4E79"/>
          <w:sz w:val="18"/>
          <w:szCs w:val="18"/>
        </w:rPr>
        <w:t>甲方代表（签字）：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　　　　　　　　　　　　日期：　　　　年　　月　　日</w:t>
      </w:r>
    </w:p>
    <w:p w14:paraId="012A28E5">
      <w:pPr>
        <w:spacing w:before="60" w:after="0"/>
      </w:pPr>
    </w:p>
    <w:p w14:paraId="0D25E3EE">
      <w:pPr>
        <w:spacing w:before="60" w:after="60"/>
      </w:pPr>
      <w:r>
        <w:rPr>
          <w:rFonts w:ascii="微软雅黑" w:hAnsi="微软雅黑" w:eastAsia="微软雅黑" w:cs="微软雅黑"/>
          <w:b/>
          <w:bCs/>
          <w:color w:val="1F4E79"/>
          <w:sz w:val="18"/>
          <w:szCs w:val="18"/>
        </w:rPr>
        <w:t>乙方代表（签字）：</w:t>
      </w:r>
      <w:r>
        <w:rPr>
          <w:rFonts w:ascii="微软雅黑" w:hAnsi="微软雅黑" w:eastAsia="微软雅黑" w:cs="微软雅黑"/>
          <w:color w:val="333333"/>
          <w:sz w:val="18"/>
          <w:szCs w:val="18"/>
        </w:rPr>
        <w:t>　　　　　　　　　　　　日期：　　　　年　　月　　日</w:t>
      </w:r>
    </w:p>
    <w:sectPr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白bai" w:date="2026-03-16T08:06:04Z" w:initials="">
    <w:p w14:paraId="62D076AC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联盟就是联盟管理员的意思？</w:t>
      </w:r>
    </w:p>
  </w:comment>
  <w:comment w:id="1" w:author="白bai" w:date="2026-03-16T08:06:23Z" w:initials="">
    <w:p w14:paraId="28DC2AEF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资源更新是在同一个文档上更新资源？比如教材“python程序设计”，假设有新的版本。我建议的实现是原始文档保留，在原文档基础之上增加更新记录，附加更新的文档，不使用覆盖方案。</w:t>
      </w:r>
    </w:p>
  </w:comment>
  <w:comment w:id="2" w:author="白bai" w:date="2026-03-16T08:02:55Z" w:initials="">
    <w:p w14:paraId="7DD46BE0">
      <w:pPr>
        <w:pStyle w:val="8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这部分功能如何体现？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2D076AC" w15:done="0"/>
  <w15:commentEx w15:paraId="28DC2AEF" w15:done="0"/>
  <w15:commentEx w15:paraId="7DD46BE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白bai">
    <w15:presenceInfo w15:providerId="WPS Office" w15:userId="27579669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3FB8179"/>
    <w:rsid w:val="36F415B5"/>
    <w:rsid w:val="3BFE08BE"/>
    <w:rsid w:val="3CCBC812"/>
    <w:rsid w:val="58FF682B"/>
    <w:rsid w:val="B91FAB90"/>
    <w:rsid w:val="BC3FA65E"/>
    <w:rsid w:val="D6E3F1FE"/>
    <w:rsid w:val="EBF545BD"/>
    <w:rsid w:val="EF7F413C"/>
    <w:rsid w:val="FFFBD0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微软雅黑" w:hAnsi="微软雅黑" w:eastAsia="微软雅黑" w:cs="微软雅黑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8</TotalTime>
  <ScaleCrop>false</ScaleCrop>
  <LinksUpToDate>false</LinksUpToDate>
  <Application>WPS Office_6.14.0.8716_F1E327BC-269C-435d-A152-05C5408002CA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白bai</cp:lastModifiedBy>
  <dcterms:modified xsi:type="dcterms:W3CDTF">2026-03-16T08:09:47Z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2052-6.14.0.8716</vt:lpwstr>
  </property>
  <property fmtid="{D5CDD505-2E9C-101B-9397-08002B2CF9AE}" pid="3" name="ICV">
    <vt:lpwstr>036F752BFD7F5D00CE45B769719BB215_42</vt:lpwstr>
  </property>
</Properties>
</file>