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90A1E">
      <w:pPr>
        <w:pStyle w:val="8"/>
      </w:pPr>
      <w:r>
        <w:t>特殊教育大模型课程资源生成平台</w:t>
      </w:r>
    </w:p>
    <w:p w14:paraId="250C0512">
      <w:pPr>
        <w:pStyle w:val="8"/>
      </w:pPr>
      <w:r>
        <w:t>与特教资源门户功能覆盖评估报告</w:t>
      </w:r>
    </w:p>
    <w:p w14:paraId="5178BBBF">
      <w:pPr>
        <w:pStyle w:val="9"/>
      </w:pPr>
      <w:r>
        <w:t>文档类型：需求 · 功能对照评估　　编制日期：2026 年 8 月 25 日</w:t>
      </w:r>
    </w:p>
    <w:p w14:paraId="253B75E5">
      <w:pPr>
        <w:pStyle w:val="2"/>
      </w:pPr>
      <w:r>
        <w:t>一、评估背景与说明</w:t>
      </w:r>
    </w:p>
    <w:p w14:paraId="3F15FCB1">
      <w:pPr>
        <w:ind w:firstLineChars="200"/>
      </w:pPr>
      <w:r>
        <w:t>本报告依据特教大模型课程资源生成平台与特教资源门户两段建设需求文字，对现有 KnowledgeHub 教育资源共享平台（以下简称“现有系统”）已实现并可运行的功能能力进行逐条覆盖评估。评估范围覆盖资源管理、AI 生成、模型接入、检索推荐、审核分发、权限体系等核心能力点。</w:t>
      </w:r>
    </w:p>
    <w:p w14:paraId="2B2BD2B0">
      <w:pPr>
        <w:ind w:firstLineChars="200"/>
      </w:pPr>
      <w:r>
        <w:t>覆盖级别定义如下：</w:t>
      </w:r>
    </w:p>
    <w:p w14:paraId="276B6151">
      <w:pPr>
        <w:ind w:firstLineChars="200"/>
      </w:pPr>
      <w:r>
        <w:t>【已覆盖】——现有系统具备直接对应功能，可在特教场景直接使用，或仅需配置与初始化调整；</w:t>
      </w:r>
    </w:p>
    <w:p w14:paraId="3B415411">
      <w:pPr>
        <w:ind w:firstLineChars="200"/>
      </w:pPr>
      <w:r>
        <w:t>【部分覆盖】——现有系统具备基础能力，但缺少特教场景所需的关键能力，需增量开发补齐；</w:t>
      </w:r>
    </w:p>
    <w:p w14:paraId="10CB4B29">
      <w:pPr>
        <w:ind w:firstLineChars="200"/>
      </w:pPr>
      <w:r>
        <w:t>【缺失】——现有系统无对应功能，需新建功能模块。</w:t>
      </w:r>
    </w:p>
    <w:p w14:paraId="74BA1D78">
      <w:pPr>
        <w:pStyle w:val="2"/>
      </w:pPr>
      <w:r>
        <w:t>二、特教大模型课程资源生成平台 —— 覆盖对照</w:t>
      </w:r>
    </w:p>
    <w:p w14:paraId="4A567A89">
      <w:pPr>
        <w:pStyle w:val="10"/>
      </w:pPr>
      <w:r>
        <w:t>表 1　平台功能覆盖对照表</w:t>
      </w:r>
    </w:p>
    <w:tbl>
      <w:tblPr>
        <w:tblStyle w:val="6"/>
        <w:tblW w:w="5000" w:type="pct"/>
        <w:tblInd w:w="0" w:type="dxa"/>
        <w:tblBorders>
          <w:top w:val="single" w:color="9CA3AF" w:sz="4" w:space="0"/>
          <w:left w:val="single" w:color="9CA3AF" w:sz="4" w:space="0"/>
          <w:bottom w:val="single" w:color="9CA3AF" w:sz="4" w:space="0"/>
          <w:right w:val="single" w:color="9CA3AF" w:sz="4" w:space="0"/>
          <w:insideH w:val="single" w:color="9CA3AF" w:sz="4" w:space="0"/>
          <w:insideV w:val="single" w:color="9CA3AF" w:sz="4" w:space="0"/>
        </w:tblBorders>
        <w:tblLayout w:type="fixed"/>
        <w:tblCellMar>
          <w:top w:w="80" w:type="dxa"/>
          <w:left w:w="108" w:type="dxa"/>
          <w:bottom w:w="80" w:type="dxa"/>
          <w:right w:w="108" w:type="dxa"/>
        </w:tblCellMar>
      </w:tblPr>
      <w:tblGrid>
        <w:gridCol w:w="532"/>
        <w:gridCol w:w="1689"/>
        <w:gridCol w:w="799"/>
        <w:gridCol w:w="6221"/>
      </w:tblGrid>
      <w:tr w14:paraId="16889B33">
        <w:tc>
          <w:tcPr>
            <w:tcW w:w="520" w:type="dxa"/>
          </w:tcPr>
          <w:p w14:paraId="6757019B">
            <w:pPr>
              <w:spacing w:after="0" w:line="252" w:lineRule="auto"/>
              <w:jc w:val="center"/>
            </w:pPr>
            <w:r>
              <w:rPr>
                <w:rFonts w:ascii="微软雅黑" w:hAnsi="微软雅黑" w:eastAsia="微软雅黑"/>
                <w:sz w:val="20"/>
              </w:rPr>
              <w:t>1</w:t>
            </w:r>
          </w:p>
        </w:tc>
        <w:tc>
          <w:tcPr>
            <w:tcW w:w="1650" w:type="dxa"/>
          </w:tcPr>
          <w:p w14:paraId="1B083FE0">
            <w:pPr>
              <w:spacing w:after="0" w:line="252" w:lineRule="auto"/>
            </w:pPr>
            <w:r>
              <w:rPr>
                <w:sz w:val="20"/>
              </w:rPr>
              <w:t>生成个性化教学</w:t>
            </w:r>
            <w:r>
              <w:br w:type="textWrapping"/>
            </w:r>
            <w:r>
              <w:rPr>
                <w:sz w:val="20"/>
              </w:rPr>
              <w:t>设计方案</w:t>
            </w:r>
          </w:p>
        </w:tc>
        <w:tc>
          <w:tcPr>
            <w:tcW w:w="780" w:type="dxa"/>
          </w:tcPr>
          <w:p w14:paraId="22A06D9F">
            <w:pPr>
              <w:spacing w:after="0" w:line="252" w:lineRule="auto"/>
              <w:jc w:val="center"/>
            </w:pPr>
            <w:r>
              <w:rPr>
                <w:rFonts w:ascii="微软雅黑" w:hAnsi="微软雅黑" w:eastAsia="微软雅黑"/>
                <w:b/>
                <w:color w:val="1E7A3C"/>
                <w:sz w:val="20"/>
              </w:rPr>
              <w:t>已覆盖</w:t>
            </w:r>
          </w:p>
        </w:tc>
        <w:tc>
          <w:tcPr>
            <w:tcW w:w="6076" w:type="dxa"/>
          </w:tcPr>
          <w:p w14:paraId="11DF3DB8">
            <w:pPr>
              <w:spacing w:after="0" w:line="252" w:lineRule="auto"/>
            </w:pPr>
            <w:r>
              <w:rPr>
                <w:sz w:val="20"/>
              </w:rPr>
              <w:t>已有教案生成引擎（LessonPlanAppService）：基于资源 AI 摘要与教学参数（主题／学科／授课对象／课时／附加要求）流式生成标准教案 JSON，含布鲁姆三层目标、环节时长校验、教师附加要求注入；仅需补充特教班型差异化参数（培智／听障／视障／孤独症）。</w:t>
            </w:r>
          </w:p>
        </w:tc>
      </w:tr>
      <w:tr w14:paraId="3AB16541">
        <w:tc>
          <w:tcPr>
            <w:tcW w:w="520" w:type="dxa"/>
          </w:tcPr>
          <w:p w14:paraId="56B82206">
            <w:pPr>
              <w:spacing w:after="0" w:line="252" w:lineRule="auto"/>
              <w:jc w:val="center"/>
            </w:pPr>
            <w:r>
              <w:rPr>
                <w:rFonts w:ascii="微软雅黑" w:hAnsi="微软雅黑" w:eastAsia="微软雅黑"/>
                <w:sz w:val="20"/>
              </w:rPr>
              <w:t>2</w:t>
            </w:r>
          </w:p>
        </w:tc>
        <w:tc>
          <w:tcPr>
            <w:tcW w:w="1650" w:type="dxa"/>
          </w:tcPr>
          <w:p w14:paraId="145F9BA5">
            <w:pPr>
              <w:spacing w:after="0" w:line="252" w:lineRule="auto"/>
            </w:pPr>
            <w:r>
              <w:rPr>
                <w:sz w:val="20"/>
              </w:rPr>
              <w:t>生成多模态</w:t>
            </w:r>
            <w:r>
              <w:br w:type="textWrapping"/>
            </w:r>
            <w:r>
              <w:rPr>
                <w:sz w:val="20"/>
              </w:rPr>
              <w:t>课程资源</w:t>
            </w:r>
          </w:p>
        </w:tc>
        <w:tc>
          <w:tcPr>
            <w:tcW w:w="780" w:type="dxa"/>
          </w:tcPr>
          <w:p w14:paraId="032E5CB7">
            <w:pPr>
              <w:spacing w:after="0" w:line="252" w:lineRule="auto"/>
              <w:jc w:val="center"/>
            </w:pPr>
            <w:r>
              <w:rPr>
                <w:rFonts w:ascii="微软雅黑" w:hAnsi="微软雅黑" w:eastAsia="微软雅黑"/>
                <w:b/>
                <w:color w:val="B26A00"/>
                <w:sz w:val="20"/>
              </w:rPr>
              <w:t>部分覆盖</w:t>
            </w:r>
          </w:p>
        </w:tc>
        <w:tc>
          <w:tcPr>
            <w:tcW w:w="6076" w:type="dxa"/>
          </w:tcPr>
          <w:p w14:paraId="08468230">
            <w:pPr>
              <w:spacing w:after="0" w:line="252" w:lineRule="auto"/>
            </w:pPr>
            <w:r>
              <w:rPr>
                <w:sz w:val="20"/>
              </w:rPr>
              <w:t>平台已具备多模态资源承载与分发（文件上传、Office 转 PDF、视频、AI 摘要）。缺口：AI 自动创作资源（习题、课件、动画脚本等）管线尚未建成，当前仅有摘要生成一个点。</w:t>
            </w:r>
          </w:p>
        </w:tc>
      </w:tr>
      <w:tr w14:paraId="5F0F977C">
        <w:tc>
          <w:tcPr>
            <w:tcW w:w="520" w:type="dxa"/>
          </w:tcPr>
          <w:p w14:paraId="694206F0">
            <w:pPr>
              <w:spacing w:after="0" w:line="252" w:lineRule="auto"/>
              <w:jc w:val="center"/>
            </w:pPr>
            <w:r>
              <w:rPr>
                <w:rFonts w:ascii="微软雅黑" w:hAnsi="微软雅黑" w:eastAsia="微软雅黑"/>
                <w:sz w:val="20"/>
              </w:rPr>
              <w:t>3</w:t>
            </w:r>
          </w:p>
        </w:tc>
        <w:tc>
          <w:tcPr>
            <w:tcW w:w="1650" w:type="dxa"/>
          </w:tcPr>
          <w:p w14:paraId="529258C8">
            <w:pPr>
              <w:spacing w:after="0" w:line="252" w:lineRule="auto"/>
            </w:pPr>
            <w:r>
              <w:rPr>
                <w:sz w:val="20"/>
              </w:rPr>
              <w:t>生成匹配个体发展</w:t>
            </w:r>
            <w:r>
              <w:br w:type="textWrapping"/>
            </w:r>
            <w:r>
              <w:rPr>
                <w:sz w:val="20"/>
              </w:rPr>
              <w:t>需求的 IEP 教学</w:t>
            </w:r>
            <w:r>
              <w:br w:type="textWrapping"/>
            </w:r>
            <w:r>
              <w:rPr>
                <w:sz w:val="20"/>
              </w:rPr>
              <w:t>实施方案</w:t>
            </w:r>
          </w:p>
        </w:tc>
        <w:tc>
          <w:tcPr>
            <w:tcW w:w="780" w:type="dxa"/>
          </w:tcPr>
          <w:p w14:paraId="375211DA">
            <w:pPr>
              <w:spacing w:after="0" w:line="252" w:lineRule="auto"/>
              <w:jc w:val="center"/>
            </w:pPr>
            <w:r>
              <w:rPr>
                <w:rFonts w:ascii="微软雅黑" w:hAnsi="微软雅黑" w:eastAsia="微软雅黑"/>
                <w:b/>
                <w:color w:val="C0392B"/>
                <w:sz w:val="20"/>
              </w:rPr>
              <w:t>缺失</w:t>
            </w:r>
          </w:p>
        </w:tc>
        <w:tc>
          <w:tcPr>
            <w:tcW w:w="6076" w:type="dxa"/>
          </w:tcPr>
          <w:p w14:paraId="1518760E">
            <w:pPr>
              <w:spacing w:after="0" w:line="252" w:lineRule="auto"/>
            </w:pPr>
            <w:r>
              <w:rPr>
                <w:sz w:val="20"/>
              </w:rPr>
              <w:t>现有系统暂无 IEP 相关实体、服务与页面，为当前最大空白。实现路径顺畅：可复用教案生成完整管线（模型调用＋标准 JSON 结构＋DOCX 导出），新建 IEP 生成服务，补充学生学情、长短期目标、支持策略、评估周期等元数据。</w:t>
            </w:r>
          </w:p>
        </w:tc>
      </w:tr>
      <w:tr w14:paraId="4E218EE7">
        <w:tc>
          <w:tcPr>
            <w:tcW w:w="520" w:type="dxa"/>
          </w:tcPr>
          <w:p w14:paraId="0A0A9F40">
            <w:pPr>
              <w:spacing w:after="0" w:line="252" w:lineRule="auto"/>
              <w:jc w:val="center"/>
            </w:pPr>
            <w:r>
              <w:rPr>
                <w:rFonts w:ascii="微软雅黑" w:hAnsi="微软雅黑" w:eastAsia="微软雅黑"/>
                <w:sz w:val="20"/>
              </w:rPr>
              <w:t>4</w:t>
            </w:r>
          </w:p>
        </w:tc>
        <w:tc>
          <w:tcPr>
            <w:tcW w:w="1650" w:type="dxa"/>
          </w:tcPr>
          <w:p w14:paraId="18776BE1">
            <w:pPr>
              <w:spacing w:after="0" w:line="252" w:lineRule="auto"/>
            </w:pPr>
            <w:r>
              <w:rPr>
                <w:sz w:val="20"/>
              </w:rPr>
              <w:t>统一鉴权网关保障</w:t>
            </w:r>
            <w:r>
              <w:br w:type="textWrapping"/>
            </w:r>
            <w:r>
              <w:rPr>
                <w:sz w:val="20"/>
              </w:rPr>
              <w:t>资源与数据安全</w:t>
            </w:r>
          </w:p>
        </w:tc>
        <w:tc>
          <w:tcPr>
            <w:tcW w:w="780" w:type="dxa"/>
          </w:tcPr>
          <w:p w14:paraId="43BA73E2">
            <w:pPr>
              <w:spacing w:after="0" w:line="252" w:lineRule="auto"/>
              <w:jc w:val="center"/>
            </w:pPr>
            <w:r>
              <w:rPr>
                <w:rFonts w:ascii="微软雅黑" w:hAnsi="微软雅黑" w:eastAsia="微软雅黑"/>
                <w:b/>
                <w:color w:val="1E7A3C"/>
                <w:sz w:val="20"/>
              </w:rPr>
              <w:t>已覆盖</w:t>
            </w:r>
          </w:p>
        </w:tc>
        <w:tc>
          <w:tcPr>
            <w:tcW w:w="6076" w:type="dxa"/>
          </w:tcPr>
          <w:p w14:paraId="135CB699">
            <w:pPr>
              <w:spacing w:after="0" w:line="252" w:lineRule="auto"/>
            </w:pPr>
            <w:r>
              <w:rPr>
                <w:sz w:val="20"/>
              </w:rPr>
              <w:t>ABP 框架内置认证授权体系：OpenIddict 认证、租户数据隔离（IMultiTenant）、细粒度权限（资源、审核、联盟等权限点）。说明：为框架内嵌鉴权形态，并非独立部署的网关；如须统一网关硬件／软件需另行建设。</w:t>
            </w:r>
          </w:p>
        </w:tc>
      </w:tr>
      <w:tr w14:paraId="3D271B77">
        <w:tc>
          <w:tcPr>
            <w:tcW w:w="520" w:type="dxa"/>
          </w:tcPr>
          <w:p w14:paraId="125D746A">
            <w:pPr>
              <w:spacing w:after="0" w:line="252" w:lineRule="auto"/>
              <w:jc w:val="center"/>
            </w:pPr>
            <w:r>
              <w:rPr>
                <w:rFonts w:ascii="微软雅黑" w:hAnsi="微软雅黑" w:eastAsia="微软雅黑"/>
                <w:sz w:val="20"/>
              </w:rPr>
              <w:t>5</w:t>
            </w:r>
          </w:p>
        </w:tc>
        <w:tc>
          <w:tcPr>
            <w:tcW w:w="1650" w:type="dxa"/>
          </w:tcPr>
          <w:p w14:paraId="6F534457">
            <w:pPr>
              <w:spacing w:after="0" w:line="252" w:lineRule="auto"/>
            </w:pPr>
            <w:r>
              <w:rPr>
                <w:sz w:val="20"/>
              </w:rPr>
              <w:t>内容标准化</w:t>
            </w:r>
            <w:r>
              <w:br w:type="textWrapping"/>
            </w:r>
            <w:r>
              <w:rPr>
                <w:sz w:val="20"/>
              </w:rPr>
              <w:t>输出导出</w:t>
            </w:r>
          </w:p>
        </w:tc>
        <w:tc>
          <w:tcPr>
            <w:tcW w:w="780" w:type="dxa"/>
          </w:tcPr>
          <w:p w14:paraId="556C6558">
            <w:pPr>
              <w:spacing w:after="0" w:line="252" w:lineRule="auto"/>
              <w:jc w:val="center"/>
            </w:pPr>
            <w:r>
              <w:rPr>
                <w:rFonts w:ascii="微软雅黑" w:hAnsi="微软雅黑" w:eastAsia="微软雅黑"/>
                <w:b/>
                <w:color w:val="1E7A3C"/>
                <w:sz w:val="20"/>
              </w:rPr>
              <w:t>已覆盖</w:t>
            </w:r>
          </w:p>
        </w:tc>
        <w:tc>
          <w:tcPr>
            <w:tcW w:w="6076" w:type="dxa"/>
          </w:tcPr>
          <w:p w14:paraId="457803FA">
            <w:pPr>
              <w:spacing w:after="0" w:line="252" w:lineRule="auto"/>
            </w:pPr>
            <w:r>
              <w:rPr>
                <w:sz w:val="20"/>
              </w:rPr>
              <w:t>教案、案例分析、职业指导均支持 DOCX 导出；IEP 模块可复用同一导出管线，适配 Word 等教学文档使用场景。</w:t>
            </w:r>
          </w:p>
        </w:tc>
      </w:tr>
      <w:tr w14:paraId="3E211313">
        <w:tc>
          <w:tcPr>
            <w:tcW w:w="520" w:type="dxa"/>
          </w:tcPr>
          <w:p w14:paraId="5C43A16E">
            <w:pPr>
              <w:spacing w:after="0" w:line="252" w:lineRule="auto"/>
              <w:jc w:val="center"/>
            </w:pPr>
            <w:r>
              <w:rPr>
                <w:rFonts w:ascii="微软雅黑" w:hAnsi="微软雅黑" w:eastAsia="微软雅黑"/>
                <w:sz w:val="20"/>
              </w:rPr>
              <w:t>6</w:t>
            </w:r>
          </w:p>
        </w:tc>
        <w:tc>
          <w:tcPr>
            <w:tcW w:w="1650" w:type="dxa"/>
          </w:tcPr>
          <w:p w14:paraId="62436B6D">
            <w:pPr>
              <w:spacing w:after="0" w:line="252" w:lineRule="auto"/>
            </w:pPr>
            <w:r>
              <w:rPr>
                <w:sz w:val="20"/>
              </w:rPr>
              <w:t>兼容并支持</w:t>
            </w:r>
            <w:r>
              <w:br w:type="textWrapping"/>
            </w:r>
            <w:r>
              <w:rPr>
                <w:sz w:val="20"/>
              </w:rPr>
              <w:t>国产大模型接入</w:t>
            </w:r>
          </w:p>
        </w:tc>
        <w:tc>
          <w:tcPr>
            <w:tcW w:w="780" w:type="dxa"/>
          </w:tcPr>
          <w:p w14:paraId="515138D3">
            <w:pPr>
              <w:spacing w:after="0" w:line="252" w:lineRule="auto"/>
              <w:jc w:val="center"/>
            </w:pPr>
            <w:r>
              <w:rPr>
                <w:rFonts w:ascii="微软雅黑" w:hAnsi="微软雅黑" w:eastAsia="微软雅黑"/>
                <w:b/>
                <w:color w:val="1E7A3C"/>
                <w:sz w:val="20"/>
              </w:rPr>
              <w:t>已覆盖</w:t>
            </w:r>
          </w:p>
        </w:tc>
        <w:tc>
          <w:tcPr>
            <w:tcW w:w="6076" w:type="dxa"/>
          </w:tcPr>
          <w:p w14:paraId="5A430663">
            <w:pPr>
              <w:spacing w:after="0" w:line="252" w:lineRule="auto"/>
            </w:pPr>
            <w:r>
              <w:rPr>
                <w:sz w:val="20"/>
              </w:rPr>
              <w:t>全部 AI 服务统一走 OpenAI 兼容协议，模型、地址、密钥均通过配置切换（当前接入通义千问），前端提供模型管理页面；任何兼容 OpenAI 协议的国产模型（通义、DeepSeek、GLM 等）即可配置接入。</w:t>
            </w:r>
          </w:p>
        </w:tc>
      </w:tr>
    </w:tbl>
    <w:p w14:paraId="7F1D32E4">
      <w:pPr>
        <w:spacing w:after="120"/>
      </w:pPr>
    </w:p>
    <w:p w14:paraId="3DC228CF">
      <w:pPr>
        <w:ind w:firstLineChars="200"/>
      </w:pPr>
      <w:r>
        <w:t>小结：平台侧 6 项需求中，已覆盖 4 项、部分覆盖 1 项、缺失 1 项（IEP 实施方案生成）。除 IEP 外，其余功能具备直接进入特教场景试点的条件。</w:t>
      </w:r>
    </w:p>
    <w:p w14:paraId="7ACA661B">
      <w:pPr>
        <w:pStyle w:val="2"/>
      </w:pPr>
      <w:r>
        <w:t>三、特教资源门户 —— 覆盖对照</w:t>
      </w:r>
    </w:p>
    <w:p w14:paraId="3A0BFA2E">
      <w:pPr>
        <w:pStyle w:val="10"/>
      </w:pPr>
      <w:r>
        <w:t>表 2　门户功能覆盖对照表</w:t>
      </w:r>
    </w:p>
    <w:tbl>
      <w:tblPr>
        <w:tblStyle w:val="6"/>
        <w:tblW w:w="5000" w:type="pct"/>
        <w:tblInd w:w="0" w:type="dxa"/>
        <w:tblBorders>
          <w:top w:val="single" w:color="9CA3AF" w:sz="4" w:space="0"/>
          <w:left w:val="single" w:color="9CA3AF" w:sz="4" w:space="0"/>
          <w:bottom w:val="single" w:color="9CA3AF" w:sz="4" w:space="0"/>
          <w:right w:val="single" w:color="9CA3AF" w:sz="4" w:space="0"/>
          <w:insideH w:val="single" w:color="9CA3AF" w:sz="4" w:space="0"/>
          <w:insideV w:val="single" w:color="9CA3AF" w:sz="4" w:space="0"/>
        </w:tblBorders>
        <w:tblLayout w:type="fixed"/>
        <w:tblCellMar>
          <w:top w:w="80" w:type="dxa"/>
          <w:left w:w="108" w:type="dxa"/>
          <w:bottom w:w="80" w:type="dxa"/>
          <w:right w:w="108" w:type="dxa"/>
        </w:tblCellMar>
      </w:tblPr>
      <w:tblGrid>
        <w:gridCol w:w="614"/>
        <w:gridCol w:w="2150"/>
        <w:gridCol w:w="666"/>
        <w:gridCol w:w="5812"/>
      </w:tblGrid>
      <w:tr w14:paraId="76AF33A5">
        <w:tc>
          <w:tcPr>
            <w:tcW w:w="600" w:type="dxa"/>
          </w:tcPr>
          <w:p w14:paraId="5F0E2518">
            <w:pPr>
              <w:spacing w:after="0" w:line="252" w:lineRule="auto"/>
              <w:jc w:val="center"/>
            </w:pPr>
            <w:r>
              <w:rPr>
                <w:rFonts w:ascii="微软雅黑" w:hAnsi="微软雅黑" w:eastAsia="微软雅黑"/>
                <w:sz w:val="20"/>
              </w:rPr>
              <w:t>1</w:t>
            </w:r>
          </w:p>
        </w:tc>
        <w:tc>
          <w:tcPr>
            <w:tcW w:w="2100" w:type="dxa"/>
          </w:tcPr>
          <w:p w14:paraId="24A96874">
            <w:pPr>
              <w:spacing w:after="0" w:line="252" w:lineRule="auto"/>
            </w:pPr>
            <w:r>
              <w:rPr>
                <w:sz w:val="20"/>
              </w:rPr>
              <w:t>标准化门户，分级分类管理听障、视障、培智、孤独症全品类课程资源</w:t>
            </w:r>
          </w:p>
        </w:tc>
        <w:tc>
          <w:tcPr>
            <w:tcW w:w="650" w:type="dxa"/>
          </w:tcPr>
          <w:p w14:paraId="7CBBA80D">
            <w:pPr>
              <w:spacing w:after="0" w:line="252" w:lineRule="auto"/>
              <w:jc w:val="center"/>
            </w:pPr>
            <w:r>
              <w:rPr>
                <w:rFonts w:ascii="微软雅黑" w:hAnsi="微软雅黑" w:eastAsia="微软雅黑"/>
                <w:b/>
                <w:color w:val="B26A00"/>
                <w:sz w:val="20"/>
              </w:rPr>
              <w:t>约80%</w:t>
            </w:r>
          </w:p>
        </w:tc>
        <w:tc>
          <w:tcPr>
            <w:tcW w:w="5676" w:type="dxa"/>
          </w:tcPr>
          <w:p w14:paraId="3D64FB7D">
            <w:pPr>
              <w:spacing w:after="0" w:line="252" w:lineRule="auto"/>
            </w:pPr>
            <w:r>
              <w:rPr>
                <w:sz w:val="20"/>
              </w:rPr>
              <w:t>资源门户与多级树形分类（ResourceCategory 支持父子级与编码）均已具备。缺口：资源类型枚举仅文档／视频／音频／图片／PPT 五类，缺少动画、手语、盲文等特教品类；分类目录需由管理员预置四类特教树；基地校成果归属可复用现有组织字段（OrganizationId）。</w:t>
            </w:r>
          </w:p>
        </w:tc>
      </w:tr>
      <w:tr w14:paraId="128AA83A">
        <w:tc>
          <w:tcPr>
            <w:tcW w:w="600" w:type="dxa"/>
          </w:tcPr>
          <w:p w14:paraId="37D2DDA3">
            <w:pPr>
              <w:spacing w:after="0" w:line="252" w:lineRule="auto"/>
              <w:jc w:val="center"/>
            </w:pPr>
            <w:r>
              <w:rPr>
                <w:rFonts w:ascii="微软雅黑" w:hAnsi="微软雅黑" w:eastAsia="微软雅黑"/>
                <w:sz w:val="20"/>
              </w:rPr>
              <w:t>2</w:t>
            </w:r>
          </w:p>
        </w:tc>
        <w:tc>
          <w:tcPr>
            <w:tcW w:w="2100" w:type="dxa"/>
          </w:tcPr>
          <w:p w14:paraId="220413A7">
            <w:pPr>
              <w:spacing w:after="0" w:line="252" w:lineRule="auto"/>
            </w:pPr>
            <w:r>
              <w:rPr>
                <w:sz w:val="20"/>
              </w:rPr>
              <w:t>多模态资源存储展示（数字教具、教学动画、手语、盲文等特色资源）</w:t>
            </w:r>
          </w:p>
        </w:tc>
        <w:tc>
          <w:tcPr>
            <w:tcW w:w="650" w:type="dxa"/>
          </w:tcPr>
          <w:p w14:paraId="5CF934ED">
            <w:pPr>
              <w:spacing w:after="0" w:line="252" w:lineRule="auto"/>
              <w:jc w:val="center"/>
            </w:pPr>
            <w:r>
              <w:rPr>
                <w:rFonts w:ascii="微软雅黑" w:hAnsi="微软雅黑" w:eastAsia="微软雅黑"/>
                <w:b/>
                <w:color w:val="B26A00"/>
                <w:sz w:val="20"/>
              </w:rPr>
              <w:t>约60%</w:t>
            </w:r>
          </w:p>
        </w:tc>
        <w:tc>
          <w:tcPr>
            <w:tcW w:w="5676" w:type="dxa"/>
          </w:tcPr>
          <w:p w14:paraId="77A8ED5D">
            <w:pPr>
              <w:spacing w:after="0" w:line="252" w:lineRule="auto"/>
            </w:pPr>
            <w:r>
              <w:rPr>
                <w:sz w:val="20"/>
              </w:rPr>
              <w:t>文件存储与预览能力已具备（Office 转 PDF、视频、图片）。缺口：手语视频需帧级或字幕级索引（现有视频仅标题级索引）；盲文需文本—盲文转换能力；教具与动画需扩展资源类型及元数据字段。</w:t>
            </w:r>
          </w:p>
        </w:tc>
      </w:tr>
      <w:tr w14:paraId="59D5D786">
        <w:tc>
          <w:tcPr>
            <w:tcW w:w="600" w:type="dxa"/>
          </w:tcPr>
          <w:p w14:paraId="501A175B">
            <w:pPr>
              <w:spacing w:after="0" w:line="252" w:lineRule="auto"/>
              <w:jc w:val="center"/>
            </w:pPr>
            <w:r>
              <w:rPr>
                <w:rFonts w:ascii="微软雅黑" w:hAnsi="微软雅黑" w:eastAsia="微软雅黑"/>
                <w:sz w:val="20"/>
              </w:rPr>
              <w:t>3</w:t>
            </w:r>
          </w:p>
        </w:tc>
        <w:tc>
          <w:tcPr>
            <w:tcW w:w="2100" w:type="dxa"/>
          </w:tcPr>
          <w:p w14:paraId="678544C5">
            <w:pPr>
              <w:spacing w:after="0" w:line="252" w:lineRule="auto"/>
            </w:pPr>
            <w:r>
              <w:rPr>
                <w:sz w:val="20"/>
              </w:rPr>
              <w:t>特教大模型资源管理接口模块（AI 生成资源上传、调用、共享）</w:t>
            </w:r>
          </w:p>
        </w:tc>
        <w:tc>
          <w:tcPr>
            <w:tcW w:w="650" w:type="dxa"/>
          </w:tcPr>
          <w:p w14:paraId="4E15FE2D">
            <w:pPr>
              <w:spacing w:after="0" w:line="252" w:lineRule="auto"/>
              <w:jc w:val="center"/>
            </w:pPr>
            <w:r>
              <w:rPr>
                <w:rFonts w:ascii="微软雅黑" w:hAnsi="微软雅黑" w:eastAsia="微软雅黑"/>
                <w:b/>
                <w:color w:val="B26A00"/>
                <w:sz w:val="20"/>
              </w:rPr>
              <w:t>部分覆盖</w:t>
            </w:r>
          </w:p>
        </w:tc>
        <w:tc>
          <w:tcPr>
            <w:tcW w:w="5676" w:type="dxa"/>
          </w:tcPr>
          <w:p w14:paraId="3083E774">
            <w:pPr>
              <w:spacing w:after="0" w:line="252" w:lineRule="auto"/>
            </w:pPr>
            <w:r>
              <w:rPr>
                <w:sz w:val="20"/>
              </w:rPr>
              <w:t>资源表已含 AI 摘要等 AI 产物字段，AI 生成内容可走常规上传与共享流程。缺口</w:t>
            </w:r>
            <w:bookmarkStart w:id="0" w:name="_GoBack"/>
            <w:bookmarkEnd w:id="0"/>
            <w:r>
              <w:rPr>
                <w:sz w:val="20"/>
              </w:rPr>
              <w:t>：缺乏“AI 生成来源”标记，以及面向外部大模型的资源调用／共享接口。</w:t>
            </w:r>
          </w:p>
        </w:tc>
      </w:tr>
      <w:tr w14:paraId="04DBF5B2">
        <w:tc>
          <w:tcPr>
            <w:tcW w:w="600" w:type="dxa"/>
          </w:tcPr>
          <w:p w14:paraId="5B14F38B">
            <w:pPr>
              <w:spacing w:after="0" w:line="252" w:lineRule="auto"/>
              <w:jc w:val="center"/>
            </w:pPr>
            <w:r>
              <w:rPr>
                <w:rFonts w:ascii="微软雅黑" w:hAnsi="微软雅黑" w:eastAsia="微软雅黑"/>
                <w:sz w:val="20"/>
              </w:rPr>
              <w:t>4</w:t>
            </w:r>
          </w:p>
        </w:tc>
        <w:tc>
          <w:tcPr>
            <w:tcW w:w="2100" w:type="dxa"/>
          </w:tcPr>
          <w:p w14:paraId="5ACD804D">
            <w:pPr>
              <w:spacing w:after="0" w:line="252" w:lineRule="auto"/>
            </w:pPr>
            <w:r>
              <w:rPr>
                <w:sz w:val="20"/>
              </w:rPr>
              <w:t>资源检索、在线备课、教研交流、智能推荐</w:t>
            </w:r>
          </w:p>
        </w:tc>
        <w:tc>
          <w:tcPr>
            <w:tcW w:w="650" w:type="dxa"/>
          </w:tcPr>
          <w:p w14:paraId="5C07E3F8">
            <w:pPr>
              <w:spacing w:after="0" w:line="252" w:lineRule="auto"/>
              <w:jc w:val="center"/>
            </w:pPr>
            <w:r>
              <w:rPr>
                <w:rFonts w:ascii="微软雅黑" w:hAnsi="微软雅黑" w:eastAsia="微软雅黑"/>
                <w:b/>
                <w:color w:val="B26A00"/>
                <w:sz w:val="20"/>
              </w:rPr>
              <w:t>部分覆盖</w:t>
            </w:r>
          </w:p>
        </w:tc>
        <w:tc>
          <w:tcPr>
            <w:tcW w:w="5676" w:type="dxa"/>
          </w:tcPr>
          <w:p w14:paraId="4CE9CDBF">
            <w:pPr>
              <w:spacing w:after="0" w:line="252" w:lineRule="auto"/>
            </w:pPr>
            <w:r>
              <w:rPr>
                <w:sz w:val="20"/>
              </w:rPr>
              <w:t>检索（Meilisearch 关键词＋语义混合检索）与智能推荐已具备。在线备课仅有教案生成雏形，尚无备课工作台与教案库；教研交流仅有资源点评，尚无教研社区／讨论区。</w:t>
            </w:r>
          </w:p>
        </w:tc>
      </w:tr>
      <w:tr w14:paraId="1EE6AD30">
        <w:tc>
          <w:tcPr>
            <w:tcW w:w="600" w:type="dxa"/>
          </w:tcPr>
          <w:p w14:paraId="5DCC46BD">
            <w:pPr>
              <w:spacing w:after="0" w:line="252" w:lineRule="auto"/>
              <w:jc w:val="center"/>
            </w:pPr>
            <w:r>
              <w:rPr>
                <w:rFonts w:ascii="微软雅黑" w:hAnsi="微软雅黑" w:eastAsia="微软雅黑"/>
                <w:sz w:val="20"/>
              </w:rPr>
              <w:t>5</w:t>
            </w:r>
          </w:p>
        </w:tc>
        <w:tc>
          <w:tcPr>
            <w:tcW w:w="2100" w:type="dxa"/>
          </w:tcPr>
          <w:p w14:paraId="254FA51C">
            <w:pPr>
              <w:spacing w:after="0" w:line="252" w:lineRule="auto"/>
            </w:pPr>
            <w:r>
              <w:rPr>
                <w:sz w:val="20"/>
              </w:rPr>
              <w:t>资源共建、审核、分发、统计体系</w:t>
            </w:r>
          </w:p>
        </w:tc>
        <w:tc>
          <w:tcPr>
            <w:tcW w:w="650" w:type="dxa"/>
          </w:tcPr>
          <w:p w14:paraId="58923B09">
            <w:pPr>
              <w:spacing w:after="0" w:line="252" w:lineRule="auto"/>
              <w:jc w:val="center"/>
            </w:pPr>
            <w:r>
              <w:rPr>
                <w:rFonts w:ascii="微软雅黑" w:hAnsi="微软雅黑" w:eastAsia="微软雅黑"/>
                <w:b/>
                <w:color w:val="1E7A3C"/>
                <w:sz w:val="20"/>
              </w:rPr>
              <w:t>已覆盖</w:t>
            </w:r>
          </w:p>
        </w:tc>
        <w:tc>
          <w:tcPr>
            <w:tcW w:w="5676" w:type="dxa"/>
          </w:tcPr>
          <w:p w14:paraId="2EDDC5F8">
            <w:pPr>
              <w:spacing w:after="0" w:line="252" w:lineRule="auto"/>
            </w:pPr>
            <w:r>
              <w:rPr>
                <w:sz w:val="20"/>
              </w:rPr>
              <w:t>共建：资源上传＋版本管理＋物理删除申请；审核：完整两级审核流（草稿→待审核→校级通过→联盟通过），校级与联盟级权限分离；分发：联盟共享资源列表（GetLeagueApprovedAsync）；统计：分类统计、搜索统计、资源热度（收藏／下载／浏览）。</w:t>
            </w:r>
          </w:p>
        </w:tc>
      </w:tr>
    </w:tbl>
    <w:p w14:paraId="5D89525A">
      <w:pPr>
        <w:spacing w:after="120"/>
      </w:pPr>
    </w:p>
    <w:p w14:paraId="2C55A288">
      <w:pPr>
        <w:pStyle w:val="2"/>
      </w:pPr>
      <w:r>
        <w:t>四、特殊教育资源 RAG 可行性评估</w:t>
      </w:r>
    </w:p>
    <w:p w14:paraId="12E3F724">
      <w:pPr>
        <w:ind w:firstLineChars="200"/>
      </w:pPr>
      <w:r>
        <w:t>评估结论：完全可行，且无需自建特教专用大模型。现有系统的检索与生成管线即是一套可直接复用的 RAG 框架，流程如下：</w:t>
      </w:r>
    </w:p>
    <w:p w14:paraId="0BAC8F88">
      <w:pPr>
        <w:ind w:firstLineChars="200"/>
      </w:pPr>
      <w:r>
        <w:t>① 资源上传后由后台任务自动处理：文档分块索引（DocumentIndex）；</w:t>
      </w:r>
    </w:p>
    <w:p w14:paraId="18EA8C62">
      <w:pPr>
        <w:ind w:firstLineChars="200"/>
      </w:pPr>
      <w:r>
        <w:t>② AI 自动生成摘要与关键词（通义千问）；</w:t>
      </w:r>
    </w:p>
    <w:p w14:paraId="17602DEF">
      <w:pPr>
        <w:ind w:firstLineChars="200"/>
      </w:pPr>
      <w:r>
        <w:t>③ 文本向量化（768 维，text-embedding-v3）；</w:t>
      </w:r>
    </w:p>
    <w:p w14:paraId="13422352">
      <w:pPr>
        <w:ind w:firstLineChars="200"/>
      </w:pPr>
      <w:r>
        <w:t>④ 写入 Meilisearch 建立关键词＋语义的混合检索；</w:t>
      </w:r>
    </w:p>
    <w:p w14:paraId="05C91A41">
      <w:pPr>
        <w:ind w:firstLineChars="200"/>
      </w:pPr>
      <w:r>
        <w:t>⑤ 检索结果作为上下文注入生成 Prompt（教学智能体已实现同类上下文注入模式）；</w:t>
      </w:r>
    </w:p>
    <w:p w14:paraId="4CE29ABD">
      <w:pPr>
        <w:ind w:firstLineChars="200"/>
      </w:pPr>
      <w:r>
        <w:t>⑥ 由通用国产大模型生成教案、IEP 等结构化内容。</w:t>
      </w:r>
    </w:p>
    <w:p w14:paraId="5F5EF752">
      <w:pPr>
        <w:ind w:firstLineChars="200"/>
      </w:pPr>
      <w:r>
        <w:t>要点说明：</w:t>
      </w:r>
    </w:p>
    <w:p w14:paraId="0942C407">
      <w:pPr>
        <w:ind w:firstLineChars="200"/>
      </w:pPr>
      <w:r>
        <w:t>1. 接入代价约为零。公开采集的特教资料导入后即可被索引与召回；教案生成引擎本就以“资源摘要为唯一教学依据”，实质即为 RAG，仅需将召回源切换为特教资料。</w:t>
      </w:r>
    </w:p>
    <w:p w14:paraId="2743016C">
      <w:pPr>
        <w:ind w:firstLineChars="200"/>
      </w:pPr>
      <w:r>
        <w:t>2. 文本类资源直接可用。教材 PDF、教案、IEP 案例、政策文件等纯文本资料 RAG 效果最佳，无需特教专用模型即可辅助外部资料使用。</w:t>
      </w:r>
    </w:p>
    <w:p w14:paraId="2C896D08">
      <w:pPr>
        <w:ind w:firstLineChars="200"/>
      </w:pPr>
      <w:r>
        <w:t>3. 多模态资源需附加处理。手语视频需视频→字幕／帧索引，盲文需文本转换，此类资源 RAG 效果次之，建议作为二期优化。</w:t>
      </w:r>
    </w:p>
    <w:p w14:paraId="244A8579">
      <w:pPr>
        <w:ind w:firstLineChars="200"/>
      </w:pPr>
      <w:r>
        <w:t>4. 推荐落地方式。建立“特教数据专区”分类（或独立分区），批量导入公开采集资源→自动索引→分级审核后开放，即可支撑 IEP／教案生成、智能问答、教研检索。</w:t>
      </w:r>
    </w:p>
    <w:p w14:paraId="400F49D6">
      <w:pPr>
        <w:ind w:firstLineChars="200"/>
      </w:pPr>
      <w:r>
        <w:t>5. 主要风险是数据质量而非模型。公开采集资源需清洗、去重、版权标注（资源表已含版权信息字段）、分级审核后，方可面向全国提供服务。</w:t>
      </w:r>
    </w:p>
    <w:p w14:paraId="1A99A3B2">
      <w:pPr>
        <w:pStyle w:val="2"/>
      </w:pPr>
      <w:r>
        <w:t>五、总体结论与落地建议</w:t>
      </w:r>
    </w:p>
    <w:p w14:paraId="4F150CF3">
      <w:pPr>
        <w:ind w:firstLineChars="200"/>
      </w:pPr>
      <w:r>
        <w:t>平台基础设施（门户、多模态存储、检索、两级审核分发、统计、模型接入、AI 生成与导出、RAG 管线）整体就绪度约 70%。核心缺口集中于以下产品级功能，均不存在架构障碍，可在现有管线上增量开发实现：</w:t>
      </w:r>
    </w:p>
    <w:p w14:paraId="766E1D74">
      <w:pPr>
        <w:ind w:firstLineChars="200"/>
      </w:pPr>
      <w:r>
        <w:t>（一）IEP 教学实施方案生成模块（全新功能）：复用教案生成管线，补充 IEP 数据模型与导出模板，建议作为特教版本首个建设重点；</w:t>
      </w:r>
    </w:p>
    <w:p w14:paraId="7A92B847">
      <w:pPr>
        <w:ind w:firstLineChars="200"/>
      </w:pPr>
      <w:r>
        <w:t>（二）特教资源类型与元数据扩展：扩展资源类型枚举（动画／手语／盲文／教具），预置特教分类目录与基地校归属字段；</w:t>
      </w:r>
    </w:p>
    <w:p w14:paraId="27FA1F9E">
      <w:pPr>
        <w:ind w:firstLineChars="200"/>
      </w:pPr>
      <w:r>
        <w:t>（三）AI 资源管理接口模块：增加“AI 生成来源”标记与对外资源调用／共享接口，预留大模型资源共享能力；</w:t>
      </w:r>
    </w:p>
    <w:p w14:paraId="27E089A7">
      <w:pPr>
        <w:ind w:firstLineChars="200"/>
      </w:pPr>
      <w:r>
        <w:t>（四）在线备课工作台与教研社区：在教案生成基础上建设个人教案库、协作备课与教研交流区。</w:t>
      </w:r>
    </w:p>
    <w:p w14:paraId="7D9F0BF8">
      <w:pPr>
        <w:ind w:firstLineChars="200"/>
      </w:pPr>
      <w:r>
        <w:t>落地路径建议：以“IEP 生成＋特教数据专区（RAG）”作为试点切入，使用通用国产大模型配合公开特教资料即可形成最小可用闭环，验证效果后再扩展多模态资源与教研生态。</w:t>
      </w:r>
    </w:p>
    <w:sectPr>
      <w:headerReference r:id="rId5" w:type="default"/>
      <w:footerReference r:id="rId6" w:type="default"/>
      <w:pgSz w:w="11906" w:h="16838"/>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Georgia">
    <w:panose1 w:val="02040502050405090303"/>
    <w:charset w:val="00"/>
    <w:family w:val="auto"/>
    <w:pitch w:val="default"/>
    <w:sig w:usb0="00000287" w:usb1="00000000" w:usb2="00000000" w:usb3="00000000" w:csb0="2000009F" w:csb1="00000000"/>
  </w:font>
  <w:font w:name="Arial">
    <w:panose1 w:val="020B0604020202090204"/>
    <w:charset w:val="00"/>
    <w:family w:val="auto"/>
    <w:pitch w:val="default"/>
    <w:sig w:usb0="E0000AFF" w:usb1="00007843" w:usb2="00000001" w:usb3="00000000" w:csb0="400001BF" w:csb1="DFF70000"/>
  </w:font>
  <w:font w:name="微软雅黑">
    <w:altName w:val="汉仪旗黑"/>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汉仪旗黑">
    <w:panose1 w:val="00020600040101010101"/>
    <w:charset w:val="86"/>
    <w:family w:val="auto"/>
    <w:pitch w:val="default"/>
    <w:sig w:usb0="A00002BF" w:usb1="1ACF7CFA" w:usb2="00000016" w:usb3="00000000" w:csb0="0004009F" w:csb1="DFD70000"/>
  </w:font>
  <w:font w:name="Helvetica Neue">
    <w:panose1 w:val="02000503000000020004"/>
    <w:charset w:val="00"/>
    <w:family w:val="auto"/>
    <w:pitch w:val="default"/>
    <w:sig w:usb0="E50002FF" w:usb1="500079DB" w:usb2="00000010" w:usb3="00000000" w:csb0="00000000" w:csb1="00000000"/>
  </w:font>
  <w:font w:name="PingFang SC">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BF3797">
    <w:pPr>
      <w:jc w:val="center"/>
    </w:pPr>
    <w:r>
      <w:rPr>
        <w:rFonts w:ascii="宋体" w:hAnsi="宋体" w:eastAsia="宋体"/>
        <w:sz w:val="18"/>
      </w:rPr>
      <w:fldChar w:fldCharType="begin"/>
    </w:r>
    <w:r>
      <w:rPr>
        <w:rFonts w:ascii="宋体" w:hAnsi="宋体" w:eastAsia="宋体"/>
        <w:sz w:val="18"/>
      </w:rPr>
      <w:instrText xml:space="preserve"> PAGE </w:instrText>
    </w:r>
    <w:r>
      <w:rPr>
        <w:rFonts w:ascii="宋体" w:hAnsi="宋体" w:eastAsia="宋体"/>
        <w:sz w:val="18"/>
      </w:rPr>
      <w:fldChar w:fldCharType="separate"/>
    </w:r>
    <w:r>
      <w:rPr>
        <w:sz w:val="18"/>
      </w:rPr>
      <w:t>1</w:t>
    </w:r>
    <w:r>
      <w:rPr>
        <w:rFonts w:ascii="宋体" w:hAnsi="宋体"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16B55">
    <w:pPr>
      <w:spacing w:after="0"/>
      <w:jc w:val="right"/>
    </w:pPr>
    <w:r>
      <w:rPr>
        <w:rFonts w:ascii="微软雅黑" w:hAnsi="微软雅黑" w:eastAsia="微软雅黑"/>
        <w:color w:val="595959"/>
        <w:sz w:val="16"/>
      </w:rPr>
      <w:t>KnowledgeHub 功能覆盖评估</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56"/>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7FFBB49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40" w:line="300" w:lineRule="auto"/>
    </w:pPr>
    <w:rPr>
      <w:rFonts w:ascii="Georgia" w:hAnsi="Georgia" w:eastAsia="宋体" w:cs="Arial"/>
      <w:sz w:val="22"/>
      <w:szCs w:val="22"/>
      <w:lang w:val="en-US" w:eastAsia="zh-CN"/>
    </w:rPr>
  </w:style>
  <w:style w:type="paragraph" w:styleId="2">
    <w:name w:val="heading 1"/>
    <w:basedOn w:val="1"/>
    <w:next w:val="1"/>
    <w:uiPriority w:val="0"/>
    <w:pPr>
      <w:keepNext/>
      <w:keepLines/>
      <w:spacing w:before="360" w:after="140" w:line="300" w:lineRule="auto"/>
      <w:outlineLvl w:val="0"/>
    </w:pPr>
    <w:rPr>
      <w:rFonts w:ascii="微软雅黑" w:hAnsi="微软雅黑" w:eastAsia="微软雅黑"/>
      <w:b/>
      <w:color w:val="1F4E79"/>
      <w:sz w:val="32"/>
    </w:rPr>
  </w:style>
  <w:style w:type="paragraph" w:styleId="3">
    <w:name w:val="heading 2"/>
    <w:basedOn w:val="1"/>
    <w:next w:val="1"/>
    <w:uiPriority w:val="0"/>
    <w:pPr>
      <w:keepNext/>
      <w:keepLines/>
      <w:spacing w:before="280" w:after="140" w:line="300" w:lineRule="auto"/>
      <w:outlineLvl w:val="1"/>
    </w:pPr>
    <w:rPr>
      <w:rFonts w:ascii="微软雅黑" w:hAnsi="微软雅黑" w:eastAsia="微软雅黑"/>
      <w:b/>
      <w:color w:val="1F4E79"/>
      <w:sz w:val="26"/>
    </w:rPr>
  </w:style>
  <w:style w:type="paragraph" w:styleId="4">
    <w:name w:val="heading 3"/>
    <w:basedOn w:val="1"/>
    <w:next w:val="1"/>
    <w:uiPriority w:val="0"/>
    <w:pPr>
      <w:keepNext/>
      <w:keepLines/>
      <w:spacing w:before="240" w:after="140" w:line="300" w:lineRule="auto"/>
      <w:outlineLvl w:val="2"/>
    </w:pPr>
    <w:rPr>
      <w:rFonts w:ascii="微软雅黑" w:hAnsi="微软雅黑" w:eastAsia="微软雅黑"/>
      <w:b/>
      <w:color w:val="1F4E79"/>
      <w:sz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Subtitle"/>
    <w:basedOn w:val="1"/>
    <w:uiPriority w:val="0"/>
    <w:pPr>
      <w:spacing w:after="360"/>
      <w:jc w:val="center"/>
    </w:pPr>
    <w:rPr>
      <w:rFonts w:ascii="微软雅黑" w:hAnsi="微软雅黑" w:eastAsia="微软雅黑"/>
      <w:color w:val="595959"/>
      <w:sz w:val="24"/>
    </w:rPr>
  </w:style>
  <w:style w:type="paragraph" w:customStyle="1" w:styleId="8">
    <w:name w:val="DocTitle"/>
    <w:basedOn w:val="1"/>
    <w:uiPriority w:val="0"/>
    <w:pPr>
      <w:spacing w:before="240" w:after="120" w:line="360" w:lineRule="auto"/>
      <w:jc w:val="center"/>
    </w:pPr>
    <w:rPr>
      <w:rFonts w:ascii="微软雅黑" w:hAnsi="微软雅黑" w:eastAsia="微软雅黑"/>
      <w:b/>
      <w:sz w:val="40"/>
    </w:rPr>
  </w:style>
  <w:style w:type="paragraph" w:customStyle="1" w:styleId="9">
    <w:name w:val="MetaLine"/>
    <w:basedOn w:val="1"/>
    <w:uiPriority w:val="0"/>
    <w:pPr>
      <w:spacing w:after="480"/>
      <w:jc w:val="center"/>
    </w:pPr>
    <w:rPr>
      <w:rFonts w:ascii="微软雅黑" w:hAnsi="微软雅黑" w:eastAsia="微软雅黑"/>
      <w:color w:val="595959"/>
      <w:sz w:val="18"/>
    </w:rPr>
  </w:style>
  <w:style w:type="paragraph" w:customStyle="1" w:styleId="10">
    <w:name w:val="TableCaption"/>
    <w:basedOn w:val="1"/>
    <w:uiPriority w:val="0"/>
    <w:pPr>
      <w:spacing w:after="120" w:line="276" w:lineRule="auto"/>
    </w:pPr>
    <w:rPr>
      <w:rFonts w:ascii="微软雅黑" w:hAnsi="微软雅黑" w:eastAsia="微软雅黑"/>
      <w:b/>
      <w:color w:val="1F4E79"/>
      <w:sz w:val="21"/>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11</TotalTime>
  <ScaleCrop>false</ScaleCrop>
  <LinksUpToDate>false</LinksUpToDate>
  <Application>WPS Office_6.14.0.8716_F1E327BC-269C-435d-A152-05C5408002CA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2026-08-25T09:39:38Z</dcterms:created>
  <dc:creator>Data</dc:creator>
  <cp:lastModifiedBy>白bai</cp:lastModifiedBy>
  <dcterms:modified xsi:type="dcterms:W3CDTF">2026-08-25T09:50:57Z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2052-6.14.0.8716</vt:lpwstr>
  </property>
  <property fmtid="{D5CDD505-2E9C-101B-9397-08002B2CF9AE}" pid="3" name="ICV">
    <vt:lpwstr>60A837A031E14EF602F58C6A9C159D1A_42</vt:lpwstr>
  </property>
</Properties>
</file>