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宁波轨道交通3号线保护区顶管施工监测技术方案</w:t>
      </w:r>
    </w:p>
    <w:p/>
    <w:p>
      <w:r>
        <w:rPr>
          <w:b/>
        </w:rPr>
        <w:t xml:space="preserve">编制单位</w:t>
      </w:r>
      <w:r>
        <w:t xml:space="preserve">：睿威智测（Railwise）</w:t>
      </w:r>
    </w:p>
    <w:p>
      <w:r>
        <w:rPr>
          <w:b/>
        </w:rPr>
        <w:t xml:space="preserve">编制日期</w:t>
      </w:r>
      <w:r>
        <w:t xml:space="preserve">：2026年5月</w:t>
      </w:r>
    </w:p>
    <w:p>
      <w:r>
        <w:rPr>
          <w:b/>
        </w:rPr>
        <w:t xml:space="preserve">方案编号</w:t>
      </w:r>
      <w:r>
        <w:t xml:space="preserve">：RW-NB3-JC-2026-001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rPr>
          <w:b/>
        </w:rPr>
        <w:t xml:space="preserve">第一章 工程概况</w:t>
      </w:r>
    </w:p>
    <w:p/>
    <w:p>
      <w:pPr>
        <w:pStyle w:val="Heading3"/>
      </w:pPr>
      <w:r>
        <w:rPr>
          <w:b/>
        </w:rPr>
        <w:t xml:space="preserve">1.1 工程背景</w:t>
      </w:r>
    </w:p>
    <w:p/>
    <w:p>
      <w:r>
        <w:t xml:space="preserve">本工程为宁波轨道交通3号线沿线市政管线/地道穿越保护区顶管施工项目。顶管工程拟在轨交3号线（______区间）K______+______~K______+______里程段穿越轨道交通结构保护区，顶管轴线与轨道交通线路平面交角约______°，竖向净距约______m。</w:t>
      </w:r>
    </w:p>
    <w:p/>
    <w:p>
      <w:pPr>
        <w:pStyle w:val="Heading3"/>
      </w:pPr>
      <w:r>
        <w:rPr>
          <w:b/>
        </w:rPr>
        <w:t xml:space="preserve">1.2 保护区范围界定</w:t>
      </w:r>
    </w:p>
    <w:p/>
    <w:p>
      <w:r>
        <w:t xml:space="preserve">依据《宁波市轨道交通运营管理条例》及浙江省关于城市轨道交通保护区管理的有关规定，轨道交通控制保护区范围为轨交结构外边线两侧各50m。顶管施工主要影响范围位于保护区之内，施工全过程须实施第三方监测。</w:t>
      </w:r>
    </w:p>
    <w:p/>
    <w:p>
      <w:pPr>
        <w:pStyle w:val="Heading3"/>
      </w:pPr>
      <w:r>
        <w:rPr>
          <w:b/>
        </w:rPr>
        <w:t xml:space="preserve">1.3 空间关系</w:t>
      </w:r>
    </w:p>
    <w:p/>
    <w:p>
      <w:r>
        <w:t xml:space="preserve">| 参数项 | 参数值（待补填） |</w:t>
      </w:r>
    </w:p>
    <w:p>
      <w:r>
        <w:t xml:space="preserve">|--------|-----------------|</w:t>
      </w:r>
    </w:p>
    <w:p>
      <w:r>
        <w:t xml:space="preserve">| 轨交3号线被穿越区间 | ______________ |</w:t>
      </w:r>
    </w:p>
    <w:p>
      <w:r>
        <w:t xml:space="preserve">| 被穿越里程范围 | K______+______~K______+______ |</w:t>
      </w:r>
    </w:p>
    <w:p>
      <w:r>
        <w:t xml:space="preserve">| 顶管与轨交结构净距 | ______m |</w:t>
      </w:r>
    </w:p>
    <w:p>
      <w:r>
        <w:t xml:space="preserve">| 顶管顶进方向与轨交夹角 | ______° |</w:t>
      </w:r>
    </w:p>
    <w:p>
      <w:r>
        <w:t xml:space="preserve">| 顶管埋深 | 顶面______m / 底面______m |</w:t>
      </w:r>
    </w:p>
    <w:p>
      <w:r>
        <w:t xml:space="preserve">| 轨交隧道顶埋深 | ______m |</w:t>
      </w:r>
    </w:p>
    <w:p>
      <w:r>
        <w:t xml:space="preserve">| 顶管穿越方式 | 土压平衡/泥水平衡 |</w:t>
      </w:r>
    </w:p>
    <w:p/>
    <w:p>
      <w:pPr>
        <w:pStyle w:val="Heading3"/>
      </w:pPr>
      <w:r>
        <w:rPr>
          <w:b/>
        </w:rPr>
        <w:t xml:space="preserve">1.4 地质条件概述</w:t>
      </w:r>
    </w:p>
    <w:p/>
    <w:p>
      <w:r>
        <w:t xml:space="preserve">宁波地区属典型滨海相软土分布区，主要地层特征如下：</w:t>
      </w:r>
    </w:p>
    <w:p/>
    <w:p>
      <w:pPr>
        <w:pStyle w:val="ListParagraph"/>
        <w:numPr>
          <w:ilvl w:val="0"/>
          <w:numId w:val="1"/>
        </w:numPr>
      </w:pPr>
      <w:r>
        <w:t xml:space="preserve">**表层**：填土层，厚度约1~3m</w:t>
      </w:r>
    </w:p>
    <w:p>
      <w:pPr>
        <w:pStyle w:val="ListParagraph"/>
        <w:numPr>
          <w:ilvl w:val="0"/>
          <w:numId w:val="1"/>
        </w:numPr>
      </w:pPr>
      <w:r>
        <w:t xml:space="preserve">**②层**：淤泥质黏土，厚度15~35m，含水量50%~70%，孔隙比&gt;1.2，压缩系数a₁₋₂&gt;0.5MPa⁻¹，属高压缩性土，灵敏度S_t=3~7（中~高灵敏度）</w:t>
      </w:r>
    </w:p>
    <w:p>
      <w:pPr>
        <w:pStyle w:val="ListParagraph"/>
        <w:numPr>
          <w:ilvl w:val="0"/>
          <w:numId w:val="1"/>
        </w:numPr>
      </w:pPr>
      <w:r>
        <w:t xml:space="preserve">**③层**：粉质黏土/粉土，厚度5~15m</w:t>
      </w:r>
    </w:p>
    <w:p>
      <w:pPr>
        <w:pStyle w:val="ListParagraph"/>
        <w:numPr>
          <w:ilvl w:val="0"/>
          <w:numId w:val="1"/>
        </w:numPr>
      </w:pPr>
      <w:r>
        <w:t xml:space="preserve">**④层**：砂砾石层/基岩</w:t>
      </w:r>
    </w:p>
    <w:p/>
    <w:p>
      <w:r>
        <w:t xml:space="preserve">场地地下水位埋深约0.5~1.5m，属潜水类型，受大气降水和地表水补给。顶管施工主要在②层淤泥质黏土中进行，该层土体流变性显著，扰动后强度损失大，变形稳定周期长（可达6~24个月），对顶管施工及轨交结构保护提出较高要求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rPr>
          <w:b/>
        </w:rPr>
        <w:t xml:space="preserve">第二章 编制依据</w:t>
      </w:r>
    </w:p>
    <w:p/>
    <w:p>
      <w:pPr>
        <w:pStyle w:val="Heading3"/>
      </w:pPr>
      <w:r>
        <w:rPr>
          <w:b/>
        </w:rPr>
        <w:t xml:space="preserve">2.1 法律法规</w:t>
      </w:r>
    </w:p>
    <w:p/>
    <w:p>
      <w:pPr>
        <w:pStyle w:val="ListParagraph"/>
        <w:numPr>
          <w:ilvl w:val="0"/>
          <w:numId w:val="2"/>
        </w:numPr>
      </w:pPr>
      <w:r>
        <w:t xml:space="preserve">《中华人民共和国安全生产法》（2021年修订版）</w:t>
      </w:r>
    </w:p>
    <w:p>
      <w:pPr>
        <w:pStyle w:val="ListParagraph"/>
        <w:numPr>
          <w:ilvl w:val="0"/>
          <w:numId w:val="2"/>
        </w:numPr>
      </w:pPr>
      <w:r>
        <w:t xml:space="preserve">《建设工程安全生产管理条例》（国务院令第393号）</w:t>
      </w:r>
    </w:p>
    <w:p>
      <w:pPr>
        <w:pStyle w:val="ListParagraph"/>
        <w:numPr>
          <w:ilvl w:val="0"/>
          <w:numId w:val="2"/>
        </w:numPr>
      </w:pPr>
      <w:r>
        <w:t xml:space="preserve">《城市轨道交通运营管理规定》（交通运输部令2018年第8号）</w:t>
      </w:r>
    </w:p>
    <w:p>
      <w:pPr>
        <w:pStyle w:val="ListParagraph"/>
        <w:numPr>
          <w:ilvl w:val="0"/>
          <w:numId w:val="2"/>
        </w:numPr>
      </w:pPr>
      <w:r>
        <w:t xml:space="preserve">《宁波市轨道交通运营管理条例》</w:t>
      </w:r>
    </w:p>
    <w:p>
      <w:pPr>
        <w:pStyle w:val="ListParagraph"/>
        <w:numPr>
          <w:ilvl w:val="0"/>
          <w:numId w:val="2"/>
        </w:numPr>
      </w:pPr>
      <w:r>
        <w:t xml:space="preserve">宁波市关于城市轨道交通保护区管理的相关规范性文件</w:t>
      </w:r>
    </w:p>
    <w:p/>
    <w:p>
      <w:pPr>
        <w:pStyle w:val="Heading3"/>
      </w:pPr>
      <w:r>
        <w:rPr>
          <w:b/>
        </w:rPr>
        <w:t xml:space="preserve">2.2 技术标准与规范</w:t>
      </w:r>
    </w:p>
    <w:p/>
    <w:p>
      <w:r>
        <w:t xml:space="preserve">| 序号 | 规范编号 | 规范名称 | 版本 |</w:t>
      </w:r>
    </w:p>
    <w:p>
      <w:r>
        <w:t xml:space="preserve">|------|----------|----------|------|</w:t>
      </w:r>
    </w:p>
    <w:p>
      <w:r>
        <w:t xml:space="preserve">| 1 | GB 50911 | 《城市轨道交通工程监测技术规范》 | 2013年版 |</w:t>
      </w:r>
    </w:p>
    <w:p>
      <w:r>
        <w:t xml:space="preserve">| 2 | GB 50497 | 《建筑基坑工程监测技术标准》 | 2019年版 |</w:t>
      </w:r>
    </w:p>
    <w:p>
      <w:r>
        <w:t xml:space="preserve">| 3 | JGJ 8 | 《建筑变形测量规范》 | 2016年版 |</w:t>
      </w:r>
    </w:p>
    <w:p>
      <w:r>
        <w:t xml:space="preserve">| 4 | GB 50026 | 《工程测量标准》 | 2020年版 |</w:t>
      </w:r>
    </w:p>
    <w:p>
      <w:r>
        <w:t xml:space="preserve">| 5 | CJJ/T 202 | 《城市轨道交通结构安全保护技术规范》 | 2013年版 |</w:t>
      </w:r>
    </w:p>
    <w:p>
      <w:r>
        <w:t xml:space="preserve">| 6 | GB 50299 | 《地下铁道工程施工及验收规范》 | 1999年版 |</w:t>
      </w:r>
    </w:p>
    <w:p>
      <w:r>
        <w:t xml:space="preserve">| 7 | GB/T 50308 | 《城市轨道交通工程测量规范》 | 2017年版 |</w:t>
      </w:r>
    </w:p>
    <w:p/>
    <w:p>
      <w:pPr>
        <w:pStyle w:val="Heading3"/>
      </w:pPr>
      <w:r>
        <w:rPr>
          <w:b/>
        </w:rPr>
        <w:t xml:space="preserve">2.3 强制性条文（本方案执行的红线要求）</w:t>
      </w:r>
    </w:p>
    <w:p/>
    <w:p>
      <w:pPr>
        <w:ind w:left="720"/>
      </w:pPr>
      <w:r>
        <w:rPr>
          <w:i/>
        </w:rPr>
        <w:t xml:space="preserve">**以下条文为强制性条文，任何人不得以任何理由降格执行：**</w:t>
      </w:r>
    </w:p>
    <w:p/>
    <w:p>
      <w:r>
        <w:t xml:space="preserve">| 序号 | 规范条文 | 内容摘要 |</w:t>
      </w:r>
    </w:p>
    <w:p>
      <w:r>
        <w:t xml:space="preserve">|------|----------|----------|</w:t>
      </w:r>
    </w:p>
    <w:p>
      <w:r>
        <w:t xml:space="preserve">| 1 | </w:t>
      </w:r>
      <w:r>
        <w:rPr>
          <w:b/>
        </w:rPr>
        <w:t xml:space="preserve">GB 50911 第5.1.2条</w:t>
      </w:r>
      <w:r>
        <w:t xml:space="preserve"> | 地铁保护区监测应包含：结构沉降、结构水平位移、隧道收敛、地表沉降、管线位移、建筑物沉降与倾斜等项目，并应根据工程影响等级确定必测项和选测项 |</w:t>
      </w:r>
    </w:p>
    <w:p>
      <w:r>
        <w:t xml:space="preserve">| 2 | </w:t>
      </w:r>
      <w:r>
        <w:rPr>
          <w:b/>
        </w:rPr>
        <w:t xml:space="preserve">GB 50911 第5.4.1条</w:t>
      </w:r>
      <w:r>
        <w:t xml:space="preserve"> | 监测频率应根据施工进度、变形速率和变形量大小综合确定。施工期关键阶段监测频率不应低于1次/天 |</w:t>
      </w:r>
    </w:p>
    <w:p>
      <w:r>
        <w:t xml:space="preserve">| 3 | </w:t>
      </w:r>
      <w:r>
        <w:rPr>
          <w:b/>
        </w:rPr>
        <w:t xml:space="preserve">GB 50911 第5.5.1条</w:t>
      </w:r>
      <w:r>
        <w:t xml:space="preserve"> | 监测报警值应根据相关设计文件、规范要求和工程经验综合确定。当监测值达到报警值时，应及时报告建设单位和相关部门 |</w:t>
      </w:r>
    </w:p>
    <w:p>
      <w:r>
        <w:t xml:space="preserve">| 4 | </w:t>
      </w:r>
      <w:r>
        <w:rPr>
          <w:b/>
        </w:rPr>
        <w:t xml:space="preserve">GB 50497 第3.0.1条</w:t>
      </w:r>
      <w:r>
        <w:t xml:space="preserve"> | 开挖深度≥5m或地质条件和周围环境较复杂的基坑工程，应实施监测 |</w:t>
      </w:r>
    </w:p>
    <w:p>
      <w:r>
        <w:t xml:space="preserve">| 5 | </w:t>
      </w:r>
      <w:r>
        <w:rPr>
          <w:b/>
        </w:rPr>
        <w:t xml:space="preserve">GB 50497 第3.0.2条</w:t>
      </w:r>
      <w:r>
        <w:t xml:space="preserve"> | 必测项：围护墙顶水平位移、周边地表沉降、围护墙顶竖向位移。一级基坑还应包括：深层水平位移、支撑轴力、地下水位 |</w:t>
      </w:r>
    </w:p>
    <w:p>
      <w:r>
        <w:t xml:space="preserve">| 6 | </w:t>
      </w:r>
      <w:r>
        <w:rPr>
          <w:b/>
        </w:rPr>
        <w:t xml:space="preserve">GB 50497 第5.0.1条</w:t>
      </w:r>
      <w:r>
        <w:t xml:space="preserve"> | 围护墙顶水平位移：一级≤30mm，日变化≤3mm/d |</w:t>
      </w:r>
    </w:p>
    <w:p>
      <w:r>
        <w:t xml:space="preserve">| 7 | </w:t>
      </w:r>
      <w:r>
        <w:rPr>
          <w:b/>
        </w:rPr>
        <w:t xml:space="preserve">GB 50497 第5.0.3条</w:t>
      </w:r>
      <w:r>
        <w:t xml:space="preserve"> | 地表沉降一级基坑≤0.15%L。刚性管线≤10mm |</w:t>
      </w:r>
    </w:p>
    <w:p>
      <w:r>
        <w:t xml:space="preserve">| 8 | </w:t>
      </w:r>
      <w:r>
        <w:rPr>
          <w:b/>
        </w:rPr>
        <w:t xml:space="preserve">GB 50497 第6.2.1条</w:t>
      </w:r>
      <w:r>
        <w:t xml:space="preserve"> | 开挖期间≥1次/天；异常或达报警值时加密监测 |</w:t>
      </w:r>
    </w:p>
    <w:p>
      <w:r>
        <w:t xml:space="preserve">| 9 | </w:t>
      </w:r>
      <w:r>
        <w:rPr>
          <w:b/>
        </w:rPr>
        <w:t xml:space="preserve">GB 50026 第4.3.1条</w:t>
      </w:r>
      <w:r>
        <w:t xml:space="preserve"> | 二等水准闭合差限差：±6√L mm（L单位km） |</w:t>
      </w:r>
    </w:p>
    <w:p>
      <w:r>
        <w:t xml:space="preserve">| 10 | </w:t>
      </w:r>
      <w:r>
        <w:rPr>
          <w:b/>
        </w:rPr>
        <w:t xml:space="preserve">GB 50026 第5.1.1条</w:t>
      </w:r>
      <w:r>
        <w:t xml:space="preserve"> | 导线闭合差限差：DJ1±5″√n，DJ2±10″√n |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rPr>
          <w:b/>
        </w:rPr>
        <w:t xml:space="preserve">第三章 监测目的与范围</w:t>
      </w:r>
    </w:p>
    <w:p/>
    <w:p>
      <w:pPr>
        <w:pStyle w:val="Heading3"/>
      </w:pPr>
      <w:r>
        <w:rPr>
          <w:b/>
        </w:rPr>
        <w:t xml:space="preserve">3.1 监测目的</w:t>
      </w:r>
    </w:p>
    <w:p/>
    <w:p>
      <w:r>
        <w:t xml:space="preserve">本次监测工作的核心目的是：在顶管施工穿越轨道交通3号线保护区期间，通过系统、连续、高精度的监测，实时掌握轨交结构及周边环境的变形状态，及时发现异常变形趋势。具体包括：</w:t>
      </w:r>
    </w:p>
    <w:p/>
    <w:p>
      <w:pPr>
        <w:pStyle w:val="ListParagraph"/>
        <w:numPr>
          <w:ilvl w:val="0"/>
          <w:numId w:val="2"/>
        </w:numPr>
      </w:pPr>
      <w:r>
        <w:t xml:space="preserve">**保障轨道交通运营安全**：确保轨交区间隧道结构变形在可控范围内，防止结构损伤或影响行车安全。</w:t>
      </w:r>
    </w:p>
    <w:p>
      <w:pPr>
        <w:pStyle w:val="ListParagraph"/>
        <w:numPr>
          <w:ilvl w:val="0"/>
          <w:numId w:val="2"/>
        </w:numPr>
      </w:pPr>
      <w:r>
        <w:t xml:space="preserve">**指导顶管施工参数调整**：根据监测数据反馈，指导顶管施工过程中顶进速度、注浆压力和出土量等关键参数的动态调整。</w:t>
      </w:r>
    </w:p>
    <w:p>
      <w:pPr>
        <w:pStyle w:val="ListParagraph"/>
        <w:numPr>
          <w:ilvl w:val="0"/>
          <w:numId w:val="2"/>
        </w:numPr>
      </w:pPr>
      <w:r>
        <w:t xml:space="preserve">**验证设计与保护措施效果**：通过实测数据验证理论计算模型和保护措施的实际效果。</w:t>
      </w:r>
    </w:p>
    <w:p>
      <w:pPr>
        <w:pStyle w:val="ListParagraph"/>
        <w:numPr>
          <w:ilvl w:val="0"/>
          <w:numId w:val="2"/>
        </w:numPr>
      </w:pPr>
      <w:r>
        <w:t xml:space="preserve">**建立安全预警机制**：构建"监测→分析→预警→响应"的闭环安全管理体系。</w:t>
      </w:r>
    </w:p>
    <w:p/>
    <w:p>
      <w:pPr>
        <w:pStyle w:val="Heading3"/>
      </w:pPr>
      <w:r>
        <w:rPr>
          <w:b/>
        </w:rPr>
        <w:t xml:space="preserve">3.2 监测范围</w:t>
      </w:r>
    </w:p>
    <w:p/>
    <w:p>
      <w:r>
        <w:t xml:space="preserve">监测范围以顶管轴线与轨交3号线交汇点为中心，沿轨交线路纵向延伸不少于顶管影响区两侧各50m，沿顶管轴线方向覆盖轨交保护区全宽度范围。主要包括：</w:t>
      </w:r>
    </w:p>
    <w:p/>
    <w:p>
      <w:pPr>
        <w:pStyle w:val="ListParagraph"/>
        <w:numPr>
          <w:ilvl w:val="0"/>
          <w:numId w:val="1"/>
        </w:numPr>
      </w:pPr>
      <w:r>
        <w:t xml:space="preserve">**轨道交通结构**：3号线被穿越区间隧道结构本体（约______m长度范围）</w:t>
      </w:r>
    </w:p>
    <w:p>
      <w:pPr>
        <w:pStyle w:val="ListParagraph"/>
        <w:numPr>
          <w:ilvl w:val="0"/>
          <w:numId w:val="1"/>
        </w:numPr>
      </w:pPr>
      <w:r>
        <w:t xml:space="preserve">**轨道设施**：该区段内的轨道、道床、扣件系统</w:t>
      </w:r>
    </w:p>
    <w:p>
      <w:pPr>
        <w:pStyle w:val="ListParagraph"/>
        <w:numPr>
          <w:ilvl w:val="0"/>
          <w:numId w:val="1"/>
        </w:numPr>
      </w:pPr>
      <w:r>
        <w:t xml:space="preserve">**周边土体与环境**：顶管穿越影响区内的地表、深层土体、地下水位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rPr>
          <w:b/>
        </w:rPr>
        <w:t xml:space="preserve">第四章 监测项目</w:t>
      </w:r>
    </w:p>
    <w:p/>
    <w:p>
      <w:pPr>
        <w:pStyle w:val="Heading3"/>
      </w:pPr>
      <w:r>
        <w:rPr>
          <w:b/>
        </w:rPr>
        <w:t xml:space="preserve">4.1 监测项目体系</w:t>
      </w:r>
    </w:p>
    <w:p/>
    <w:p>
      <w:r>
        <w:t xml:space="preserve">根据GB 50911第5.1.2条强制性要求，结合宁波滨海相软土地质条件和顶管施工特点，本项目监测分为"轨道交通结构监测"与"周边环境监测"两大类。</w:t>
      </w:r>
    </w:p>
    <w:p/>
    <w:p>
      <w:pPr>
        <w:pStyle w:val="Heading3"/>
      </w:pPr>
      <w:r>
        <w:rPr>
          <w:b/>
        </w:rPr>
        <w:t xml:space="preserve">4.2 轨道交通结构监测项目</w:t>
      </w:r>
    </w:p>
    <w:p/>
    <w:p>
      <w:pPr>
        <w:pStyle w:val="Heading4"/>
      </w:pPr>
      <w:r>
        <w:rPr>
          <w:b/>
        </w:rPr>
        <w:t xml:space="preserve">4.2.1 隧道结构竖向位移（沉降）</w:t>
      </w:r>
    </w:p>
    <w:p/>
    <w:p>
      <w:pPr>
        <w:pStyle w:val="ListParagraph"/>
        <w:numPr>
          <w:ilvl w:val="0"/>
          <w:numId w:val="1"/>
        </w:numPr>
      </w:pPr>
      <w:r>
        <w:t xml:space="preserve">**监测内容**：隧道道床及管片的绝对沉降量</w:t>
      </w:r>
    </w:p>
    <w:p>
      <w:pPr>
        <w:pStyle w:val="ListParagraph"/>
        <w:numPr>
          <w:ilvl w:val="0"/>
          <w:numId w:val="1"/>
        </w:numPr>
      </w:pPr>
      <w:r>
        <w:t xml:space="preserve">**监测方法**：静力水准仪自动化监测为主、精密几何水准人工复核为辅</w:t>
      </w:r>
    </w:p>
    <w:p>
      <w:pPr>
        <w:pStyle w:val="ListParagraph"/>
        <w:numPr>
          <w:ilvl w:val="0"/>
          <w:numId w:val="1"/>
        </w:numPr>
      </w:pPr>
      <w:r>
        <w:t xml:space="preserve">**精度要求**：二等水准精度，高程中误差≤±0.5mm，静力水准分辨力≤0.01mm</w:t>
      </w:r>
    </w:p>
    <w:p/>
    <w:p>
      <w:pPr>
        <w:ind w:left="720"/>
      </w:pPr>
      <w:r>
        <w:rPr>
          <w:i/>
        </w:rPr>
        <w:t xml:space="preserve">**宁波软土分析**：深厚淤泥质软土流变性显著，顶管引发的地层损失会导致软土产生持续的蠕变沉降，沉降可持续数月乃至1~2年。监测必须覆盖施工期和跟踪期。</w:t>
      </w:r>
    </w:p>
    <w:p/>
    <w:p>
      <w:pPr>
        <w:pStyle w:val="Heading4"/>
      </w:pPr>
      <w:r>
        <w:rPr>
          <w:b/>
        </w:rPr>
        <w:t xml:space="preserve">4.2.2 隧道结构水平位移</w:t>
      </w:r>
    </w:p>
    <w:p/>
    <w:p>
      <w:pPr>
        <w:pStyle w:val="ListParagraph"/>
        <w:numPr>
          <w:ilvl w:val="0"/>
          <w:numId w:val="1"/>
        </w:numPr>
      </w:pPr>
      <w:r>
        <w:t xml:space="preserve">**监测内容**：隧道管片在水平方向的横向和纵向位移</w:t>
      </w:r>
    </w:p>
    <w:p>
      <w:pPr>
        <w:pStyle w:val="ListParagraph"/>
        <w:numPr>
          <w:ilvl w:val="0"/>
          <w:numId w:val="1"/>
        </w:numPr>
      </w:pPr>
      <w:r>
        <w:t xml:space="preserve">**监测方法**：测量机器人（自动全站仪）周期性自动化观测</w:t>
      </w:r>
    </w:p>
    <w:p>
      <w:pPr>
        <w:pStyle w:val="ListParagraph"/>
        <w:numPr>
          <w:ilvl w:val="0"/>
          <w:numId w:val="1"/>
        </w:numPr>
      </w:pPr>
      <w:r>
        <w:t xml:space="preserve">**精度要求**：测角≤0.5″，测距≤0.6mm+1ppm</w:t>
      </w:r>
    </w:p>
    <w:p/>
    <w:p>
      <w:pPr>
        <w:ind w:left="720"/>
      </w:pPr>
      <w:r>
        <w:rPr>
          <w:i/>
        </w:rPr>
        <w:t xml:space="preserve">**风险分析**：顶管机头迎面推力若控制不当，可能直接作用于轨交隧道侧壁。宁波软土灵敏度S_t=3~7，受扰动后强度损失显著，变形不易控制。</w:t>
      </w:r>
    </w:p>
    <w:p/>
    <w:p>
      <w:pPr>
        <w:pStyle w:val="Heading4"/>
      </w:pPr>
      <w:r>
        <w:rPr>
          <w:b/>
        </w:rPr>
        <w:t xml:space="preserve">4.2.3 隧道收敛</w:t>
      </w:r>
    </w:p>
    <w:p/>
    <w:p>
      <w:pPr>
        <w:pStyle w:val="ListParagraph"/>
        <w:numPr>
          <w:ilvl w:val="0"/>
          <w:numId w:val="1"/>
        </w:numPr>
      </w:pPr>
      <w:r>
        <w:t xml:space="preserve">**监测内容**：隧道断面净空尺寸变化（水平直径收敛）</w:t>
      </w:r>
    </w:p>
    <w:p>
      <w:pPr>
        <w:pStyle w:val="ListParagraph"/>
        <w:numPr>
          <w:ilvl w:val="0"/>
          <w:numId w:val="1"/>
        </w:numPr>
      </w:pPr>
      <w:r>
        <w:t xml:space="preserve">**监测方法**：激光测距仪/弦式收敛计</w:t>
      </w:r>
    </w:p>
    <w:p>
      <w:pPr>
        <w:pStyle w:val="ListParagraph"/>
        <w:numPr>
          <w:ilvl w:val="0"/>
          <w:numId w:val="1"/>
        </w:numPr>
      </w:pPr>
      <w:r>
        <w:t xml:space="preserve">**精度要求**：±1.0mm</w:t>
      </w:r>
    </w:p>
    <w:p/>
    <w:p>
      <w:pPr>
        <w:pStyle w:val="Heading4"/>
      </w:pPr>
      <w:r>
        <w:rPr>
          <w:b/>
        </w:rPr>
        <w:t xml:space="preserve">4.2.4 轨道几何形位</w:t>
      </w:r>
    </w:p>
    <w:p/>
    <w:p>
      <w:pPr>
        <w:pStyle w:val="ListParagraph"/>
        <w:numPr>
          <w:ilvl w:val="0"/>
          <w:numId w:val="1"/>
        </w:numPr>
      </w:pPr>
      <w:r>
        <w:t xml:space="preserve">**监测内容**：轨距、水平（超高）、高低、轨向</w:t>
      </w:r>
    </w:p>
    <w:p>
      <w:pPr>
        <w:pStyle w:val="ListParagraph"/>
        <w:numPr>
          <w:ilvl w:val="0"/>
          <w:numId w:val="1"/>
        </w:numPr>
      </w:pPr>
      <w:r>
        <w:t xml:space="preserve">**监测方法**：轨检小车周期性检测，覆盖被穿越段及两侧各延伸≥50m</w:t>
      </w:r>
    </w:p>
    <w:p>
      <w:pPr>
        <w:pStyle w:val="ListParagraph"/>
        <w:numPr>
          <w:ilvl w:val="0"/>
          <w:numId w:val="1"/>
        </w:numPr>
      </w:pPr>
      <w:r>
        <w:t xml:space="preserve">**精度要求**：轨距±0.5mm，高低/轨向±1.0mm（10m弦）</w:t>
      </w:r>
    </w:p>
    <w:p/>
    <w:p>
      <w:pPr>
        <w:pStyle w:val="Heading4"/>
      </w:pPr>
      <w:r>
        <w:rPr>
          <w:b/>
        </w:rPr>
        <w:t xml:space="preserve">4.2.5 结构裂缝与表观病害巡查</w:t>
      </w:r>
    </w:p>
    <w:p/>
    <w:p>
      <w:pPr>
        <w:pStyle w:val="ListParagraph"/>
        <w:numPr>
          <w:ilvl w:val="0"/>
          <w:numId w:val="1"/>
        </w:numPr>
      </w:pPr>
      <w:r>
        <w:t xml:space="preserve">**监测内容**：管片裂缝、错台、掉块、渗漏</w:t>
      </w:r>
    </w:p>
    <w:p>
      <w:pPr>
        <w:pStyle w:val="ListParagraph"/>
        <w:numPr>
          <w:ilvl w:val="0"/>
          <w:numId w:val="1"/>
        </w:numPr>
      </w:pPr>
      <w:r>
        <w:t xml:space="preserve">**监测方法**：施工前全面初始状态调查，施工期每日人工巡视，裂缝计定量监测</w:t>
      </w:r>
    </w:p>
    <w:p>
      <w:pPr>
        <w:pStyle w:val="ListParagraph"/>
        <w:numPr>
          <w:ilvl w:val="0"/>
          <w:numId w:val="1"/>
        </w:numPr>
      </w:pPr>
      <w:r>
        <w:t xml:space="preserve">**精度要求**：裂缝宽度测微仪精度0.02mm</w:t>
      </w:r>
    </w:p>
    <w:p/>
    <w:p>
      <w:pPr>
        <w:pStyle w:val="Heading3"/>
      </w:pPr>
      <w:r>
        <w:rPr>
          <w:b/>
        </w:rPr>
        <w:t xml:space="preserve">4.3 周边环境监测项目</w:t>
      </w:r>
    </w:p>
    <w:p/>
    <w:p>
      <w:pPr>
        <w:pStyle w:val="Heading4"/>
      </w:pPr>
      <w:r>
        <w:rPr>
          <w:b/>
        </w:rPr>
        <w:t xml:space="preserve">4.3.1 地表沉降</w:t>
      </w:r>
    </w:p>
    <w:p/>
    <w:p>
      <w:pPr>
        <w:pStyle w:val="ListParagraph"/>
        <w:numPr>
          <w:ilvl w:val="0"/>
          <w:numId w:val="1"/>
        </w:numPr>
      </w:pPr>
      <w:r>
        <w:t xml:space="preserve">**监测方法**：精密电子水准仪按二等水准进行周期性观测</w:t>
      </w:r>
    </w:p>
    <w:p/>
    <w:p>
      <w:pPr>
        <w:ind w:left="720"/>
      </w:pPr>
      <w:r>
        <w:rPr>
          <w:i/>
        </w:rPr>
        <w:t xml:space="preserve">**宁波软土特殊表现**：沉降影响范围约为顶管埋深的2~3倍、沉降槽形态不规则、沉降稳定时间长（6~24个月）。顶管施工可能呈现"沉降→隆起→再沉降"的复杂变形特征。</w:t>
      </w:r>
    </w:p>
    <w:p/>
    <w:p>
      <w:pPr>
        <w:pStyle w:val="Heading4"/>
      </w:pPr>
      <w:r>
        <w:rPr>
          <w:b/>
        </w:rPr>
        <w:t xml:space="preserve">4.3.2 深层土体水平位移</w:t>
      </w:r>
    </w:p>
    <w:p/>
    <w:p>
      <w:pPr>
        <w:pStyle w:val="ListParagraph"/>
        <w:numPr>
          <w:ilvl w:val="0"/>
          <w:numId w:val="1"/>
        </w:numPr>
      </w:pPr>
      <w:r>
        <w:t xml:space="preserve">**监测方法**：伺服加速度计式测斜仪，按0.5m间距逐段测量</w:t>
      </w:r>
    </w:p>
    <w:p>
      <w:pPr>
        <w:pStyle w:val="ListParagraph"/>
        <w:numPr>
          <w:ilvl w:val="0"/>
          <w:numId w:val="1"/>
        </w:numPr>
      </w:pPr>
      <w:r>
        <w:t xml:space="preserve">**深度要求**：孔底须进入相对稳定深层土层（顶管底以下≥5m）</w:t>
      </w:r>
    </w:p>
    <w:p>
      <w:pPr>
        <w:pStyle w:val="ListParagraph"/>
        <w:numPr>
          <w:ilvl w:val="0"/>
          <w:numId w:val="1"/>
        </w:numPr>
      </w:pPr>
      <w:r>
        <w:t xml:space="preserve">**精度要求**：±0.02mm/500mm</w:t>
      </w:r>
    </w:p>
    <w:p/>
    <w:p>
      <w:pPr>
        <w:pStyle w:val="Heading4"/>
      </w:pPr>
      <w:r>
        <w:rPr>
          <w:b/>
        </w:rPr>
        <w:t xml:space="preserve">4.3.3 地下水位</w:t>
      </w:r>
    </w:p>
    <w:p/>
    <w:p>
      <w:pPr>
        <w:pStyle w:val="ListParagraph"/>
        <w:numPr>
          <w:ilvl w:val="0"/>
          <w:numId w:val="1"/>
        </w:numPr>
      </w:pPr>
      <w:r>
        <w:t xml:space="preserve">**监测方法**：振弦式/投入式水位计，自动化监测</w:t>
      </w:r>
    </w:p>
    <w:p>
      <w:pPr>
        <w:pStyle w:val="ListParagraph"/>
        <w:numPr>
          <w:ilvl w:val="0"/>
          <w:numId w:val="1"/>
        </w:numPr>
      </w:pPr>
      <w:r>
        <w:t xml:space="preserve">**精度要求**：±0.1%F.S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rPr>
          <w:b/>
        </w:rPr>
        <w:t xml:space="preserve">第五章 测点布设方案</w:t>
      </w:r>
    </w:p>
    <w:p/>
    <w:p>
      <w:pPr>
        <w:pStyle w:val="Heading3"/>
      </w:pPr>
      <w:r>
        <w:rPr>
          <w:b/>
        </w:rPr>
        <w:t xml:space="preserve">5.1 布设总体原则</w:t>
      </w:r>
    </w:p>
    <w:p/>
    <w:p>
      <w:pPr>
        <w:pStyle w:val="ListParagraph"/>
        <w:numPr>
          <w:ilvl w:val="0"/>
          <w:numId w:val="2"/>
        </w:numPr>
      </w:pPr>
      <w:r>
        <w:t xml:space="preserve">**纵向覆盖**：监测断面自轨交结构影响区以外不少于50m布设至穿越段中心，穿越段加密</w:t>
      </w:r>
    </w:p>
    <w:p>
      <w:pPr>
        <w:pStyle w:val="ListParagraph"/>
        <w:numPr>
          <w:ilvl w:val="0"/>
          <w:numId w:val="2"/>
        </w:numPr>
      </w:pPr>
      <w:r>
        <w:t xml:space="preserve">**横向覆盖**：各断面在横向上覆盖轨交结构外边线两侧各不少于30m</w:t>
      </w:r>
    </w:p>
    <w:p>
      <w:pPr>
        <w:pStyle w:val="ListParagraph"/>
        <w:numPr>
          <w:ilvl w:val="0"/>
          <w:numId w:val="2"/>
        </w:numPr>
      </w:pPr>
      <w:r>
        <w:t xml:space="preserve">**重点加密**：顶管与轨交正穿交汇区域断面间距加密至3~5m</w:t>
      </w:r>
    </w:p>
    <w:p>
      <w:pPr>
        <w:pStyle w:val="ListParagraph"/>
        <w:numPr>
          <w:ilvl w:val="0"/>
          <w:numId w:val="2"/>
        </w:numPr>
      </w:pPr>
      <w:r>
        <w:t xml:space="preserve">**对比参照**：在影响区外设不少于2个对比断面作为零基准</w:t>
      </w:r>
    </w:p>
    <w:p/>
    <w:p>
      <w:pPr>
        <w:pStyle w:val="Heading3"/>
      </w:pPr>
      <w:r>
        <w:rPr>
          <w:b/>
        </w:rPr>
        <w:t xml:space="preserve">5.2 监测点位清单</w:t>
      </w:r>
    </w:p>
    <w:p/>
    <w:p>
      <w:r>
        <w:t xml:space="preserve">| 序号 | 监测项目 | 布设原则 | 仪器类型 | 监测方式 |</w:t>
      </w:r>
    </w:p>
    <w:p>
      <w:r>
        <w:t xml:space="preserve">|------|---------|---------|---------|---------|</w:t>
      </w:r>
    </w:p>
    <w:p>
      <w:r>
        <w:t xml:space="preserve">| 1 | 隧道竖向位移（沉降） | 沿轨交纵向每5m布1个静力水准测点，穿越段加密至3m | 静力水准系统+精密水准复核 | 自动化连续 |</w:t>
      </w:r>
    </w:p>
    <w:p>
      <w:r>
        <w:t xml:space="preserve">| 2 | 隧道水平位移 | 沿轨交纵向每10m布1对监测棱镜（左右壁各一） | 测量机器人 | 自动化/人工 |</w:t>
      </w:r>
    </w:p>
    <w:p>
      <w:r>
        <w:t xml:space="preserve">| 3 | 隧道收敛 | 纵向每10m布1个断面，正穿段加密至5m | 激光测距仪/弦式收敛计 | 自动化/人工 |</w:t>
      </w:r>
    </w:p>
    <w:p>
      <w:r>
        <w:t xml:space="preserve">| 4 | 轨道几何形位 | 被穿越段及两侧各延伸≥50m | 轨检小车 | 周期性检测 |</w:t>
      </w:r>
    </w:p>
    <w:p>
      <w:r>
        <w:t xml:space="preserve">| 5 | 结构裂缝巡查 | 施工前全隧道普查，施工期每日巡视 | 裂缝测微仪/裂缝计 | 人工巡查+仪器 |</w:t>
      </w:r>
    </w:p>
    <w:p>
      <w:r>
        <w:t xml:space="preserve">| 6 | 地表沉降 | 顶管轴线上方纵向每5~10m，轨交上方横向每10m | 精密电子水准仪 | 人工二等水准 |</w:t>
      </w:r>
    </w:p>
    <w:p>
      <w:r>
        <w:t xml:space="preserve">| 7 | 深层土体水平位移 | 顶管与轨交之间关键断面，≥3个测斜孔 | 伺服加速度计式测斜仪 | 人工/自动化 |</w:t>
      </w:r>
    </w:p>
    <w:p>
      <w:r>
        <w:t xml:space="preserve">| 8 | 地下水位 | 顶管两侧及轨交结构两侧各≥1孔 | 振弦式/投入式水位计 | 自动化 |</w:t>
      </w:r>
    </w:p>
    <w:p/>
    <w:p>
      <w:pPr>
        <w:pStyle w:val="Heading3"/>
      </w:pPr>
      <w:r>
        <w:rPr>
          <w:b/>
        </w:rPr>
        <w:t xml:space="preserve">5.3 基准点布设</w:t>
      </w:r>
    </w:p>
    <w:p/>
    <w:p>
      <w:pPr>
        <w:pStyle w:val="ListParagraph"/>
        <w:numPr>
          <w:ilvl w:val="0"/>
          <w:numId w:val="1"/>
        </w:numPr>
      </w:pPr>
      <w:r>
        <w:t xml:space="preserve">**高程基准点**：≥3个，组成闭合水准路线，埋设于影响区外稳定地层。依据JGJ 8第4.1.3条</w:t>
      </w:r>
    </w:p>
    <w:p>
      <w:pPr>
        <w:pStyle w:val="ListParagraph"/>
        <w:numPr>
          <w:ilvl w:val="0"/>
          <w:numId w:val="1"/>
        </w:numPr>
      </w:pPr>
      <w:r>
        <w:t xml:space="preserve">**平面基准点**：≥3个，埋设强制对中观测墩，附合于宁波市城市坐标系</w:t>
      </w:r>
    </w:p>
    <w:p>
      <w:pPr>
        <w:pStyle w:val="ListParagraph"/>
        <w:numPr>
          <w:ilvl w:val="0"/>
          <w:numId w:val="1"/>
        </w:numPr>
      </w:pPr>
      <w:r>
        <w:t xml:space="preserve">**工作基点**：隧道内和地表影响区边缘设工作基点，定期联测校核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rPr>
          <w:b/>
        </w:rPr>
        <w:t xml:space="preserve">第六章 监测频率</w:t>
      </w:r>
    </w:p>
    <w:p/>
    <w:p>
      <w:pPr>
        <w:pStyle w:val="Heading3"/>
      </w:pPr>
      <w:r>
        <w:rPr>
          <w:b/>
        </w:rPr>
        <w:t xml:space="preserve">6.1 初始值采集</w:t>
      </w:r>
    </w:p>
    <w:p/>
    <w:p>
      <w:r>
        <w:t xml:space="preserve">各项监测项目在顶管施工开工前，须完成不少于3次独立初始值测量，取3次均值作为初始值。初始值采集间隔不少于24小时。</w:t>
      </w:r>
    </w:p>
    <w:p/>
    <w:p>
      <w:pPr>
        <w:pStyle w:val="Heading3"/>
      </w:pPr>
      <w:r>
        <w:rPr>
          <w:b/>
        </w:rPr>
        <w:t xml:space="preserve">6.2 施工期监测频率</w:t>
      </w:r>
    </w:p>
    <w:p/>
    <w:p>
      <w:r>
        <w:t xml:space="preserve">| 施工阶段 | 隧道沉降（静力水准） | 隧道水平位移 | 收敛 | 轨检 | 地表沉降 | 深层位移 | 水位 | 巡查 |</w:t>
      </w:r>
    </w:p>
    <w:p>
      <w:r>
        <w:t xml:space="preserve">|---------|---------------------|-------------|------|------|---------|---------|------|------|</w:t>
      </w:r>
    </w:p>
    <w:p>
      <w:r>
        <w:t xml:space="preserve">| 顶管距轨交&gt;30m | 4h/次 | 1次/天 | 1次/2天 | 1次/周 | 1次/天 | 1次/天 | 1次/天 | 1次/天 |</w:t>
      </w:r>
    </w:p>
    <w:p>
      <w:r>
        <w:t xml:space="preserve">| 顶管距轨交10~30m | 2h/次 | 1次/天 | 1次/天 | 1次/3天 | 1次/天 | 1次/天 | 1次/天 | 1次/天 |</w:t>
      </w:r>
    </w:p>
    <w:p>
      <w:r>
        <w:t xml:space="preserve">| 顶管正穿段（&lt;10m） | 1次/小时 | 2次/天 | 1次/天 | 1次/天 | 2次/天 | 2次/天 | 2次/天 | 2次/天 |</w:t>
      </w:r>
    </w:p>
    <w:p>
      <w:r>
        <w:t xml:space="preserve">| 机头通过后 | 2h/次 | 1次/天 | 1次/天 | 1次/天 | 1次/天 | 1次/天 | 1次/天 | 1次/天 |</w:t>
      </w:r>
    </w:p>
    <w:p/>
    <w:p>
      <w:pPr>
        <w:pStyle w:val="Heading3"/>
      </w:pPr>
      <w:r>
        <w:rPr>
          <w:b/>
        </w:rPr>
        <w:t xml:space="preserve">6.3 跟踪监测期频率</w:t>
      </w:r>
    </w:p>
    <w:p/>
    <w:p>
      <w:r>
        <w:t xml:space="preserve">| 阶段 | 频率 | 条件 |</w:t>
      </w:r>
    </w:p>
    <w:p>
      <w:r>
        <w:t xml:space="preserve">|------|------|------|</w:t>
      </w:r>
    </w:p>
    <w:p>
      <w:r>
        <w:t xml:space="preserve">| 完工后第1~2周 | 1次/天 | 监测速率衰减趋势 |</w:t>
      </w:r>
    </w:p>
    <w:p>
      <w:r>
        <w:t xml:space="preserve">| 完工后第3~4周 | 1次/2天 | |</w:t>
      </w:r>
    </w:p>
    <w:p>
      <w:r>
        <w:t xml:space="preserve">| 完工后第2~3个月 | 1次/周 | |</w:t>
      </w:r>
    </w:p>
    <w:p>
      <w:r>
        <w:t xml:space="preserve">| 完工后第4~6个月 | 1次/2周 | 监测是否收敛 |</w:t>
      </w:r>
    </w:p>
    <w:p>
      <w:r>
        <w:t xml:space="preserve">| 稳定判定 | — | 最后100天速率&lt;0.04mm/d（JGJ 8第5.1.1条） |</w:t>
      </w:r>
    </w:p>
    <w:p/>
    <w:p>
      <w:pPr>
        <w:pStyle w:val="Heading3"/>
      </w:pPr>
      <w:r>
        <w:rPr>
          <w:b/>
        </w:rPr>
        <w:t xml:space="preserve">6.4 异常情况加密</w:t>
      </w:r>
    </w:p>
    <w:p/>
    <w:p>
      <w:r>
        <w:t xml:space="preserve">出现以下任一情形时，相关项目立即加密至2h/次（自动化）或2次/天（人工）：</w:t>
      </w:r>
    </w:p>
    <w:p>
      <w:pPr>
        <w:pStyle w:val="ListParagraph"/>
        <w:numPr>
          <w:ilvl w:val="0"/>
          <w:numId w:val="2"/>
        </w:numPr>
      </w:pPr>
      <w:r>
        <w:t xml:space="preserve">任一项目达到黄色预警值</w:t>
      </w:r>
    </w:p>
    <w:p>
      <w:pPr>
        <w:pStyle w:val="ListParagraph"/>
        <w:numPr>
          <w:ilvl w:val="0"/>
          <w:numId w:val="2"/>
        </w:numPr>
      </w:pPr>
      <w:r>
        <w:t xml:space="preserve">单日变形量超过前3日均值的2倍</w:t>
      </w:r>
    </w:p>
    <w:p>
      <w:pPr>
        <w:pStyle w:val="ListParagraph"/>
        <w:numPr>
          <w:ilvl w:val="0"/>
          <w:numId w:val="2"/>
        </w:numPr>
      </w:pPr>
      <w:r>
        <w:t xml:space="preserve">顶管顶推力、注浆压力异常波动</w:t>
      </w:r>
    </w:p>
    <w:p>
      <w:pPr>
        <w:pStyle w:val="ListParagraph"/>
        <w:numPr>
          <w:ilvl w:val="0"/>
          <w:numId w:val="2"/>
        </w:numPr>
      </w:pPr>
      <w:r>
        <w:t xml:space="preserve">地表出现明显裂缝或隆起</w:t>
      </w:r>
    </w:p>
    <w:p>
      <w:pPr>
        <w:pStyle w:val="ListParagraph"/>
        <w:numPr>
          <w:ilvl w:val="0"/>
          <w:numId w:val="2"/>
        </w:numPr>
      </w:pPr>
      <w:r>
        <w:t xml:space="preserve">隧道内新增裂缝或渗漏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rPr>
          <w:b/>
        </w:rPr>
        <w:t xml:space="preserve">第七章 控制值与预警分级</w:t>
      </w:r>
    </w:p>
    <w:p/>
    <w:p>
      <w:pPr>
        <w:pStyle w:val="Heading3"/>
      </w:pPr>
      <w:r>
        <w:rPr>
          <w:b/>
        </w:rPr>
        <w:t xml:space="preserve">7.1 三级预警体系</w:t>
      </w:r>
    </w:p>
    <w:p/>
    <w:p>
      <w:r>
        <w:t xml:space="preserve">依据GB 50911第5.5.1条，采用三级预警体系：</w:t>
      </w:r>
    </w:p>
    <w:p/>
    <w:p>
      <w:r>
        <w:t xml:space="preserve">| 预警等级 | 名称 | 判定标准 | 响应措施 |</w:t>
      </w:r>
    </w:p>
    <w:p>
      <w:r>
        <w:t xml:space="preserve">|---------|------|---------|---------|</w:t>
      </w:r>
    </w:p>
    <w:p>
      <w:r>
        <w:t xml:space="preserve">| </w:t>
      </w:r>
      <w:r>
        <w:rPr>
          <w:b/>
        </w:rPr>
        <w:t xml:space="preserve">黄色预警</w:t>
      </w:r>
      <w:r>
        <w:t xml:space="preserve"> | 提示预警 | 累计值达控制值的70%，或日速率达控制速率的70% | 加密监测，通知施工方关注 |</w:t>
      </w:r>
    </w:p>
    <w:p>
      <w:r>
        <w:t xml:space="preserve">| </w:t>
      </w:r>
      <w:r>
        <w:rPr>
          <w:b/>
        </w:rPr>
        <w:t xml:space="preserve">橙色报警</w:t>
      </w:r>
      <w:r>
        <w:t xml:space="preserve"> | 报警 | 累计值达控制值的85%，或日速率达控制速率的85% | 暂停顶管顶进，上报业主/监理 |</w:t>
      </w:r>
    </w:p>
    <w:p>
      <w:r>
        <w:t xml:space="preserve">| </w:t>
      </w:r>
      <w:r>
        <w:rPr>
          <w:b/>
        </w:rPr>
        <w:t xml:space="preserve">红色报警</w:t>
      </w:r>
      <w:r>
        <w:t xml:space="preserve"> | 紧急报警 | 累计值达控制值的100%，或日速率达控制速率的100% | 立即停工，启动应急预案 |</w:t>
      </w:r>
    </w:p>
    <w:p/>
    <w:p>
      <w:pPr>
        <w:pStyle w:val="Heading3"/>
      </w:pPr>
      <w:r>
        <w:rPr>
          <w:b/>
        </w:rPr>
        <w:t xml:space="preserve">7.2 各监测项目控制值一览表</w:t>
      </w:r>
    </w:p>
    <w:p/>
    <w:p>
      <w:r>
        <w:t xml:space="preserve">| 序号 | 监测项目 | 黄色预警 (70%) | 橙色报警 (85%) | 红色报警 (100%) | 日速率控制值 |</w:t>
      </w:r>
    </w:p>
    <w:p>
      <w:r>
        <w:t xml:space="preserve">|------|---------|---------------|---------------|---------------|-------------|</w:t>
      </w:r>
    </w:p>
    <w:p>
      <w:r>
        <w:t xml:space="preserve">| 1 | 隧道结构竖向位移（沉降） | ±7.0mm | ±8.5mm | ±10.0mm | ±1.5mm/d |</w:t>
      </w:r>
    </w:p>
    <w:p>
      <w:r>
        <w:t xml:space="preserve">| 2 | 隧道结构水平位移 | ±7.0mm | ±8.5mm | ±10.0mm | ±1.0mm/d |</w:t>
      </w:r>
    </w:p>
    <w:p>
      <w:r>
        <w:t xml:space="preserve">| 3 | 隧道收敛 | ±7.0mm | ±8.5mm | ±10.0mm | ±1.0mm/d |</w:t>
      </w:r>
    </w:p>
    <w:p>
      <w:r>
        <w:t xml:space="preserve">| 4 | 地表沉降 | ±21.0mm | ±25.5mm | ±30.0mm | ±2.0mm/d |</w:t>
      </w:r>
    </w:p>
    <w:p>
      <w:r>
        <w:t xml:space="preserve">| 5 | 地表隆起 | +14.0mm | +17.0mm | +20.0mm | +1.5mm/d |</w:t>
      </w:r>
    </w:p>
    <w:p>
      <w:r>
        <w:t xml:space="preserve">| 6 | 深层土体水平位移 | ±17.5mm | ±21.3mm | ±25.0mm | ±2.0mm/d |</w:t>
      </w:r>
    </w:p>
    <w:p>
      <w:r>
        <w:t xml:space="preserve">| 7 | 地下水位变化 | ±350mm | ±425mm | ±500mm | ±100mm/d |</w:t>
      </w:r>
    </w:p>
    <w:p>
      <w:r>
        <w:t xml:space="preserve">| 8 | 轨距 | ±1.4mm | ±1.7mm | ±2.0mm | — |</w:t>
      </w:r>
    </w:p>
    <w:p>
      <w:r>
        <w:t xml:space="preserve">| 9 | 轨道高低（10m弦） | ±2.8mm | ±3.4mm | ±4.0mm | — |</w:t>
      </w:r>
    </w:p>
    <w:p>
      <w:r>
        <w:t xml:space="preserve">| 10 | 结构裂缝宽度 | 0.14mm | 0.17mm | 0.20mm | — |</w:t>
      </w:r>
    </w:p>
    <w:p/>
    <w:p>
      <w:pPr>
        <w:pStyle w:val="Heading3"/>
      </w:pPr>
      <w:r>
        <w:rPr>
          <w:b/>
        </w:rPr>
        <w:t xml:space="preserve">7.3 宁波软土控制值从严说明</w:t>
      </w:r>
    </w:p>
    <w:p/>
    <w:p>
      <w:pPr>
        <w:pStyle w:val="ListParagraph"/>
        <w:numPr>
          <w:ilvl w:val="0"/>
          <w:numId w:val="2"/>
        </w:numPr>
      </w:pPr>
      <w:r>
        <w:t xml:space="preserve">**隧道沉降控制值从严取10mm**：常规硬土区域可取15mm，但宁波深厚软土流变性大、变形稳定周期长，取10mm为顶管施工留足安全余量</w:t>
      </w:r>
    </w:p>
    <w:p>
      <w:pPr>
        <w:pStyle w:val="ListParagraph"/>
        <w:numPr>
          <w:ilvl w:val="0"/>
          <w:numId w:val="2"/>
        </w:numPr>
      </w:pPr>
      <w:r>
        <w:t xml:space="preserve">**地表隆起增设专项控制**：宁波软土中顶管注浆极易引起地表隆起，特设隆起控制值±20mm</w:t>
      </w:r>
    </w:p>
    <w:p>
      <w:pPr>
        <w:pStyle w:val="ListParagraph"/>
        <w:numPr>
          <w:ilvl w:val="0"/>
          <w:numId w:val="2"/>
        </w:numPr>
      </w:pPr>
      <w:r>
        <w:t xml:space="preserve">**裂缝控制从严至0.20mm**：低于常规0.30mm通用限值，考虑软土区隧道不均匀变形显著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rPr>
          <w:b/>
        </w:rPr>
        <w:t xml:space="preserve">第八章 仪器设备配置</w:t>
      </w:r>
    </w:p>
    <w:p/>
    <w:p>
      <w:r>
        <w:t xml:space="preserve">| 序号 | 设备名称 | 型号建议 | 关键技术指标 | 数量 | 用途 |</w:t>
      </w:r>
    </w:p>
    <w:p>
      <w:r>
        <w:t xml:space="preserve">|------|---------|---------|-------------|------|------|</w:t>
      </w:r>
    </w:p>
    <w:p>
      <w:r>
        <w:t xml:space="preserve">| 1 | 精密电子水准仪 | 徕卡LS15 / 天宝DiNi03 | 高程中误差≤±0.3mm/km | 1~2台 | 沉降控制网、地表沉降 |</w:t>
      </w:r>
    </w:p>
    <w:p>
      <w:r>
        <w:t xml:space="preserve">| 2 | 测量机器人 | 徕卡TS60 / 天宝S9 | 测角≤0.5″，测距≤0.6mm+1ppm | 1~2台 | 隧道水平位移 |</w:t>
      </w:r>
    </w:p>
    <w:p>
      <w:r>
        <w:t xml:space="preserve">| 3 | 静力水准系统 | 基康BGK-4600 | 分辨力≤0.01mm，精度±0.1mm | 按需 | 隧道沉降自动化 |</w:t>
      </w:r>
    </w:p>
    <w:p>
      <w:r>
        <w:t xml:space="preserve">| 4 | 伺服加速度计式测斜仪 | 基康BGK-6000 | 精度±0.02mm/500mm | 1台 | 深层水平位移 |</w:t>
      </w:r>
    </w:p>
    <w:p>
      <w:r>
        <w:t xml:space="preserve">| 5 | 激光测距仪 | 徕卡DISTO X3 | 精度±1.0mm | 1~2台 | 隧道收敛 |</w:t>
      </w:r>
    </w:p>
    <w:p>
      <w:r>
        <w:t xml:space="preserve">| 6 | 弦式收敛计 | 基康BGK-4450 | 精度±0.1%F.S | 按需 | 关键断面收敛 |</w:t>
      </w:r>
    </w:p>
    <w:p>
      <w:r>
        <w:t xml:space="preserve">| 7 | 轨检小车 | 安博格GRP5000 | 轨距±0.5mm | 1套 | 轨道几何形位 |</w:t>
      </w:r>
    </w:p>
    <w:p>
      <w:r>
        <w:t xml:space="preserve">| 8 | 裂缝宽度测微仪 | 基康BGK-4420 | 精度0.02mm | 2~3台 | 裂缝量测 |</w:t>
      </w:r>
    </w:p>
    <w:p>
      <w:r>
        <w:t xml:space="preserve">| 9 | 振弦式水位计 | 基康BGK-4500S | 精度±0.1%F.S | 按需 | 水位自动化 |</w:t>
      </w:r>
    </w:p>
    <w:p>
      <w:r>
        <w:t xml:space="preserve">| 10 | 铟钢/铟瓦水准尺 | 徕卡/天宝标配 | 线膨胀系数≤1.0×10⁻⁶/℃ | 1对 | 精密水准配套 |</w:t>
      </w:r>
    </w:p>
    <w:p>
      <w:r>
        <w:t xml:space="preserve">| 11 | 强制对中观测墩 | 现场浇筑 | 偏心&lt;0.05mm | 按需 | 基准点/工作基点 |</w:t>
      </w:r>
    </w:p>
    <w:p>
      <w:r>
        <w:t xml:space="preserve">| 12 | 4G数据采集模块 | 有人USR-G780 | RS485/Modbus，断网续传 | 按需 | 数据传输 |</w:t>
      </w:r>
    </w:p>
    <w:p>
      <w:r>
        <w:t xml:space="preserve">| 13 | 云监测平台 | 睿威智测 | 实时曲线、超限推送、自动报表 | 1套 | 数据管理与预警 |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rPr>
          <w:b/>
        </w:rPr>
        <w:t xml:space="preserve">第九章 数据处理与报告</w:t>
      </w:r>
    </w:p>
    <w:p/>
    <w:p>
      <w:pPr>
        <w:pStyle w:val="Heading3"/>
      </w:pPr>
      <w:r>
        <w:rPr>
          <w:b/>
        </w:rPr>
        <w:t xml:space="preserve">9.1 数据处理流程</w:t>
      </w:r>
    </w:p>
    <w:p/>
    <w:p>
      <w:pPr>
        <w:pStyle w:val="ListParagraph"/>
        <w:numPr>
          <w:ilvl w:val="0"/>
          <w:numId w:val="2"/>
        </w:numPr>
      </w:pPr>
      <w:r>
        <w:t xml:space="preserve">**数据采集**：自动化数据通过4G DTU实时上传云平台，人工数据当日完成内业录入</w:t>
      </w:r>
    </w:p>
    <w:p>
      <w:pPr>
        <w:pStyle w:val="ListParagraph"/>
        <w:numPr>
          <w:ilvl w:val="0"/>
          <w:numId w:val="2"/>
        </w:numPr>
      </w:pPr>
      <w:r>
        <w:t xml:space="preserve">**数据校核**：每日检查数据有效性，剔除粗差；静力水准与精密水准每月对比一次</w:t>
      </w:r>
    </w:p>
    <w:p>
      <w:pPr>
        <w:pStyle w:val="ListParagraph"/>
        <w:numPr>
          <w:ilvl w:val="0"/>
          <w:numId w:val="2"/>
        </w:numPr>
      </w:pPr>
      <w:r>
        <w:t xml:space="preserve">**平差计算**：水准网严密平差（最小二乘法），水平位移赫尔默特变换统一解算</w:t>
      </w:r>
    </w:p>
    <w:p>
      <w:pPr>
        <w:pStyle w:val="ListParagraph"/>
        <w:numPr>
          <w:ilvl w:val="0"/>
          <w:numId w:val="2"/>
        </w:numPr>
      </w:pPr>
      <w:r>
        <w:t xml:space="preserve">**变形分析**：计算本期变形量、累计变形量、变形速率，绘制时程曲线</w:t>
      </w:r>
    </w:p>
    <w:p>
      <w:pPr>
        <w:pStyle w:val="ListParagraph"/>
        <w:numPr>
          <w:ilvl w:val="0"/>
          <w:numId w:val="2"/>
        </w:numPr>
      </w:pPr>
      <w:r>
        <w:t xml:space="preserve">**关联分析**：结构沉降与地表沉降、深层水平位移时空关联分析</w:t>
      </w:r>
    </w:p>
    <w:p/>
    <w:p>
      <w:pPr>
        <w:pStyle w:val="Heading3"/>
      </w:pPr>
      <w:r>
        <w:rPr>
          <w:b/>
        </w:rPr>
        <w:t xml:space="preserve">9.2 报告制度</w:t>
      </w:r>
    </w:p>
    <w:p/>
    <w:p>
      <w:r>
        <w:t xml:space="preserve">| 报告类型 | 编制周期 | 提交时限 | 提交对象 |</w:t>
      </w:r>
    </w:p>
    <w:p>
      <w:r>
        <w:t xml:space="preserve">|---------|---------|---------|---------|</w:t>
      </w:r>
    </w:p>
    <w:p>
      <w:r>
        <w:t xml:space="preserve">| 监测日报 | 每日（施工期） | 次日9:00前 | 业主/施工/监理 |</w:t>
      </w:r>
    </w:p>
    <w:p>
      <w:r>
        <w:t xml:space="preserve">| 监测周报 | 每周 | 每周一12:00前 | 业主/施工/监理/轨交运营方 |</w:t>
      </w:r>
    </w:p>
    <w:p>
      <w:r>
        <w:t xml:space="preserve">| 穿越段专项报告 | 顶管穿越完成后 | 穿越后3日内 | 业主/监理/轨交运营方 |</w:t>
      </w:r>
    </w:p>
    <w:p>
      <w:r>
        <w:t xml:space="preserve">| 监测总结报告 | 跟踪监测期结束 | 结束后15日内 | 业主/监理/运营方/档案馆 |</w:t>
      </w:r>
    </w:p>
    <w:p/>
    <w:p>
      <w:pPr>
        <w:pStyle w:val="Heading3"/>
      </w:pPr>
      <w:r>
        <w:rPr>
          <w:b/>
        </w:rPr>
        <w:t xml:space="preserve">9.3 宁波软土数据分析要点</w:t>
      </w:r>
    </w:p>
    <w:p/>
    <w:p>
      <w:pPr>
        <w:pStyle w:val="ListParagraph"/>
        <w:numPr>
          <w:ilvl w:val="0"/>
          <w:numId w:val="1"/>
        </w:numPr>
      </w:pPr>
      <w:r>
        <w:t xml:space="preserve">**注浆压力与变形关联**：建立注浆压力时程与隧道沉降时程交叉对比，识别注浆最优控制区间</w:t>
      </w:r>
    </w:p>
    <w:p>
      <w:pPr>
        <w:pStyle w:val="ListParagraph"/>
        <w:numPr>
          <w:ilvl w:val="0"/>
          <w:numId w:val="1"/>
        </w:numPr>
      </w:pPr>
      <w:r>
        <w:t xml:space="preserve">**沉降滞后效应**：区分"即时沉降"和"固结蠕变沉降"两种分量分别评价</w:t>
      </w:r>
    </w:p>
    <w:p>
      <w:pPr>
        <w:pStyle w:val="ListParagraph"/>
        <w:numPr>
          <w:ilvl w:val="0"/>
          <w:numId w:val="1"/>
        </w:numPr>
      </w:pPr>
      <w:r>
        <w:t xml:space="preserve">**不均匀沉降速率分化**：同一断面左右侧速率分化是结构扭转前兆信号，须立即预警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rPr>
          <w:b/>
        </w:rPr>
        <w:t xml:space="preserve">第十章 应急预案</w:t>
      </w:r>
    </w:p>
    <w:p/>
    <w:p>
      <w:pPr>
        <w:pStyle w:val="Heading3"/>
      </w:pPr>
      <w:r>
        <w:rPr>
          <w:b/>
        </w:rPr>
        <w:t xml:space="preserve">10.1 应急组织体系</w:t>
      </w:r>
    </w:p>
    <w:p/>
    <w:p>
      <w:r>
        <w:t xml:space="preserve">成立监测应急小组：总指挥（项目负责人）→ 数据分析组 → 现场监测组 → 联络协调组</w:t>
      </w:r>
    </w:p>
    <w:p/>
    <w:p>
      <w:pPr>
        <w:pStyle w:val="Heading3"/>
      </w:pPr>
      <w:r>
        <w:rPr>
          <w:b/>
        </w:rPr>
        <w:t xml:space="preserve">10.2 三级预警响应流程</w:t>
      </w:r>
    </w:p>
    <w:p/>
    <w:p>
      <w:r>
        <w:rPr>
          <w:b/>
        </w:rPr>
        <w:t xml:space="preserve">黄色预警响应</w:t>
      </w:r>
      <w:r>
        <w:t xml:space="preserve">：</w:t>
      </w:r>
    </w:p>
    <w:p>
      <w:pPr>
        <w:pStyle w:val="ListParagraph"/>
        <w:numPr>
          <w:ilvl w:val="0"/>
          <w:numId w:val="2"/>
        </w:numPr>
      </w:pPr>
      <w:r>
        <w:t xml:space="preserve">数据分析组10分钟内复核对数据</w:t>
      </w:r>
    </w:p>
    <w:p>
      <w:pPr>
        <w:pStyle w:val="ListParagraph"/>
        <w:numPr>
          <w:ilvl w:val="0"/>
          <w:numId w:val="2"/>
        </w:numPr>
      </w:pPr>
      <w:r>
        <w:t xml:space="preserve">30分钟内通知施工方和监理</w:t>
      </w:r>
    </w:p>
    <w:p>
      <w:pPr>
        <w:pStyle w:val="ListParagraph"/>
        <w:numPr>
          <w:ilvl w:val="0"/>
          <w:numId w:val="2"/>
        </w:numPr>
      </w:pPr>
      <w:r>
        <w:t xml:space="preserve">相关项目加密至2h/次</w:t>
      </w:r>
    </w:p>
    <w:p>
      <w:pPr>
        <w:pStyle w:val="ListParagraph"/>
        <w:numPr>
          <w:ilvl w:val="0"/>
          <w:numId w:val="2"/>
        </w:numPr>
      </w:pPr>
      <w:r>
        <w:t xml:space="preserve">施工方核查施工参数</w:t>
      </w:r>
    </w:p>
    <w:p/>
    <w:p>
      <w:r>
        <w:rPr>
          <w:b/>
        </w:rPr>
        <w:t xml:space="preserve">橙色预警响应</w:t>
      </w:r>
      <w:r>
        <w:t xml:space="preserve">：</w:t>
      </w:r>
    </w:p>
    <w:p>
      <w:pPr>
        <w:pStyle w:val="ListParagraph"/>
        <w:numPr>
          <w:ilvl w:val="0"/>
          <w:numId w:val="2"/>
        </w:numPr>
      </w:pPr>
      <w:r>
        <w:t xml:space="preserve">黄色措施全部执行</w:t>
      </w:r>
    </w:p>
    <w:p>
      <w:pPr>
        <w:pStyle w:val="ListParagraph"/>
        <w:numPr>
          <w:ilvl w:val="0"/>
          <w:numId w:val="2"/>
        </w:numPr>
      </w:pPr>
      <w:r>
        <w:t xml:space="preserve">15分钟内上报业主代表和轨交运营方</w:t>
      </w:r>
    </w:p>
    <w:p>
      <w:pPr>
        <w:pStyle w:val="ListParagraph"/>
        <w:numPr>
          <w:ilvl w:val="0"/>
          <w:numId w:val="2"/>
        </w:numPr>
      </w:pPr>
      <w:r>
        <w:t xml:space="preserve">要求暂停顶进，组织现场分析会</w:t>
      </w:r>
    </w:p>
    <w:p>
      <w:pPr>
        <w:pStyle w:val="ListParagraph"/>
        <w:numPr>
          <w:ilvl w:val="0"/>
          <w:numId w:val="2"/>
        </w:numPr>
      </w:pPr>
      <w:r>
        <w:t xml:space="preserve">启动"2小时一报"速报机制</w:t>
      </w:r>
    </w:p>
    <w:p/>
    <w:p>
      <w:r>
        <w:rPr>
          <w:b/>
        </w:rPr>
        <w:t xml:space="preserve">红色预警响应</w:t>
      </w:r>
      <w:r>
        <w:t xml:space="preserve">：</w:t>
      </w:r>
    </w:p>
    <w:p>
      <w:pPr>
        <w:pStyle w:val="ListParagraph"/>
        <w:numPr>
          <w:ilvl w:val="0"/>
          <w:numId w:val="2"/>
        </w:numPr>
      </w:pPr>
      <w:r>
        <w:t xml:space="preserve">橙色措施全部执行</w:t>
      </w:r>
    </w:p>
    <w:p>
      <w:pPr>
        <w:pStyle w:val="ListParagraph"/>
        <w:numPr>
          <w:ilvl w:val="0"/>
          <w:numId w:val="2"/>
        </w:numPr>
      </w:pPr>
      <w:r>
        <w:t xml:space="preserve">5分钟内电话通知轨交运营调度中心</w:t>
      </w:r>
    </w:p>
    <w:p>
      <w:pPr>
        <w:pStyle w:val="ListParagraph"/>
        <w:numPr>
          <w:ilvl w:val="0"/>
          <w:numId w:val="2"/>
        </w:numPr>
      </w:pPr>
      <w:r>
        <w:t xml:space="preserve">施工方立即全面停工</w:t>
      </w:r>
    </w:p>
    <w:p>
      <w:pPr>
        <w:pStyle w:val="ListParagraph"/>
        <w:numPr>
          <w:ilvl w:val="0"/>
          <w:numId w:val="2"/>
        </w:numPr>
      </w:pPr>
      <w:r>
        <w:t xml:space="preserve">运营方评估是否需要限速、停运</w:t>
      </w:r>
    </w:p>
    <w:p>
      <w:pPr>
        <w:pStyle w:val="ListParagraph"/>
        <w:numPr>
          <w:ilvl w:val="0"/>
          <w:numId w:val="2"/>
        </w:numPr>
      </w:pPr>
      <w:r>
        <w:t xml:space="preserve">启动"1小时一报"机制</w:t>
      </w:r>
    </w:p>
    <w:p/>
    <w:p>
      <w:pPr>
        <w:pStyle w:val="Heading3"/>
      </w:pPr>
      <w:r>
        <w:rPr>
          <w:b/>
        </w:rPr>
        <w:t xml:space="preserve">10.3 顶管专项应急场景</w:t>
      </w:r>
    </w:p>
    <w:p/>
    <w:p>
      <w:r>
        <w:t xml:space="preserve">| 风险场景 | 监测征兆 | 应急措施 |</w:t>
      </w:r>
    </w:p>
    <w:p>
      <w:r>
        <w:t xml:space="preserve">|---------|---------|---------|</w:t>
      </w:r>
    </w:p>
    <w:p>
      <w:r>
        <w:t xml:space="preserve">| 顶管机头迎面失稳 | 水平位移骤增、地表突然下沉 | 停机，调整土压力/泥水压力 |</w:t>
      </w:r>
    </w:p>
    <w:p>
      <w:r>
        <w:t xml:space="preserve">| 注浆压力失控 | 隆起骤增、裂缝扩展 | 降低注浆压力，调整注浆量 |</w:t>
      </w:r>
    </w:p>
    <w:p>
      <w:r>
        <w:t xml:space="preserve">| 地层损失过大 | 连续沉降、沉降槽明显 | 加大二次注浆量，必要时停止顶进 |</w:t>
      </w:r>
    </w:p>
    <w:p>
      <w:r>
        <w:t xml:space="preserve">| 突涌/管涌 | 水位骤降、地表塌陷 | 停机封堵，紧急降水控制 |</w:t>
      </w:r>
    </w:p>
    <w:p>
      <w:r>
        <w:t xml:space="preserve">| 轨道几何超标 | 轨检数据超红线 | 通知运营方限速或停运，紧急整修 |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rPr>
          <w:b/>
        </w:rPr>
        <w:t xml:space="preserve">第十一章 质量保证措施</w:t>
      </w:r>
    </w:p>
    <w:p/>
    <w:p>
      <w:pPr>
        <w:pStyle w:val="Heading3"/>
      </w:pPr>
      <w:r>
        <w:rPr>
          <w:b/>
        </w:rPr>
        <w:t xml:space="preserve">11.1 质量管理体系</w:t>
      </w:r>
    </w:p>
    <w:p/>
    <w:p>
      <w:pPr>
        <w:pStyle w:val="ListParagraph"/>
        <w:numPr>
          <w:ilvl w:val="0"/>
          <w:numId w:val="2"/>
        </w:numPr>
      </w:pPr>
      <w:r>
        <w:t xml:space="preserve">**仪器管理**：所有仪器均在检定/校准有效期内使用。水准仪i角检校每班次≥1次（i角≤15″），全站仪2C互差、指标差每班次检校≥1次</w:t>
      </w:r>
    </w:p>
    <w:p>
      <w:pPr>
        <w:pStyle w:val="ListParagraph"/>
        <w:numPr>
          <w:ilvl w:val="0"/>
          <w:numId w:val="2"/>
        </w:numPr>
      </w:pPr>
      <w:r>
        <w:t xml:space="preserve">**人员管理**：现场人员持证上岗，具备二等水准和精密工程测量资质</w:t>
      </w:r>
    </w:p>
    <w:p>
      <w:pPr>
        <w:pStyle w:val="ListParagraph"/>
        <w:numPr>
          <w:ilvl w:val="0"/>
          <w:numId w:val="2"/>
        </w:numPr>
      </w:pPr>
      <w:r>
        <w:t xml:space="preserve">**数据管理**：原始数据实行"测量、记录、复核"三签制度</w:t>
      </w:r>
    </w:p>
    <w:p>
      <w:pPr>
        <w:pStyle w:val="ListParagraph"/>
        <w:numPr>
          <w:ilvl w:val="0"/>
          <w:numId w:val="2"/>
        </w:numPr>
      </w:pPr>
      <w:r>
        <w:t xml:space="preserve">**基准点管理**：每月基准点复测不少于1次</w:t>
      </w:r>
    </w:p>
    <w:p/>
    <w:p>
      <w:pPr>
        <w:pStyle w:val="Heading3"/>
      </w:pPr>
      <w:r>
        <w:rPr>
          <w:b/>
        </w:rPr>
        <w:t xml:space="preserve">11.2 精度控制措施</w:t>
      </w:r>
    </w:p>
    <w:p/>
    <w:p>
      <w:r>
        <w:t xml:space="preserve">| 控制项目 | 控制措施 | 检查频率 |</w:t>
      </w:r>
    </w:p>
    <w:p>
      <w:r>
        <w:t xml:space="preserve">|---------|---------|---------|</w:t>
      </w:r>
    </w:p>
    <w:p>
      <w:r>
        <w:t xml:space="preserve">| 水准测量 | 固定设站、固定仪器、固定人员、固定路线，前后视距差≤1m | 每测段 |</w:t>
      </w:r>
    </w:p>
    <w:p>
      <w:r>
        <w:t xml:space="preserve">| 全站仪测量 | 温度气压改正每2h更新，双面测量取均值 | 每测站 |</w:t>
      </w:r>
    </w:p>
    <w:p>
      <w:r>
        <w:t xml:space="preserve">| 静力水准 | 每周检查液位，每月检查管路气密性 | 每周/每月 |</w:t>
      </w:r>
    </w:p>
    <w:p>
      <w:r>
        <w:t xml:space="preserve">| 测斜仪 | 正反导槽各测一次取均值，下井前进零位检校 | 每孔 |</w:t>
      </w:r>
    </w:p>
    <w:p/>
    <w:p>
      <w:pPr>
        <w:pStyle w:val="Heading3"/>
      </w:pPr>
      <w:r>
        <w:rPr>
          <w:b/>
        </w:rPr>
        <w:t xml:space="preserve">11.3 顶管施工风险专项分析</w:t>
      </w:r>
    </w:p>
    <w:p/>
    <w:p>
      <w:r>
        <w:rPr>
          <w:b/>
        </w:rPr>
        <w:t xml:space="preserve">（1）始发与接收风险</w:t>
      </w:r>
      <w:r>
        <w:t xml:space="preserve">：始发段和接收段各30m范围内监测频率按穿越段标准执行，监测数据实时传送施工控制室。</w:t>
      </w:r>
    </w:p>
    <w:p/>
    <w:p>
      <w:r>
        <w:rPr>
          <w:b/>
        </w:rPr>
        <w:t xml:space="preserve">（2）注浆压力扰动</w:t>
      </w:r>
      <w:r>
        <w:t xml:space="preserve">：注浆压力须严格控制（建议≤0.3MPa），建立注浆压力与隧道变形数据的实时关联监控。</w:t>
      </w:r>
    </w:p>
    <w:p/>
    <w:p>
      <w:r>
        <w:rPr>
          <w:b/>
        </w:rPr>
        <w:t xml:space="preserve">（3）地面隆起与沉降交替</w:t>
      </w:r>
      <w:r>
        <w:t xml:space="preserve">：静力水准仪自动连续采样（≤1h/次）和正负双向变形分析为捕捉"先沉降后隆起再沉降"三阶段特征提供技术保障。</w:t>
      </w:r>
    </w:p>
    <w:p/>
    <w:p>
      <w:pPr>
        <w:pStyle w:val="Heading3"/>
      </w:pPr>
      <w:r>
        <w:rPr>
          <w:b/>
        </w:rPr>
        <w:t xml:space="preserve">11.4 与施工单位的协调配合</w:t>
      </w:r>
    </w:p>
    <w:p/>
    <w:p>
      <w:pPr>
        <w:pStyle w:val="ListParagraph"/>
        <w:numPr>
          <w:ilvl w:val="0"/>
          <w:numId w:val="2"/>
        </w:numPr>
      </w:pPr>
      <w:r>
        <w:t xml:space="preserve">建立施工参数-监测数据同步共享机制</w:t>
      </w:r>
    </w:p>
    <w:p>
      <w:pPr>
        <w:pStyle w:val="ListParagraph"/>
        <w:numPr>
          <w:ilvl w:val="0"/>
          <w:numId w:val="2"/>
        </w:numPr>
      </w:pPr>
      <w:r>
        <w:t xml:space="preserve">监测单位发现异常变形趋势时，有权要求施工单位调整参数或建议暂停施工</w:t>
      </w:r>
    </w:p>
    <w:p>
      <w:pPr>
        <w:pStyle w:val="ListParagraph"/>
        <w:numPr>
          <w:ilvl w:val="0"/>
          <w:numId w:val="2"/>
        </w:numPr>
      </w:pPr>
      <w:r>
        <w:t xml:space="preserve">施工期每周不少于1次监测分析与施工协调会</w:t>
      </w:r>
    </w:p>
    <w:p/>
    <w:p>
      <w:pPr>
        <w:pBdr>
          <w:bottom w:val="single" w:sz="6" w:space="1" w:color="auto"/>
        </w:pBdr>
      </w:pPr>
    </w:p>
    <w:p/>
    <w:p>
      <w:r>
        <w:rPr>
          <w:b/>
        </w:rPr>
        <w:t xml:space="preserve">方案编制单位</w:t>
      </w:r>
      <w:r>
        <w:t xml:space="preserve">：睿威智测（Railwise）</w:t>
      </w:r>
    </w:p>
    <w:p>
      <w:r>
        <w:rPr>
          <w:b/>
        </w:rPr>
        <w:t xml:space="preserve">编制人</w:t>
      </w:r>
      <w:r>
        <w:t xml:space="preserve">：______________</w:t>
      </w:r>
    </w:p>
    <w:p>
      <w:r>
        <w:rPr>
          <w:b/>
        </w:rPr>
        <w:t xml:space="preserve">审核人</w:t>
      </w:r>
      <w:r>
        <w:t xml:space="preserve">：______________</w:t>
      </w:r>
    </w:p>
    <w:p>
      <w:r>
        <w:rPr>
          <w:b/>
        </w:rPr>
        <w:t xml:space="preserve">批准人</w:t>
      </w:r>
      <w:r>
        <w:t xml:space="preserve">：______________</w:t>
      </w:r>
    </w:p>
    <w:p/>
    <w:sectPr>
      <w:pgSz w:w="11906" w:h="16838"/>
      <w:pgMar w:top="1440" w:right="1440" w:bottom="1440" w:left="1440" w:header="708" w:footer="708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abstractNum w:abstractNumId="1">
    <w:lvl w:ilvl="0"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SimSun" w:hAnsi="SimSun" w:eastAsia="SimSun"/>
      <w:sz w:val="21"/>
    </w:rPr>
  </w:style>
  <w:style w:type="paragraph" w:styleId="Heading1">
    <w:name w:val="heading 1"/>
    <w:pPr>
      <w:spacing w:before="240" w:after="120"/>
    </w:pPr>
    <w:rPr>
      <w:rFonts w:ascii="SimHei" w:hAnsi="SimHei" w:eastAsia="SimHei"/>
      <w:b/>
      <w:sz w:val="32"/>
    </w:rPr>
  </w:style>
  <w:style w:type="paragraph" w:styleId="Heading2">
    <w:name w:val="heading 2"/>
    <w:pPr>
      <w:spacing w:before="200" w:after="100"/>
    </w:pPr>
    <w:rPr>
      <w:rFonts w:ascii="SimHei" w:hAnsi="SimHei" w:eastAsia="SimHei"/>
      <w:b/>
      <w:sz w:val="28"/>
    </w:rPr>
  </w:style>
  <w:style w:type="paragraph" w:styleId="Heading3">
    <w:name w:val="heading 3"/>
    <w:pPr>
      <w:spacing w:before="160" w:after="80"/>
    </w:pPr>
    <w:rPr>
      <w:rFonts w:ascii="SimHei" w:hAnsi="SimHei" w:eastAsia="SimHei"/>
      <w:b/>
      <w:sz w:val="24"/>
    </w:rPr>
  </w:style>
  <w:style w:type="paragraph" w:styleId="ListParagraph">
    <w:name w:val="List Paragraph"/>
    <w:pPr>
      <w:ind w:left="72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