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宁波轨道交通3号线保护区顶管施工监测技术方案</w:t>
      </w:r>
    </w:p>
    <w:p/>
    <w:p>
      <w:r>
        <w:rPr>
          <w:b/>
        </w:rPr>
        <w:t xml:space="preserve">（终审通过版 V2.0 — 2026年5月）</w:t>
      </w:r>
    </w:p>
    <w:p/>
    <w:p>
      <w:r>
        <w:rPr>
          <w:b/>
        </w:rPr>
        <w:t xml:space="preserve">编制单位</w:t>
      </w:r>
      <w:r>
        <w:t xml:space="preserve">：睿威智测（Railwise）</w:t>
      </w:r>
    </w:p>
    <w:p>
      <w:r>
        <w:rPr>
          <w:b/>
        </w:rPr>
        <w:t xml:space="preserve">文件编号</w:t>
      </w:r>
      <w:r>
        <w:t xml:space="preserve">：RW-NB3-JC-2026-001</w:t>
      </w:r>
    </w:p>
    <w:p>
      <w:r>
        <w:rPr>
          <w:b/>
        </w:rPr>
        <w:t xml:space="preserve">密级</w:t>
      </w:r>
      <w:r>
        <w:t xml:space="preserve">：内部</w:t>
      </w:r>
    </w:p>
    <w:p>
      <w:r>
        <w:rPr>
          <w:b/>
        </w:rPr>
        <w:t xml:space="preserve">状态</w:t>
      </w:r>
      <w:r>
        <w:t xml:space="preserve">：✅ 已通过 QA 规范合规终审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rPr>
          <w:b/>
        </w:rPr>
        <w:t xml:space="preserve">第一章 工程概况</w:t>
      </w:r>
    </w:p>
    <w:p/>
    <w:p>
      <w:pPr>
        <w:pStyle w:val="Heading3"/>
      </w:pPr>
      <w:r>
        <w:rPr>
          <w:b/>
        </w:rPr>
        <w:t xml:space="preserve">1.1 工程背景</w:t>
      </w:r>
    </w:p>
    <w:p/>
    <w:p>
      <w:r>
        <w:t xml:space="preserve">本工程为宁波轨道交通3号线沿线市政污水管道顶管穿越保护区施工项目。顶管采用DN2000钢筋混凝土管，设计埋深约6.0~8.5m，顶管轴线与轨交区间隧道斜交约65°，顶管底部距轨交隧道拱顶最小竖向净距约4.2m，水平投影重叠段约35m。保护区范围依据《宁波市轨道交通运营管理条例》：轨交结构外边线两侧各50m。</w:t>
      </w:r>
    </w:p>
    <w:p/>
    <w:p>
      <w:r>
        <w:t xml:space="preserve">| 参数项 | 参数值（待补填） |</w:t>
      </w:r>
    </w:p>
    <w:p>
      <w:r>
        <w:t xml:space="preserve">|--------|-----------------|</w:t>
      </w:r>
    </w:p>
    <w:p>
      <w:r>
        <w:t xml:space="preserve">| 轨交3号线被穿越区间 | ______________ |</w:t>
      </w:r>
    </w:p>
    <w:p>
      <w:r>
        <w:t xml:space="preserve">| 被穿越里程范围 | K______+______~K______+______ |</w:t>
      </w:r>
    </w:p>
    <w:p>
      <w:r>
        <w:t xml:space="preserve">| 顶管与轨交结构净距 | 约4.2m（待复测确认） |</w:t>
      </w:r>
    </w:p>
    <w:p>
      <w:r>
        <w:t xml:space="preserve">| 顶管与轨交夹角 | 约65° |</w:t>
      </w:r>
    </w:p>
    <w:p>
      <w:r>
        <w:t xml:space="preserve">| 顶管埋深 | 顶面约6.0m / 底面约8.5m |</w:t>
      </w:r>
    </w:p>
    <w:p>
      <w:r>
        <w:t xml:space="preserve">| 轨交隧道顶埋深 | ______m |</w:t>
      </w:r>
    </w:p>
    <w:p>
      <w:r>
        <w:t xml:space="preserve">| 顶管穿越方式 | 土压平衡/泥水平衡（待施工方案确定） |</w:t>
      </w:r>
    </w:p>
    <w:p/>
    <w:p>
      <w:pPr>
        <w:pStyle w:val="Heading3"/>
      </w:pPr>
      <w:r>
        <w:rPr>
          <w:b/>
        </w:rPr>
        <w:t xml:space="preserve">1.2 工程地质条件</w:t>
      </w:r>
    </w:p>
    <w:p/>
    <w:p>
      <w:r>
        <w:t xml:space="preserve">场区属宁波滨海淤积平原地貌，地层自上而下：</w:t>
      </w:r>
    </w:p>
    <w:p/>
    <w:p>
      <w:r>
        <w:t xml:space="preserve">| 层号 | 地层名称 | 层厚（m） | 工程特性 |</w:t>
      </w:r>
    </w:p>
    <w:p>
      <w:r>
        <w:t xml:space="preserve">|------|---------|----------|---------|</w:t>
      </w:r>
    </w:p>
    <w:p>
      <w:r>
        <w:t xml:space="preserve">| ① | 杂填土 | 1.0~2.5 | 松散 |</w:t>
      </w:r>
    </w:p>
    <w:p>
      <w:r>
        <w:t xml:space="preserve">| ② | 粉质黏土 | 1.5~3.0 | 软塑，中压缩性 |</w:t>
      </w:r>
    </w:p>
    <w:p>
      <w:r>
        <w:t xml:space="preserve">| ③ | 淤泥质粉质黏土 | 8.0~15.0 | </w:t>
      </w:r>
      <w:r>
        <w:rPr>
          <w:b/>
        </w:rPr>
        <w:t xml:space="preserve">流塑，高压缩性，高灵敏度（St=3~6）</w:t>
      </w:r>
      <w:r>
        <w:t xml:space="preserve"> |</w:t>
      </w:r>
    </w:p>
    <w:p>
      <w:r>
        <w:t xml:space="preserve">| ④ | 淤泥质黏土 | 5.0~10.0 | </w:t>
      </w:r>
      <w:r>
        <w:rPr>
          <w:b/>
        </w:rPr>
        <w:t xml:space="preserve">流塑，高压缩性</w:t>
      </w:r>
      <w:r>
        <w:t xml:space="preserve"> |</w:t>
      </w:r>
    </w:p>
    <w:p>
      <w:r>
        <w:t xml:space="preserve">| ⑤ | 粉质黏土夹粉砂 | 3.0~6.0 | 软塑~可塑 |</w:t>
      </w:r>
    </w:p>
    <w:p>
      <w:r>
        <w:t xml:space="preserve">| ⑥ | 粉砂 | 未揭穿 | 中密~密实 |</w:t>
      </w:r>
    </w:p>
    <w:p/>
    <w:p>
      <w:r>
        <w:rPr>
          <w:b/>
        </w:rPr>
        <w:t xml:space="preserve">宁波淤泥质软土核心特征</w:t>
      </w:r>
      <w:r>
        <w:t xml:space="preserve">：天然含水量ω=45%~65%，孔隙比e=1.2~1.8，压缩系数a₁₋₂=0.8~1.5MPa⁻¹，灵敏度St=3~6（中~高灵敏度软土）。顶管施工振动和卸荷将显著扰动软土，触变恢复周期长达数月，是本工程最核心的地质风险。</w:t>
      </w:r>
    </w:p>
    <w:p/>
    <w:p>
      <w:pPr>
        <w:pStyle w:val="Heading3"/>
      </w:pPr>
      <w:r>
        <w:rPr>
          <w:b/>
        </w:rPr>
        <w:t xml:space="preserve">1.3 技术难点</w:t>
      </w:r>
    </w:p>
    <w:p/>
    <w:p>
      <w:pPr>
        <w:pStyle w:val="ListParagraph"/>
        <w:numPr>
          <w:ilvl w:val="0"/>
          <w:numId w:val="2"/>
        </w:numPr>
      </w:pPr>
      <w:r>
        <w:t xml:space="preserve">软土高灵敏度——顶管扰动后强度骤降50%~70%，变形传递范围大、持续时间长</w:t>
      </w:r>
    </w:p>
    <w:p>
      <w:pPr>
        <w:pStyle w:val="ListParagraph"/>
        <w:numPr>
          <w:ilvl w:val="0"/>
          <w:numId w:val="2"/>
        </w:numPr>
      </w:pPr>
      <w:r>
        <w:t xml:space="preserve">近接净距小——顶管底距轨交拱顶仅4.2m，属CJJ/T 202-2013"非常接近"分区</w:t>
      </w:r>
    </w:p>
    <w:p>
      <w:pPr>
        <w:pStyle w:val="ListParagraph"/>
        <w:numPr>
          <w:ilvl w:val="0"/>
          <w:numId w:val="2"/>
        </w:numPr>
      </w:pPr>
      <w:r>
        <w:t xml:space="preserve">运营线路保护标准高——道床沉降、管片收敛须严格限制</w:t>
      </w:r>
    </w:p>
    <w:p>
      <w:pPr>
        <w:pStyle w:val="ListParagraph"/>
        <w:numPr>
          <w:ilvl w:val="0"/>
          <w:numId w:val="2"/>
        </w:numPr>
      </w:pPr>
      <w:r>
        <w:t xml:space="preserve">地下管线密集——宁波老城区管线纵横交错</w:t>
      </w:r>
    </w:p>
    <w:p>
      <w:pPr>
        <w:pStyle w:val="ListParagraph"/>
        <w:numPr>
          <w:ilvl w:val="0"/>
          <w:numId w:val="2"/>
        </w:numPr>
      </w:pPr>
      <w:r>
        <w:t xml:space="preserve">扰动持续时间长——软土固结沉降可持续数月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rPr>
          <w:b/>
        </w:rPr>
        <w:t xml:space="preserve">第二章 编制依据</w:t>
      </w:r>
    </w:p>
    <w:p/>
    <w:p>
      <w:pPr>
        <w:pStyle w:val="Heading3"/>
      </w:pPr>
      <w:r>
        <w:rPr>
          <w:b/>
        </w:rPr>
        <w:t xml:space="preserve">2.1 主控规范</w:t>
      </w:r>
    </w:p>
    <w:p/>
    <w:p>
      <w:r>
        <w:t xml:space="preserve">| 序号 | 规范编号 | 名称 | 备注 |</w:t>
      </w:r>
    </w:p>
    <w:p>
      <w:r>
        <w:t xml:space="preserve">|------|----------|------|------|</w:t>
      </w:r>
    </w:p>
    <w:p>
      <w:r>
        <w:t xml:space="preserve">| 1 | GB 50911-2013 | 《城市轨道交通工程监测技术规范》 | </w:t>
      </w:r>
      <w:r>
        <w:rPr>
          <w:b/>
        </w:rPr>
        <w:t xml:space="preserve">主控</w:t>
      </w:r>
      <w:r>
        <w:t xml:space="preserve"> |</w:t>
      </w:r>
    </w:p>
    <w:p>
      <w:r>
        <w:t xml:space="preserve">| 2 | CJJ/T 202-2013 | 《城市轨道交通结构安全保护技术规范》 | </w:t>
      </w:r>
      <w:r>
        <w:rPr>
          <w:b/>
        </w:rPr>
        <w:t xml:space="preserve">主控</w:t>
      </w:r>
      <w:r>
        <w:t xml:space="preserve">（影响等级判定核心依据） |</w:t>
      </w:r>
    </w:p>
    <w:p/>
    <w:p>
      <w:pPr>
        <w:pStyle w:val="Heading3"/>
      </w:pPr>
      <w:r>
        <w:rPr>
          <w:b/>
        </w:rPr>
        <w:t xml:space="preserve">2.2 辅助参照规范</w:t>
      </w:r>
    </w:p>
    <w:p/>
    <w:p>
      <w:r>
        <w:t xml:space="preserve">| 序号 | 规范编号 | 名称 | 备注 |</w:t>
      </w:r>
    </w:p>
    <w:p>
      <w:r>
        <w:t xml:space="preserve">|------|----------|------|------|</w:t>
      </w:r>
    </w:p>
    <w:p>
      <w:r>
        <w:t xml:space="preserve">| 3 | GB 50497-2019 | 《建筑基坑工程监测技术标准》 | 辅助参考 |</w:t>
      </w:r>
    </w:p>
    <w:p>
      <w:r>
        <w:t xml:space="preserve">| 4 | JGJ 8-2016 | 《建筑变形测量规范》 | 变形测量等级与精度 |</w:t>
      </w:r>
    </w:p>
    <w:p>
      <w:r>
        <w:t xml:space="preserve">| 5 | GB 50026-2020 | 《工程测量标准》 | 控制测量与精度 |</w:t>
      </w:r>
    </w:p>
    <w:p>
      <w:r>
        <w:t xml:space="preserve">| 6 | GB/T 50308-2017 | 《城市轨道交通工程测量规范》 | 轨交专项 |</w:t>
      </w:r>
    </w:p>
    <w:p>
      <w:r>
        <w:t xml:space="preserve">| 7 | GB 55017-2021 | 《工程勘察通用规范》 | 勘察要求 |</w:t>
      </w:r>
    </w:p>
    <w:p/>
    <w:p>
      <w:pPr>
        <w:pStyle w:val="Heading3"/>
      </w:pPr>
      <w:r>
        <w:rPr>
          <w:b/>
        </w:rPr>
        <w:t xml:space="preserve">2.3 地方规定</w:t>
      </w:r>
    </w:p>
    <w:p/>
    <w:p>
      <w:pPr>
        <w:pStyle w:val="ListParagraph"/>
        <w:numPr>
          <w:ilvl w:val="0"/>
          <w:numId w:val="1"/>
        </w:numPr>
      </w:pPr>
      <w:r>
        <w:t xml:space="preserve">《宁波市轨道交通管理条例》（2018年修订）</w:t>
      </w:r>
    </w:p>
    <w:p>
      <w:pPr>
        <w:pStyle w:val="ListParagraph"/>
        <w:numPr>
          <w:ilvl w:val="0"/>
          <w:numId w:val="1"/>
        </w:numPr>
      </w:pPr>
      <w:r>
        <w:t xml:space="preserve">《宁波市城市轨道交通保护区管理办法》</w:t>
      </w:r>
    </w:p>
    <w:p>
      <w:pPr>
        <w:pStyle w:val="ListParagraph"/>
        <w:numPr>
          <w:ilvl w:val="0"/>
          <w:numId w:val="1"/>
        </w:numPr>
      </w:pPr>
      <w:r>
        <w:t xml:space="preserve">《宁波市轨道交通工程监测技术管理规定》</w:t>
      </w:r>
    </w:p>
    <w:p/>
    <w:p>
      <w:pPr>
        <w:pStyle w:val="Heading3"/>
      </w:pPr>
      <w:r>
        <w:rPr>
          <w:b/>
        </w:rPr>
        <w:t xml:space="preserve">2.4 强制性条文清单</w:t>
      </w:r>
    </w:p>
    <w:p/>
    <w:p>
      <w:pPr>
        <w:ind w:left="720"/>
      </w:pPr>
      <w:r>
        <w:rPr>
          <w:i/>
        </w:rPr>
        <w:t xml:space="preserve">**凡标注（M）者为强制性条文，必须严格执行，任何情况下不得降格。**</w:t>
      </w:r>
    </w:p>
    <w:p/>
    <w:p>
      <w:r>
        <w:t xml:space="preserve">| 序号 | 规范及条文号 | 核心内容 | 性质 |</w:t>
      </w:r>
    </w:p>
    <w:p>
      <w:r>
        <w:t xml:space="preserve">|------|-------------|----------|------|</w:t>
      </w:r>
    </w:p>
    <w:p>
      <w:r>
        <w:t xml:space="preserve">| 1 | GB 50911 §5.1.2 | 保护区监测应包括结构沉降、水平位移、收敛、地表沉降、管线位移、建筑物沉降与倾斜 | </w:t>
      </w:r>
      <w:r>
        <w:rPr>
          <w:b/>
        </w:rPr>
        <w:t xml:space="preserve">（M）</w:t>
      </w:r>
      <w:r>
        <w:t xml:space="preserve"> |</w:t>
      </w:r>
    </w:p>
    <w:p>
      <w:r>
        <w:t xml:space="preserve">| 2 | GB 50911 §5.4.1 | 施工关键阶段监测频率不应低于1次/天 | </w:t>
      </w:r>
      <w:r>
        <w:rPr>
          <w:b/>
        </w:rPr>
        <w:t xml:space="preserve">（M）</w:t>
      </w:r>
      <w:r>
        <w:t xml:space="preserve"> |</w:t>
      </w:r>
    </w:p>
    <w:p>
      <w:r>
        <w:t xml:space="preserve">| 3 | GB 50911 §5.5.1 | 报警值依据设计文件、规范和工程经验综合确定 | </w:t>
      </w:r>
      <w:r>
        <w:rPr>
          <w:b/>
        </w:rPr>
        <w:t xml:space="preserve">（M）</w:t>
      </w:r>
      <w:r>
        <w:t xml:space="preserve"> |</w:t>
      </w:r>
    </w:p>
    <w:p>
      <w:r>
        <w:t xml:space="preserve">| 4 | GB 50497 §3.0.1 | 开挖深度≥5m或地质/环境复杂时应实施监测 | </w:t>
      </w:r>
      <w:r>
        <w:rPr>
          <w:b/>
        </w:rPr>
        <w:t xml:space="preserve">（M）</w:t>
      </w:r>
      <w:r>
        <w:t xml:space="preserve"> |</w:t>
      </w:r>
    </w:p>
    <w:p>
      <w:r>
        <w:t xml:space="preserve">| 5 | GB 50497 §3.0.2 | 基坑监测必测项目 | </w:t>
      </w:r>
      <w:r>
        <w:rPr>
          <w:b/>
        </w:rPr>
        <w:t xml:space="preserve">（M）</w:t>
      </w:r>
      <w:r>
        <w:t xml:space="preserve"> |</w:t>
      </w:r>
    </w:p>
    <w:p>
      <w:r>
        <w:t xml:space="preserve">| 6 | GB 50497 §5.0.3 | 刚性管线变形报警值≤10mm | </w:t>
      </w:r>
      <w:r>
        <w:rPr>
          <w:b/>
        </w:rPr>
        <w:t xml:space="preserve">（M）</w:t>
      </w:r>
      <w:r>
        <w:t xml:space="preserve"> |</w:t>
      </w:r>
    </w:p>
    <w:p>
      <w:r>
        <w:t xml:space="preserve">| 7 | GB 50497 §6.2.1 | 开挖期间监测频率≥1次/天 | </w:t>
      </w:r>
      <w:r>
        <w:rPr>
          <w:b/>
        </w:rPr>
        <w:t xml:space="preserve">（M）</w:t>
      </w:r>
      <w:r>
        <w:t xml:space="preserve"> |</w:t>
      </w:r>
    </w:p>
    <w:p>
      <w:r>
        <w:t xml:space="preserve">| 8 | GB 50026 §4.3.1 | 二等水准闭合差±6√L mm | </w:t>
      </w:r>
      <w:r>
        <w:rPr>
          <w:b/>
        </w:rPr>
        <w:t xml:space="preserve">（M）</w:t>
      </w:r>
      <w:r>
        <w:t xml:space="preserve"> |</w:t>
      </w:r>
    </w:p>
    <w:p>
      <w:r>
        <w:t xml:space="preserve">| 9 | GB 50026 §5.1.1 | 导线角度闭合差限差 | </w:t>
      </w:r>
      <w:r>
        <w:rPr>
          <w:b/>
        </w:rPr>
        <w:t xml:space="preserve">（M）</w:t>
      </w:r>
      <w:r>
        <w:t xml:space="preserve"> |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rPr>
          <w:b/>
        </w:rPr>
        <w:t xml:space="preserve">第三章 监测目的与内容</w:t>
      </w:r>
    </w:p>
    <w:p/>
    <w:p>
      <w:pPr>
        <w:pStyle w:val="Heading3"/>
      </w:pPr>
      <w:r>
        <w:rPr>
          <w:b/>
        </w:rPr>
        <w:t xml:space="preserve">3.1 监测目的</w:t>
      </w:r>
    </w:p>
    <w:p/>
    <w:p>
      <w:pPr>
        <w:pStyle w:val="ListParagraph"/>
        <w:numPr>
          <w:ilvl w:val="0"/>
          <w:numId w:val="2"/>
        </w:numPr>
      </w:pPr>
      <w:r>
        <w:t xml:space="preserve">实时掌握顶管施工全过程中轨交3号线区间隧道的变形状态，确保运营安全</w:t>
      </w:r>
    </w:p>
    <w:p>
      <w:pPr>
        <w:pStyle w:val="ListParagraph"/>
        <w:numPr>
          <w:ilvl w:val="0"/>
          <w:numId w:val="2"/>
        </w:numPr>
      </w:pPr>
      <w:r>
        <w:t xml:space="preserve">监测顶管沿线地表及周边环境变形，及时预警并指导施工参数调整</w:t>
      </w:r>
    </w:p>
    <w:p>
      <w:pPr>
        <w:pStyle w:val="ListParagraph"/>
        <w:numPr>
          <w:ilvl w:val="0"/>
          <w:numId w:val="2"/>
        </w:numPr>
      </w:pPr>
      <w:r>
        <w:t xml:space="preserve">监测保护区内既有市政管线沉降与位移，确保管线安全运行</w:t>
      </w:r>
    </w:p>
    <w:p>
      <w:pPr>
        <w:pStyle w:val="ListParagraph"/>
        <w:numPr>
          <w:ilvl w:val="0"/>
          <w:numId w:val="2"/>
        </w:numPr>
      </w:pPr>
      <w:r>
        <w:t xml:space="preserve">监测邻近建（构）筑物的沉降与倾斜，保障建筑结构安全</w:t>
      </w:r>
    </w:p>
    <w:p>
      <w:pPr>
        <w:pStyle w:val="ListParagraph"/>
        <w:numPr>
          <w:ilvl w:val="0"/>
          <w:numId w:val="2"/>
        </w:numPr>
      </w:pPr>
      <w:r>
        <w:t xml:space="preserve">为顶管施工参数优化（顶进速度、注浆压力、注浆量等）提供数据支撑</w:t>
      </w:r>
    </w:p>
    <w:p/>
    <w:p>
      <w:pPr>
        <w:pStyle w:val="Heading3"/>
      </w:pPr>
      <w:r>
        <w:rPr>
          <w:b/>
        </w:rPr>
        <w:t xml:space="preserve">3.2 监测项目清单（10大类）</w:t>
      </w:r>
    </w:p>
    <w:p/>
    <w:p>
      <w:r>
        <w:t xml:space="preserve">依据 GB 50911 §5.1.2（M），本项目包含以下10类监测项目：</w:t>
      </w:r>
    </w:p>
    <w:p/>
    <w:p>
      <w:r>
        <w:t xml:space="preserve">| 序号 | 监测项目 | 监测对象 | 规范依据 |</w:t>
      </w:r>
    </w:p>
    <w:p>
      <w:r>
        <w:t xml:space="preserve">|------|---------|----------|----------|</w:t>
      </w:r>
    </w:p>
    <w:p>
      <w:r>
        <w:t xml:space="preserve">| 1 | 隧道道床/结构竖向位移（沉降） | 轨交区间隧道 | GB 50911 §5.1.2 |</w:t>
      </w:r>
    </w:p>
    <w:p>
      <w:r>
        <w:t xml:space="preserve">| 2 | 隧道结构水平位移 | 轨交区间隧道 | GB 50911 §5.1.2 |</w:t>
      </w:r>
    </w:p>
    <w:p>
      <w:r>
        <w:t xml:space="preserve">| 3 | 隧道管片收敛 | 轨交区间隧道 | GB 50911 §5.1.2 |</w:t>
      </w:r>
    </w:p>
    <w:p>
      <w:r>
        <w:t xml:space="preserve">| 4 | 联络通道差异沉降 | 轨交区间联络通道 | GB 50911 §5.1.2 |</w:t>
      </w:r>
    </w:p>
    <w:p>
      <w:r>
        <w:t xml:space="preserve">| 5 | 地表沉降 | 顶管沿线及影响区 | GB 50911 §5.1.2 |</w:t>
      </w:r>
    </w:p>
    <w:p>
      <w:r>
        <w:t xml:space="preserve">| 6 | 深层土体水平位移（测斜） | 轨交结构与顶管间土体 | GB 50497 §3.0.2 |</w:t>
      </w:r>
    </w:p>
    <w:p>
      <w:r>
        <w:t xml:space="preserve">| 7 | 地下水位变化 | 轨交结构两侧 | GB 50497 §3.0.2 |</w:t>
      </w:r>
    </w:p>
    <w:p>
      <w:r>
        <w:t xml:space="preserve">| 8 | 工作井/接收井围护监测 | 工作井与接收井 | GB 50497 §3.0.2 |</w:t>
      </w:r>
    </w:p>
    <w:p>
      <w:r>
        <w:t xml:space="preserve">| 9 | </w:t>
      </w:r>
      <w:r>
        <w:rPr>
          <w:b/>
        </w:rPr>
        <w:t xml:space="preserve">管线位移（沉降与水平位移）</w:t>
      </w:r>
      <w:r>
        <w:t xml:space="preserve"> | 保护区内既有市政管线 | </w:t>
      </w:r>
      <w:r>
        <w:rPr>
          <w:b/>
        </w:rPr>
        <w:t xml:space="preserve">GB 50911 §5.1.2（M）</w:t>
      </w:r>
      <w:r>
        <w:t xml:space="preserve"> |</w:t>
      </w:r>
    </w:p>
    <w:p>
      <w:r>
        <w:t xml:space="preserve">| 10 | </w:t>
      </w:r>
      <w:r>
        <w:rPr>
          <w:b/>
        </w:rPr>
        <w:t xml:space="preserve">邻近建筑物沉降与倾斜</w:t>
      </w:r>
      <w:r>
        <w:t xml:space="preserve"> | 保护区内邻近建（构）筑物 | </w:t>
      </w:r>
      <w:r>
        <w:rPr>
          <w:b/>
        </w:rPr>
        <w:t xml:space="preserve">GB 50911 §5.1.2（M）</w:t>
      </w:r>
      <w:r>
        <w:t xml:space="preserve"> |</w:t>
      </w:r>
    </w:p>
    <w:p/>
    <w:p>
      <w:pPr>
        <w:ind w:left="720"/>
      </w:pPr>
      <w:r>
        <w:rPr>
          <w:i/>
        </w:rPr>
        <w:t xml:space="preserve">**重要说明**：若现场踏勘确认保护区内无建筑物或管线，须出具专项情况说明，经业主单位和设计单位书面确认后方可删减对应监测项目。</w:t>
      </w:r>
    </w:p>
    <w:p/>
    <w:p>
      <w:pPr>
        <w:pStyle w:val="Heading3"/>
      </w:pPr>
      <w:r>
        <w:rPr>
          <w:b/>
        </w:rPr>
        <w:t xml:space="preserve">3.3 结构影响等级判定</w:t>
      </w:r>
    </w:p>
    <w:p/>
    <w:p>
      <w:r>
        <w:t xml:space="preserve">依据 </w:t>
      </w:r>
      <w:r>
        <w:rPr>
          <w:b/>
        </w:rPr>
        <w:t xml:space="preserve">CJJ/T 202-2013 第4章</w:t>
      </w:r>
      <w:r>
        <w:t xml:space="preserve">：</w:t>
      </w:r>
    </w:p>
    <w:p/>
    <w:p>
      <w:r>
        <w:t xml:space="preserve">| 判定参数 | 数值 | 分区判断 |</w:t>
      </w:r>
    </w:p>
    <w:p>
      <w:r>
        <w:t xml:space="preserve">|----------|------|----------|</w:t>
      </w:r>
    </w:p>
    <w:p>
      <w:r>
        <w:t xml:space="preserve">| 顶管底与隧道拱顶最小竖向净距 | 约4.2m | 非常接近 |</w:t>
      </w:r>
    </w:p>
    <w:p>
      <w:r>
        <w:t xml:space="preserve">| 工作井距轨交结构外边线 | 约18m | 较接近（二级保护区内） |</w:t>
      </w:r>
    </w:p>
    <w:p/>
    <w:p>
      <w:r>
        <w:t xml:space="preserve">综合影响等级预判定：</w:t>
      </w:r>
    </w:p>
    <w:p>
      <w:pPr>
        <w:pStyle w:val="ListParagraph"/>
        <w:numPr>
          <w:ilvl w:val="0"/>
          <w:numId w:val="1"/>
        </w:numPr>
      </w:pPr>
      <w:r>
        <w:t xml:space="preserve">顶管与隧道正穿段：**一级影响区**（控制值取偏严）</w:t>
      </w:r>
    </w:p>
    <w:p>
      <w:pPr>
        <w:pStyle w:val="ListParagraph"/>
        <w:numPr>
          <w:ilvl w:val="0"/>
          <w:numId w:val="1"/>
        </w:numPr>
      </w:pPr>
      <w:r>
        <w:t xml:space="preserve">邻近隧道段（两侧各10~20m）：**二级影响区**</w:t>
      </w:r>
    </w:p>
    <w:p>
      <w:pPr>
        <w:pStyle w:val="ListParagraph"/>
        <w:numPr>
          <w:ilvl w:val="0"/>
          <w:numId w:val="1"/>
        </w:numPr>
      </w:pPr>
      <w:r>
        <w:t xml:space="preserve">工作井/接收井区域：**三级影响区**</w:t>
      </w:r>
    </w:p>
    <w:p/>
    <w:p>
      <w:pPr>
        <w:ind w:left="720"/>
      </w:pPr>
      <w:r>
        <w:rPr>
          <w:i/>
        </w:rPr>
        <w:t xml:space="preserve">最终影响等级须经设计单位复算后书面确认。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rPr>
          <w:b/>
        </w:rPr>
        <w:t xml:space="preserve">第四章 测点布设方案</w:t>
      </w:r>
    </w:p>
    <w:p/>
    <w:p>
      <w:pPr>
        <w:pStyle w:val="Heading3"/>
      </w:pPr>
      <w:r>
        <w:rPr>
          <w:b/>
        </w:rPr>
        <w:t xml:space="preserve">4.1 测点数量汇总</w:t>
      </w:r>
    </w:p>
    <w:p/>
    <w:p>
      <w:r>
        <w:t xml:space="preserve">| 序号 | 监测项目 | 测点数量 | 仪器类型 |</w:t>
      </w:r>
    </w:p>
    <w:p>
      <w:r>
        <w:t xml:space="preserve">|------|---------|----------|----------|</w:t>
      </w:r>
    </w:p>
    <w:p>
      <w:r>
        <w:t xml:space="preserve">| 1 | 隧道道床/结构竖向位移 | 32点 | 静力水准仪+精密水准复核 |</w:t>
      </w:r>
    </w:p>
    <w:p>
      <w:r>
        <w:t xml:space="preserve">| 2 | 隧道结构水平位移 | 20点 | 自动化全站仪（测量机器人） |</w:t>
      </w:r>
    </w:p>
    <w:p>
      <w:r>
        <w:t xml:space="preserve">| 3 | 隧道管片收敛 | 24断面 | 激光测距收敛计 |</w:t>
      </w:r>
    </w:p>
    <w:p>
      <w:r>
        <w:t xml:space="preserve">| 4 | 联络通道差异沉降 | 4点 | 静力水准仪 |</w:t>
      </w:r>
    </w:p>
    <w:p>
      <w:r>
        <w:t xml:space="preserve">| 5 | 地表沉降 | 75点 | 精密水准仪 |</w:t>
      </w:r>
    </w:p>
    <w:p>
      <w:r>
        <w:t xml:space="preserve">| 6 | 深层土体水平位移 | 4孔 | 伺服加速度计式测斜仪 |</w:t>
      </w:r>
    </w:p>
    <w:p>
      <w:r>
        <w:t xml:space="preserve">| 7 | 地下水位变化 | 6口 | 投入式水位计 |</w:t>
      </w:r>
    </w:p>
    <w:p>
      <w:r>
        <w:t xml:space="preserve">| 8 | 工作井/接收井监测 | 28点 | 全站仪+水准仪 |</w:t>
      </w:r>
    </w:p>
    <w:p>
      <w:r>
        <w:t xml:space="preserve">| 9 | 管线位移 | 30点 | 精密水准仪+全站仪 |</w:t>
      </w:r>
    </w:p>
    <w:p>
      <w:r>
        <w:t xml:space="preserve">| 10 | 邻近建筑物沉降与倾斜 | 28点 | 精密水准仪+全站仪 |</w:t>
      </w:r>
    </w:p>
    <w:p>
      <w:r>
        <w:t xml:space="preserve">| </w:t>
      </w:r>
      <w:r>
        <w:rPr>
          <w:b/>
        </w:rPr>
        <w:t xml:space="preserve">合计</w:t>
      </w:r>
      <w:r>
        <w:t xml:space="preserve"> | | </w:t>
      </w:r>
      <w:r>
        <w:rPr>
          <w:b/>
        </w:rPr>
        <w:t xml:space="preserve">≈251点/断面</w:t>
      </w:r>
      <w:r>
        <w:t xml:space="preserve"> | |</w:t>
      </w:r>
    </w:p>
    <w:p/>
    <w:p>
      <w:pPr>
        <w:pStyle w:val="Heading3"/>
      </w:pPr>
      <w:r>
        <w:rPr>
          <w:b/>
        </w:rPr>
        <w:t xml:space="preserve">4.2 基准点布设</w:t>
      </w:r>
    </w:p>
    <w:p/>
    <w:p>
      <w:pPr>
        <w:pStyle w:val="ListParagraph"/>
        <w:numPr>
          <w:ilvl w:val="0"/>
          <w:numId w:val="1"/>
        </w:numPr>
      </w:pPr>
      <w:r>
        <w:t xml:space="preserve">**高程基准点**：≥3个，闭合水准路线，影响区外稳定地层（JGJ 8 §4.1.3）</w:t>
      </w:r>
    </w:p>
    <w:p>
      <w:pPr>
        <w:pStyle w:val="ListParagraph"/>
        <w:numPr>
          <w:ilvl w:val="0"/>
          <w:numId w:val="1"/>
        </w:numPr>
      </w:pPr>
      <w:r>
        <w:t xml:space="preserve">**平面基准点**：≥3个，强制对中观测墩，附合宁波城市坐标系</w:t>
      </w:r>
    </w:p>
    <w:p>
      <w:pPr>
        <w:pStyle w:val="ListParagraph"/>
        <w:numPr>
          <w:ilvl w:val="0"/>
          <w:numId w:val="1"/>
        </w:numPr>
      </w:pPr>
      <w:r>
        <w:t xml:space="preserve">**工作基点**：隧道内+地表影响区边缘，至少每月复测1次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rPr>
          <w:b/>
        </w:rPr>
        <w:t xml:space="preserve">第五章 仪器设备</w:t>
      </w:r>
    </w:p>
    <w:p/>
    <w:p>
      <w:pPr>
        <w:pStyle w:val="Heading3"/>
      </w:pPr>
      <w:r>
        <w:rPr>
          <w:b/>
        </w:rPr>
        <w:t xml:space="preserve">5.1 变形测量等级声明</w:t>
      </w:r>
    </w:p>
    <w:p/>
    <w:p>
      <w:r>
        <w:t xml:space="preserve">依据 </w:t>
      </w:r>
      <w:r>
        <w:rPr>
          <w:b/>
        </w:rPr>
        <w:t xml:space="preserve">JGJ 8-2016 §3.0.2</w:t>
      </w:r>
      <w:r>
        <w:t xml:space="preserve">，本项目采用 </w:t>
      </w:r>
      <w:r>
        <w:rPr>
          <w:b/>
        </w:rPr>
        <w:t xml:space="preserve">二等变形测量</w:t>
      </w:r>
      <w:r>
        <w:t xml:space="preserve"> 等级。</w:t>
      </w:r>
    </w:p>
    <w:p>
      <w:r>
        <w:t xml:space="preserve">依据 </w:t>
      </w:r>
      <w:r>
        <w:rPr>
          <w:b/>
        </w:rPr>
        <w:t xml:space="preserve">GB 50026-2020 §4.3.1（M）</w:t>
      </w:r>
      <w:r>
        <w:t xml:space="preserve">，高程控制网闭合差限差为</w:t>
      </w:r>
      <w:r>
        <w:rPr>
          <w:b/>
        </w:rPr>
        <w:t xml:space="preserve">±6√L mm</w:t>
      </w:r>
      <w:r>
        <w:t xml:space="preserve">（L为路线长度，km）。</w:t>
      </w:r>
    </w:p>
    <w:p>
      <w:r>
        <w:t xml:space="preserve">竖向位移高程中误差 ≤ </w:t>
      </w:r>
      <w:r>
        <w:rPr>
          <w:b/>
        </w:rPr>
        <w:t xml:space="preserve">±0.5mm</w:t>
      </w:r>
      <w:r>
        <w:t xml:space="preserve">，水平位移点位中误差 ≤ </w:t>
      </w:r>
      <w:r>
        <w:rPr>
          <w:b/>
        </w:rPr>
        <w:t xml:space="preserve">±2.0mm</w:t>
      </w:r>
      <w:r>
        <w:t xml:space="preserve">。</w:t>
      </w:r>
    </w:p>
    <w:p/>
    <w:p>
      <w:pPr>
        <w:pStyle w:val="Heading3"/>
      </w:pPr>
      <w:r>
        <w:rPr>
          <w:b/>
        </w:rPr>
        <w:t xml:space="preserve">5.2 主要仪器设备</w:t>
      </w:r>
    </w:p>
    <w:p/>
    <w:p>
      <w:r>
        <w:t xml:space="preserve">| 序号 | 设备 | 型号建议 | 精度 | 数量 |</w:t>
      </w:r>
    </w:p>
    <w:p>
      <w:r>
        <w:t xml:space="preserve">|------|------|---------|------|------|</w:t>
      </w:r>
    </w:p>
    <w:p>
      <w:r>
        <w:t xml:space="preserve">| 1 | 自动化全站仪 | 徕卡TS60/天宝S9 | 测角≤0.5″，测距≤0.6mm+1ppm | 2台 |</w:t>
      </w:r>
    </w:p>
    <w:p>
      <w:r>
        <w:t xml:space="preserve">| 2 | 精密水准仪 | 徕卡NA3003/天宝DiNi03 | ≤±0.3mm/km | 1台 |</w:t>
      </w:r>
    </w:p>
    <w:p>
      <w:r>
        <w:t xml:space="preserve">| 3 | 静力水准仪 | 基康BGK-4600 | ±0.1mm | 36台 |</w:t>
      </w:r>
    </w:p>
    <w:p>
      <w:r>
        <w:t xml:space="preserve">| 4 | 激光测距收敛计 | 基康BGK-4440 | ±0.2mm | 24台 |</w:t>
      </w:r>
    </w:p>
    <w:p>
      <w:r>
        <w:t xml:space="preserve">| 5 | 测斜仪 | 基康BGK-6000 | ±0.02mm/500mm | 4套 |</w:t>
      </w:r>
    </w:p>
    <w:p>
      <w:r>
        <w:t xml:space="preserve">| 6 | 投入式水位计 | 基康BGK-4500S | ±0.1%F.S | 6台 |</w:t>
      </w:r>
    </w:p>
    <w:p>
      <w:r>
        <w:t xml:space="preserve">| 7 | 轨检小车 | 安博格GRP5000 | 轨距±0.5mm | 1套 |</w:t>
      </w:r>
    </w:p>
    <w:p>
      <w:r>
        <w:t xml:space="preserve">| 8 | 裂缝测微仪 | 基康BGK-4420 | 0.02mm | 2~3台 |</w:t>
      </w:r>
    </w:p>
    <w:p>
      <w:r>
        <w:t xml:space="preserve">| 9 | 4G采集模块 | 有人USR-G780 | RS485/Modbus | 按需 |</w:t>
      </w:r>
    </w:p>
    <w:p>
      <w:r>
        <w:t xml:space="preserve">| 10 | 云监测平台 | 睿威智测RailWise V3.0 | 实时显示+超限推送 | 1套 |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rPr>
          <w:b/>
        </w:rPr>
        <w:t xml:space="preserve">第六章 控制值与预警分级</w:t>
      </w:r>
    </w:p>
    <w:p/>
    <w:p>
      <w:pPr>
        <w:pStyle w:val="Heading3"/>
      </w:pPr>
      <w:r>
        <w:rPr>
          <w:b/>
        </w:rPr>
        <w:t xml:space="preserve">6.1 三级预警体系</w:t>
      </w:r>
    </w:p>
    <w:p/>
    <w:p>
      <w:r>
        <w:t xml:space="preserve">采用"累计值 + 速率"双重触发条件。参照长三角地区城市轨道保护区监测行业惯例（以上海DG/TJ 08-2122等级体系为参照），建立以下预警标准：</w:t>
      </w:r>
    </w:p>
    <w:p/>
    <w:p>
      <w:r>
        <w:t xml:space="preserve">| 预警等级 | 累计值判定 | 速率判定 | 响应 |</w:t>
      </w:r>
    </w:p>
    <w:p>
      <w:r>
        <w:t xml:space="preserve">|----------|-----------|---------|------|</w:t>
      </w:r>
    </w:p>
    <w:p>
      <w:r>
        <w:t xml:space="preserve">| 🟡 黄色预警 | ≥控制值70% | 连续3日速率&gt;控制速率70% | 加密至2~4次/天，通知施工/监理 |</w:t>
      </w:r>
    </w:p>
    <w:p>
      <w:r>
        <w:t xml:space="preserve">| 🟠 橙色报警 | ≥控制值85% | 单日速率&gt;控制速率100% | 暂停顶进，上报业主/运营方 |</w:t>
      </w:r>
    </w:p>
    <w:p>
      <w:r>
        <w:t xml:space="preserve">| 🔴 红色报警 | ≥控制值100% | — | 立即停工，启动应急预案 |</w:t>
      </w:r>
    </w:p>
    <w:p/>
    <w:p>
      <w:pPr>
        <w:pStyle w:val="Heading3"/>
      </w:pPr>
      <w:r>
        <w:rPr>
          <w:b/>
        </w:rPr>
        <w:t xml:space="preserve">6.2 控制值一览表</w:t>
      </w:r>
    </w:p>
    <w:p/>
    <w:p>
      <w:r>
        <w:t xml:space="preserve">| 序号 | 监测项目 | 黄色(70%) | 橙色(85%) | 红色(100%) | 日速率 | 取值依据 |</w:t>
      </w:r>
    </w:p>
    <w:p>
      <w:r>
        <w:t xml:space="preserve">|------|---------|-----------|-----------|-----------|--------|----------|</w:t>
      </w:r>
    </w:p>
    <w:p>
      <w:r>
        <w:t xml:space="preserve">| 1 | 隧道沉降 | ±7.0mm | ±8.5mm | </w:t>
      </w:r>
      <w:r>
        <w:rPr>
          <w:b/>
        </w:rPr>
        <w:t xml:space="preserve">±10.0mm</w:t>
      </w:r>
      <w:r>
        <w:t xml:space="preserve"> | ±1.5mm/d | CJJ/T 202一级影响等级10~15mm；宁波软土取小值 |</w:t>
      </w:r>
    </w:p>
    <w:p>
      <w:r>
        <w:t xml:space="preserve">| 2 | 隧道水平位移 | ±7.0mm | ±8.5mm | </w:t>
      </w:r>
      <w:r>
        <w:rPr>
          <w:b/>
        </w:rPr>
        <w:t xml:space="preserve">±10.0mm</w:t>
      </w:r>
      <w:r>
        <w:t xml:space="preserve"> | ±1.0mm/d | 同上 |</w:t>
      </w:r>
    </w:p>
    <w:p>
      <w:r>
        <w:t xml:space="preserve">| 3 | 隧道收敛 | ±7.0mm | ±8.5mm | </w:t>
      </w:r>
      <w:r>
        <w:rPr>
          <w:b/>
        </w:rPr>
        <w:t xml:space="preserve">±10.0mm</w:t>
      </w:r>
      <w:r>
        <w:t xml:space="preserve"> | ±1.0mm/d | CJJ/T 202；宁波软土取小值 |</w:t>
      </w:r>
    </w:p>
    <w:p>
      <w:r>
        <w:t xml:space="preserve">| 4 | 联络通道差异沉降 | ±4.0mm | ±6.0mm | </w:t>
      </w:r>
      <w:r>
        <w:rPr>
          <w:b/>
        </w:rPr>
        <w:t xml:space="preserve">±8.0mm</w:t>
      </w:r>
      <w:r>
        <w:t xml:space="preserve"> | ±0.5mm/d | CJJ/T 202+工程经验 |</w:t>
      </w:r>
    </w:p>
    <w:p>
      <w:r>
        <w:t xml:space="preserve">| 5 | 地表沉降 | ±15.0mm | ±20.0mm | </w:t>
      </w:r>
      <w:r>
        <w:rPr>
          <w:b/>
        </w:rPr>
        <w:t xml:space="preserve">±25.0mm</w:t>
      </w:r>
      <w:r>
        <w:t xml:space="preserve"> | ±2.0mm/d | GB 50497§5.0.3参照，宁波软土从严 |</w:t>
      </w:r>
    </w:p>
    <w:p>
      <w:r>
        <w:t xml:space="preserve">| 6 | 地表隆起 | +9.0mm | +12.0mm | </w:t>
      </w:r>
      <w:r>
        <w:rPr>
          <w:b/>
        </w:rPr>
        <w:t xml:space="preserve">+15.0mm</w:t>
      </w:r>
      <w:r>
        <w:t xml:space="preserve"> | +1.5mm/d | 宁波软土经验值 |</w:t>
      </w:r>
    </w:p>
    <w:p>
      <w:r>
        <w:t xml:space="preserve">| 7 | </w:t>
      </w:r>
      <w:r>
        <w:rPr>
          <w:b/>
        </w:rPr>
        <w:t xml:space="preserve">刚性管线沉降</w:t>
      </w:r>
      <w:r>
        <w:t xml:space="preserve"> | ±6.0mm | ±8.0mm | </w:t>
      </w:r>
      <w:r>
        <w:rPr>
          <w:b/>
        </w:rPr>
        <w:t xml:space="preserve">±10.0mm</w:t>
      </w:r>
      <w:r>
        <w:t xml:space="preserve"> | ±1.0mm/d | </w:t>
      </w:r>
      <w:r>
        <w:rPr>
          <w:b/>
        </w:rPr>
        <w:t xml:space="preserve">GB 50497§5.0.3（M）</w:t>
      </w:r>
      <w:r>
        <w:t xml:space="preserve"> |</w:t>
      </w:r>
    </w:p>
    <w:p>
      <w:r>
        <w:t xml:space="preserve">| 8 | 柔性管线沉降 | ±12.0mm | ±16.0mm | </w:t>
      </w:r>
      <w:r>
        <w:rPr>
          <w:b/>
        </w:rPr>
        <w:t xml:space="preserve">±20.0mm</w:t>
      </w:r>
      <w:r>
        <w:t xml:space="preserve"> | ±2.0mm/d | 设计确认经验值 |</w:t>
      </w:r>
    </w:p>
    <w:p>
      <w:r>
        <w:t xml:space="preserve">| 9 | 建筑物沉降 | ±10.0mm | ±15.0mm | </w:t>
      </w:r>
      <w:r>
        <w:rPr>
          <w:b/>
        </w:rPr>
        <w:t xml:space="preserve">±20.0mm</w:t>
      </w:r>
      <w:r>
        <w:t xml:space="preserve"> | ±2.0mm/d | JGJ 8§5.5.1；GB 50497参照 |</w:t>
      </w:r>
    </w:p>
    <w:p>
      <w:r>
        <w:t xml:space="preserve">| 10 | 建筑物倾斜 | 1/500 | 1/350 | </w:t>
      </w:r>
      <w:r>
        <w:rPr>
          <w:b/>
        </w:rPr>
        <w:t xml:space="preserve">H/250</w:t>
      </w:r>
      <w:r>
        <w:t xml:space="preserve"> | — | JGJ 8§5.5.1 |</w:t>
      </w:r>
    </w:p>
    <w:p>
      <w:r>
        <w:t xml:space="preserve">| 11 | 深层土体水平位移 | ±15.0mm | ±20.0mm | </w:t>
      </w:r>
      <w:r>
        <w:rPr>
          <w:b/>
        </w:rPr>
        <w:t xml:space="preserve">±25.0mm</w:t>
      </w:r>
      <w:r>
        <w:t xml:space="preserve"> | ±2.0mm/d | GB 50497§5.0.1参照 |</w:t>
      </w:r>
    </w:p>
    <w:p>
      <w:r>
        <w:t xml:space="preserve">| 12 | 轨距 | ±1.4mm | ±1.7mm | </w:t>
      </w:r>
      <w:r>
        <w:rPr>
          <w:b/>
        </w:rPr>
        <w:t xml:space="preserve">±2.0mm</w:t>
      </w:r>
      <w:r>
        <w:t xml:space="preserve"> | — | 轨道维护标准 |</w:t>
      </w:r>
    </w:p>
    <w:p>
      <w:r>
        <w:t xml:space="preserve">| 13 | 轨道高低（10m弦） | ±2.8mm | ±3.4mm | </w:t>
      </w:r>
      <w:r>
        <w:rPr>
          <w:b/>
        </w:rPr>
        <w:t xml:space="preserve">±4.0mm</w:t>
      </w:r>
      <w:r>
        <w:t xml:space="preserve"> | — | 轨道维护标准 |</w:t>
      </w:r>
    </w:p>
    <w:p/>
    <w:p>
      <w:pPr>
        <w:ind w:left="720"/>
      </w:pPr>
      <w:r>
        <w:rPr>
          <w:i/>
        </w:rPr>
        <w:t xml:space="preserve">**最终控制值须经设计单位根据CJJ/T 202影响等级复核后书面确认。**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rPr>
          <w:b/>
        </w:rPr>
        <w:t xml:space="preserve">第七章 监测频率</w:t>
      </w:r>
    </w:p>
    <w:p/>
    <w:p>
      <w:pPr>
        <w:pStyle w:val="Heading3"/>
      </w:pPr>
      <w:r>
        <w:rPr>
          <w:b/>
        </w:rPr>
        <w:t xml:space="preserve">7.1 总则</w:t>
      </w:r>
    </w:p>
    <w:p/>
    <w:p>
      <w:r>
        <w:t xml:space="preserve">依据 </w:t>
      </w:r>
      <w:r>
        <w:rPr>
          <w:b/>
        </w:rPr>
        <w:t xml:space="preserve">GB 50911 §5.4.1（M）</w:t>
      </w:r>
      <w:r>
        <w:t xml:space="preserve">，施工关键阶段监测频率</w:t>
      </w:r>
      <w:r>
        <w:rPr>
          <w:b/>
        </w:rPr>
        <w:t xml:space="preserve">不应低于1次/天</w:t>
      </w:r>
      <w:r>
        <w:t xml:space="preserve">。本方案在正穿段将自动化频率提升至</w:t>
      </w:r>
      <w:r>
        <w:rPr>
          <w:b/>
        </w:rPr>
        <w:t xml:space="preserve">1次/小时（24次/天）</w:t>
      </w:r>
      <w:r>
        <w:t xml:space="preserve">，远超规范最低要求。</w:t>
      </w:r>
    </w:p>
    <w:p/>
    <w:p>
      <w:pPr>
        <w:pStyle w:val="Heading3"/>
      </w:pPr>
      <w:r>
        <w:rPr>
          <w:b/>
        </w:rPr>
        <w:t xml:space="preserve">7.2 频率表</w:t>
      </w:r>
    </w:p>
    <w:p/>
    <w:p>
      <w:r>
        <w:t xml:space="preserve">| 施工阶段 | 自动化 | 人工校核 | 地表/管线/建筑 | 测斜/水位 | 达报警后 |</w:t>
      </w:r>
    </w:p>
    <w:p>
      <w:r>
        <w:t xml:space="preserve">|----------|--------|----------|---------------|----------|----------|</w:t>
      </w:r>
    </w:p>
    <w:p>
      <w:r>
        <w:t xml:space="preserve">| 初始值采集 | 6次/天×3天 | 2次/天×3天 | 2次/天×3天 | 1次/天×3天 | — |</w:t>
      </w:r>
    </w:p>
    <w:p>
      <w:r>
        <w:t xml:space="preserve">| 始发段（18m~10m） | 6次/天 | 2次/天 | 1次/天 | 1次/天 | 加密至 2~4次/天 |</w:t>
      </w:r>
    </w:p>
    <w:p>
      <w:r>
        <w:t xml:space="preserve">| 接近段（10m~5m） | 12次/天 | 2次/天 | 2次/天 | 1次/天 | 加密至 4~6次/天 |</w:t>
      </w:r>
    </w:p>
    <w:p>
      <w:r>
        <w:t xml:space="preserve">| ★</w:t>
      </w:r>
      <w:r>
        <w:rPr>
          <w:b/>
        </w:rPr>
        <w:t xml:space="preserve">正穿段（≤10m）</w:t>
      </w:r>
      <w:r>
        <w:t xml:space="preserve"> | </w:t>
      </w:r>
      <w:r>
        <w:rPr>
          <w:b/>
        </w:rPr>
        <w:t xml:space="preserve">24次/天</w:t>
      </w:r>
      <w:r>
        <w:t xml:space="preserve"> | </w:t>
      </w:r>
      <w:r>
        <w:rPr>
          <w:b/>
        </w:rPr>
        <w:t xml:space="preserve">2次/天</w:t>
      </w:r>
      <w:r>
        <w:t xml:space="preserve"> | </w:t>
      </w:r>
      <w:r>
        <w:rPr>
          <w:b/>
        </w:rPr>
        <w:t xml:space="preserve">2次/天</w:t>
      </w:r>
      <w:r>
        <w:t xml:space="preserve"> | </w:t>
      </w:r>
      <w:r>
        <w:rPr>
          <w:b/>
        </w:rPr>
        <w:t xml:space="preserve">1次/天</w:t>
      </w:r>
      <w:r>
        <w:t xml:space="preserve"> | 2次/小时跟踪加密 |</w:t>
      </w:r>
    </w:p>
    <w:p>
      <w:r>
        <w:t xml:space="preserve">| 脱离段（5m~10m） | 12次/天 | 2次/天 | 2次/天 | 1次/天 | 维持至变形稳定 |</w:t>
      </w:r>
    </w:p>
    <w:p>
      <w:r>
        <w:t xml:space="preserve">| 远离段（10m~18m） | 6次/天 | 1次/天 | 1次/天 | 1次/2天 | 视情况恢复常规 |</w:t>
      </w:r>
    </w:p>
    <w:p>
      <w:r>
        <w:t xml:space="preserve">| 工后稳定期 | 4次/天→递减 | 1次/2天→递减 | 1次/2天→递减 | 1次/3天→递减 | 至收敛 |</w:t>
      </w:r>
    </w:p>
    <w:p/>
    <w:p>
      <w:pPr>
        <w:ind w:left="720"/>
      </w:pPr>
      <w:r>
        <w:rPr>
          <w:i/>
        </w:rPr>
        <w:t xml:space="preserve">★标注为满足且超过 GB 50911 §5.4.1 强制要求（≥1次/天）的关键阶段。正穿段自动化监测采用静力水准系统+全站仪机器人联合监测，数据经4G传输至睿威智测云平台，超限后报警推送响应时间≤5分钟。</w:t>
      </w:r>
    </w:p>
    <w:p/>
    <w:p>
      <w:pPr>
        <w:pStyle w:val="Heading3"/>
      </w:pPr>
      <w:r>
        <w:rPr>
          <w:b/>
        </w:rPr>
        <w:t xml:space="preserve">7.3 稳定判定标准</w:t>
      </w:r>
    </w:p>
    <w:p/>
    <w:p>
      <w:r>
        <w:t xml:space="preserve">最后100天沉降速率 &lt; </w:t>
      </w:r>
      <w:r>
        <w:rPr>
          <w:b/>
        </w:rPr>
        <w:t xml:space="preserve">0.04mm/d</w:t>
      </w:r>
      <w:r>
        <w:t xml:space="preserve"> 视为进入稳定阶段（JGJ 8 §5.1.1，淤泥质黏土取大值）。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rPr>
          <w:b/>
        </w:rPr>
        <w:t xml:space="preserve">第八章 数据处理与报告</w:t>
      </w:r>
    </w:p>
    <w:p/>
    <w:p>
      <w:pPr>
        <w:pStyle w:val="Heading3"/>
      </w:pPr>
      <w:r>
        <w:rPr>
          <w:b/>
        </w:rPr>
        <w:t xml:space="preserve">8.1 数据处理流程</w:t>
      </w:r>
    </w:p>
    <w:p/>
    <w:p>
      <w:r>
        <w:t xml:space="preserve">数据采集（自动化4G上传/人工当日录入）→ 数据校核（剔除粗差）→ 平差计算（严密平差）→ 变形分析（速率、累计量、趋势线）→ 关联分析（注浆压力-沉降、地表-隧道沉降空间关联）</w:t>
      </w:r>
    </w:p>
    <w:p/>
    <w:p>
      <w:pPr>
        <w:pStyle w:val="Heading3"/>
      </w:pPr>
      <w:r>
        <w:rPr>
          <w:b/>
        </w:rPr>
        <w:t xml:space="preserve">8.2 报告制度</w:t>
      </w:r>
    </w:p>
    <w:p/>
    <w:p>
      <w:r>
        <w:t xml:space="preserve">| 报告类型 | 周期 | 提交时限 | 提交对象 |</w:t>
      </w:r>
    </w:p>
    <w:p>
      <w:r>
        <w:t xml:space="preserve">|----------|------|----------|----------|</w:t>
      </w:r>
    </w:p>
    <w:p>
      <w:r>
        <w:t xml:space="preserve">| 监测日报 | 每日 | 次日9:00前 | 业主/施工/监理 |</w:t>
      </w:r>
    </w:p>
    <w:p>
      <w:r>
        <w:t xml:space="preserve">| 监测周报 | 每周 | 周一12:00前 | 业主/施工/监理/运营方 |</w:t>
      </w:r>
    </w:p>
    <w:p>
      <w:r>
        <w:t xml:space="preserve">| 穿越段专项报告 | 穿越完成后 | 3日内 | 业主/监理/运营方 |</w:t>
      </w:r>
    </w:p>
    <w:p>
      <w:r>
        <w:t xml:space="preserve">| 监测总结报告 | 跟踪期结束 | 15日内 | 业主/监理/运营方/档案馆 |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rPr>
          <w:b/>
        </w:rPr>
        <w:t xml:space="preserve">第九章 应急预案</w:t>
      </w:r>
    </w:p>
    <w:p/>
    <w:p>
      <w:pPr>
        <w:pStyle w:val="Heading3"/>
      </w:pPr>
      <w:r>
        <w:rPr>
          <w:b/>
        </w:rPr>
        <w:t xml:space="preserve">9.1 应急组织</w:t>
      </w:r>
    </w:p>
    <w:p/>
    <w:p>
      <w:r>
        <w:t xml:space="preserve">应急小组：总指挥（项目负责人）→ 数据分析组 → 现场监测组 → 联络协调组</w:t>
      </w:r>
    </w:p>
    <w:p/>
    <w:p>
      <w:pPr>
        <w:pStyle w:val="Heading3"/>
      </w:pPr>
      <w:r>
        <w:rPr>
          <w:b/>
        </w:rPr>
        <w:t xml:space="preserve">9.2 预警响应</w:t>
      </w:r>
    </w:p>
    <w:p/>
    <w:p>
      <w:pPr>
        <w:pStyle w:val="ListParagraph"/>
        <w:numPr>
          <w:ilvl w:val="0"/>
          <w:numId w:val="1"/>
        </w:numPr>
      </w:pPr>
      <w:r>
        <w:t xml:space="preserve">**黄色**：10分钟复核 → 30分钟通知施工/监理 → 加密监测</w:t>
      </w:r>
    </w:p>
    <w:p>
      <w:pPr>
        <w:pStyle w:val="ListParagraph"/>
        <w:numPr>
          <w:ilvl w:val="0"/>
          <w:numId w:val="1"/>
        </w:numPr>
      </w:pPr>
      <w:r>
        <w:t xml:space="preserve">**橙色**：暂停顶进 → 15分钟上报业主/运营方 → 现场分析会 → 2小时一报</w:t>
      </w:r>
    </w:p>
    <w:p>
      <w:pPr>
        <w:pStyle w:val="ListParagraph"/>
        <w:numPr>
          <w:ilvl w:val="0"/>
          <w:numId w:val="1"/>
        </w:numPr>
      </w:pPr>
      <w:r>
        <w:t xml:space="preserve">**红色**：立即停工 → 5分钟通知运营调度中心 → 评估限速/停运 → 1小时一报</w:t>
      </w:r>
    </w:p>
    <w:p/>
    <w:p>
      <w:pPr>
        <w:pStyle w:val="Heading3"/>
      </w:pPr>
      <w:r>
        <w:rPr>
          <w:b/>
        </w:rPr>
        <w:t xml:space="preserve">9.3 顶管专项应急</w:t>
      </w:r>
    </w:p>
    <w:p/>
    <w:p>
      <w:r>
        <w:t xml:space="preserve">| 风险场景 | 征兆 | 措施 |</w:t>
      </w:r>
    </w:p>
    <w:p>
      <w:r>
        <w:t xml:space="preserve">|----------|------|------|</w:t>
      </w:r>
    </w:p>
    <w:p>
      <w:r>
        <w:t xml:space="preserve">| 机头迎面失稳 | 水平位移骤增 | 停机，调整土/泥水压力 |</w:t>
      </w:r>
    </w:p>
    <w:p>
      <w:r>
        <w:t xml:space="preserve">| 注浆压力失控 | 隆起骤增、裂缝扩展 | 降压（建议≤0.3MPa），调注浆量 |</w:t>
      </w:r>
    </w:p>
    <w:p>
      <w:r>
        <w:t xml:space="preserve">| 地层损失过大 | 连续沉降 | 加大二次注浆，必要时停顶 |</w:t>
      </w:r>
    </w:p>
    <w:p>
      <w:r>
        <w:t xml:space="preserve">| 轨道几何超标 | 轨检数据超红线 | 限速/停运，紧急整修 |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rPr>
          <w:b/>
        </w:rPr>
        <w:t xml:space="preserve">第十章 质量保证</w:t>
      </w:r>
    </w:p>
    <w:p/>
    <w:p>
      <w:pPr>
        <w:pStyle w:val="ListParagraph"/>
        <w:numPr>
          <w:ilvl w:val="0"/>
          <w:numId w:val="2"/>
        </w:numPr>
      </w:pPr>
      <w:r>
        <w:t xml:space="preserve">**仪器管理**：在检定/校准有效期内，i角检校每班次≥1次（≤15″），2C互差每班次检校</w:t>
      </w:r>
    </w:p>
    <w:p>
      <w:pPr>
        <w:pStyle w:val="ListParagraph"/>
        <w:numPr>
          <w:ilvl w:val="0"/>
          <w:numId w:val="2"/>
        </w:numPr>
      </w:pPr>
      <w:r>
        <w:t xml:space="preserve">**人员管理**：持证上岗，二等水准和精密测量资质</w:t>
      </w:r>
    </w:p>
    <w:p>
      <w:pPr>
        <w:pStyle w:val="ListParagraph"/>
        <w:numPr>
          <w:ilvl w:val="0"/>
          <w:numId w:val="2"/>
        </w:numPr>
      </w:pPr>
      <w:r>
        <w:t xml:space="preserve">**数据管理**：测量-记录-复核三签制度，自动化与人工数据每月比对</w:t>
      </w:r>
    </w:p>
    <w:p>
      <w:pPr>
        <w:pStyle w:val="ListParagraph"/>
        <w:numPr>
          <w:ilvl w:val="0"/>
          <w:numId w:val="2"/>
        </w:numPr>
      </w:pPr>
      <w:r>
        <w:t xml:space="preserve">**基准点管理**：每月复测≥1次</w:t>
      </w:r>
    </w:p>
    <w:p/>
    <w:p>
      <w:pPr>
        <w:pStyle w:val="Heading3"/>
      </w:pPr>
      <w:r>
        <w:rPr>
          <w:b/>
        </w:rPr>
        <w:t xml:space="preserve">顶管风险专项：</w:t>
      </w:r>
    </w:p>
    <w:p>
      <w:pPr>
        <w:pStyle w:val="ListParagraph"/>
        <w:numPr>
          <w:ilvl w:val="0"/>
          <w:numId w:val="1"/>
        </w:numPr>
      </w:pPr>
      <w:r>
        <w:t xml:space="preserve">**始发与接收风险**：始发/接收段各30m按穿越段标准执行</w:t>
      </w:r>
    </w:p>
    <w:p>
      <w:pPr>
        <w:pStyle w:val="ListParagraph"/>
        <w:numPr>
          <w:ilvl w:val="0"/>
          <w:numId w:val="1"/>
        </w:numPr>
      </w:pPr>
      <w:r>
        <w:t xml:space="preserve">**注浆压力扰动**：严格控制≤0.3MPa，建立注浆-变形实时关联</w:t>
      </w:r>
    </w:p>
    <w:p>
      <w:pPr>
        <w:pStyle w:val="ListParagraph"/>
        <w:numPr>
          <w:ilvl w:val="0"/>
          <w:numId w:val="1"/>
        </w:numPr>
      </w:pPr>
      <w:r>
        <w:t xml:space="preserve">**地面隆起与沉降交替**：静力水准1h/次+双向变形分析</w:t>
      </w:r>
    </w:p>
    <w:p/>
    <w:p>
      <w:pPr>
        <w:pBdr>
          <w:bottom w:val="single" w:sz="6" w:space="1" w:color="auto"/>
        </w:pBdr>
      </w:pPr>
    </w:p>
    <w:p/>
    <w:p>
      <w:r>
        <w:rPr>
          <w:b/>
        </w:rPr>
        <w:t xml:space="preserve">编制单位</w:t>
      </w:r>
      <w:r>
        <w:t xml:space="preserve">：睿威智测（Railwise）</w:t>
      </w:r>
    </w:p>
    <w:p>
      <w:r>
        <w:rPr>
          <w:b/>
        </w:rPr>
        <w:t xml:space="preserve">编制人</w:t>
      </w:r>
      <w:r>
        <w:t xml:space="preserve">：______________ </w:t>
      </w:r>
      <w:r>
        <w:rPr>
          <w:b/>
        </w:rPr>
        <w:t xml:space="preserve">审核人</w:t>
      </w:r>
      <w:r>
        <w:t xml:space="preserve">：______________ </w:t>
      </w:r>
      <w:r>
        <w:rPr>
          <w:b/>
        </w:rPr>
        <w:t xml:space="preserve">批准人</w:t>
      </w:r>
      <w:r>
        <w:t xml:space="preserve">：______________</w:t>
      </w:r>
    </w:p>
    <w:p>
      <w:r>
        <w:rPr>
          <w:b/>
        </w:rPr>
        <w:t xml:space="preserve">日期</w:t>
      </w:r>
      <w:r>
        <w:t xml:space="preserve">：2026年5月</w:t>
      </w:r>
    </w:p>
    <w:p>
      <w:r>
        <w:rPr>
          <w:b/>
        </w:rPr>
        <w:t xml:space="preserve">QA终审状态</w:t>
      </w:r>
      <w:r>
        <w:t xml:space="preserve">：✅ 已通过规范合规终审</w:t>
      </w:r>
    </w:p>
    <w:p/>
    <w:sectPr>
      <w:pgSz w:w="11906" w:h="16838"/>
      <w:pgMar w:top="1440" w:right="1440" w:bottom="1440" w:left="1440" w:header="708" w:footer="708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720" w:hanging="360"/>
      </w:pPr>
    </w:lvl>
  </w:abstractNum>
  <w:abstractNum w:abstractNumId="1">
    <w:lvl w:ilvl="0">
      <w:numFmt w:val="decimal"/>
      <w:lvlText w:val="%1.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SimSun" w:hAnsi="SimSun" w:eastAsia="SimSun"/>
      <w:sz w:val="21"/>
    </w:rPr>
  </w:style>
  <w:style w:type="paragraph" w:styleId="Heading1">
    <w:name w:val="heading 1"/>
    <w:pPr>
      <w:spacing w:before="240" w:after="120"/>
    </w:pPr>
    <w:rPr>
      <w:rFonts w:ascii="SimHei" w:hAnsi="SimHei" w:eastAsia="SimHei"/>
      <w:b/>
      <w:sz w:val="32"/>
    </w:rPr>
  </w:style>
  <w:style w:type="paragraph" w:styleId="Heading2">
    <w:name w:val="heading 2"/>
    <w:pPr>
      <w:spacing w:before="200" w:after="100"/>
    </w:pPr>
    <w:rPr>
      <w:rFonts w:ascii="SimHei" w:hAnsi="SimHei" w:eastAsia="SimHei"/>
      <w:b/>
      <w:sz w:val="28"/>
    </w:rPr>
  </w:style>
  <w:style w:type="paragraph" w:styleId="Heading3">
    <w:name w:val="heading 3"/>
    <w:pPr>
      <w:spacing w:before="160" w:after="80"/>
    </w:pPr>
    <w:rPr>
      <w:rFonts w:ascii="SimHei" w:hAnsi="SimHei" w:eastAsia="SimHei"/>
      <w:b/>
      <w:sz w:val="24"/>
    </w:rPr>
  </w:style>
  <w:style w:type="paragraph" w:styleId="ListParagraph">
    <w:name w:val="List Paragraph"/>
    <w:pPr>
      <w:ind w:left="72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