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SheetsCRM</w:t>
      </w:r>
      <w:r>
        <w:t xml:space="preserve"> </w:t>
      </w:r>
      <w:r>
        <w:t xml:space="preserve">—</w:t>
      </w:r>
      <w:r>
        <w:t xml:space="preserve"> </w:t>
      </w:r>
      <w:r>
        <w:t xml:space="preserve">Tool</w:t>
      </w:r>
      <w:r>
        <w:t xml:space="preserve"> </w:t>
      </w:r>
      <w:r>
        <w:t xml:space="preserve">Adoption</w:t>
      </w:r>
      <w:r>
        <w:t xml:space="preserve"> </w:t>
      </w:r>
      <w:r>
        <w:t xml:space="preserve">&amp;</w:t>
      </w:r>
      <w:r>
        <w:t xml:space="preserve"> </w:t>
      </w:r>
      <w:r>
        <w:t xml:space="preserve">Salesforce</w:t>
      </w:r>
      <w:r>
        <w:t xml:space="preserve"> </w:t>
      </w:r>
      <w:r>
        <w:t xml:space="preserve">API</w:t>
      </w:r>
      <w:r>
        <w:t xml:space="preserve"> </w:t>
      </w:r>
      <w:r>
        <w:t xml:space="preserve">Access</w:t>
      </w:r>
      <w:r>
        <w:t xml:space="preserve"> </w:t>
      </w:r>
      <w:r>
        <w:t xml:space="preserve">Request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case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Coordinators</w:t>
      </w:r>
      <w:r>
        <w:t xml:space="preserve"> </w:t>
      </w:r>
      <w:r>
        <w:t xml:space="preserve">team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by</w:t>
      </w:r>
      <w:r>
        <w:t xml:space="preserve"> </w:t>
      </w:r>
      <w:r>
        <w:t xml:space="preserve">Robert</w:t>
      </w:r>
      <w:r>
        <w:t xml:space="preserve"> </w:t>
      </w:r>
      <w:r>
        <w:t xml:space="preserve">Raimondi</w:t>
      </w:r>
      <w:r>
        <w:t xml:space="preserve"> </w:t>
      </w:r>
      <w:r>
        <w:t xml:space="preserve">·</w:t>
      </w:r>
      <w:r>
        <w:t xml:space="preserve"> </w:t>
      </w:r>
      <w:r>
        <w:t xml:space="preserve">Market</w:t>
      </w:r>
      <w:r>
        <w:t xml:space="preserve"> </w:t>
      </w:r>
      <w:r>
        <w:t xml:space="preserve">Coordinators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28,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The Market Coordinators (MC) team manages host interactions today by moving manually between a Google intake form, its response spreadsheet, and Gmail. This works, but it is slow, error-prone, and offers no reliable way to track service-level agreements (SLAs) or report on team performance.</w:t>
      </w:r>
      <w:r>
        <w:t xml:space="preserve"> </w:t>
      </w:r>
      <w:r>
        <w:rPr>
          <w:b/>
        </w:rPr>
        <w:t xml:space="preserve">SheetsCRM is a lightweight tool that layers a proper case-management workflow on top of the exact same intake sheet the team already uses — and it is already built and in use.</w:t>
      </w:r>
    </w:p>
    <w:p>
      <w:pPr>
        <w:pStyle w:val="BodyText"/>
      </w:pPr>
      <w:r>
        <w:t xml:space="preserve">This document makes two requests. First, formal approval for the MC team to use SheetsCRM as its working tool. Second, scoped,</w:t>
      </w:r>
      <w:r>
        <w:t xml:space="preserve"> </w:t>
      </w:r>
      <w:r>
        <w:rPr>
          <w:b/>
        </w:rPr>
        <w:t xml:space="preserve">read-only</w:t>
      </w:r>
      <w:r>
        <w:t xml:space="preserve"> </w:t>
      </w:r>
      <w:r>
        <w:t xml:space="preserve">access to a small set of host and account data fields — delivered through the Salesforce API — so the tool can automatically resolve a host’s parent account, Market Manager, and market context from the host ID or email a requester already provides. Today that lookup is manual, which is where much of the team’s lost time and SLA-tracking difficulty originates.</w:t>
      </w:r>
    </w:p>
    <w:p>
      <w:pPr>
        <w:pStyle w:val="BlockText"/>
      </w:pPr>
      <w:r>
        <w:rPr>
          <w:b/>
        </w:rPr>
        <w:t xml:space="preserve">What we are asking decision makers to approve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Adoption</w:t>
      </w:r>
      <w:r>
        <w:t xml:space="preserve"> </w:t>
      </w:r>
      <w:r>
        <w:t xml:space="preserve">— endorse SheetsCRM as the MC team’s host-interaction workflow tool.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access</w:t>
      </w:r>
      <w:r>
        <w:t xml:space="preserve"> </w:t>
      </w:r>
      <w:r>
        <w:t xml:space="preserve">— grant scoped, read-only Salesforce API access to look up: host profile ID, Market Manager name, parent account association, and listing / market metadata.</w:t>
      </w:r>
    </w:p>
    <w:p>
      <w:pPr>
        <w:numPr>
          <w:ilvl w:val="0"/>
          <w:numId w:val="1001"/>
        </w:numPr>
        <w:pStyle w:val="Compact"/>
      </w:pPr>
      <w:r>
        <w:t xml:space="preserve">Nothing about the tool as currently built needs to change to grant this — the request is for access and sign-off,</w:t>
      </w:r>
      <w:r>
        <w:t xml:space="preserve"> </w:t>
      </w:r>
      <w:r>
        <w:rPr>
          <w:b/>
        </w:rPr>
        <w:t xml:space="preserve">not new development</w:t>
      </w:r>
      <w:r>
        <w:t xml:space="preserve">.</w:t>
      </w:r>
    </w:p>
    <w:p>
      <w:pPr>
        <w:pStyle w:val="Heading1"/>
      </w:pPr>
      <w:bookmarkStart w:id="21" w:name="requesting-team-and-business-unit"/>
      <w:r>
        <w:t xml:space="preserve">2. Requesting team and business unit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unit</w:t>
            </w:r>
          </w:p>
        </w:tc>
        <w:tc>
          <w:p>
            <w:pPr>
              <w:pStyle w:val="Compact"/>
              <w:jc w:val="left"/>
            </w:pPr>
            <w:r>
              <w:t xml:space="preserve">Market Operations — Market Coordinators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Requestor</w:t>
            </w:r>
          </w:p>
        </w:tc>
        <w:tc>
          <w:p>
            <w:pPr>
              <w:pStyle w:val="Compact"/>
              <w:jc w:val="left"/>
            </w:pPr>
            <w:r>
              <w:t xml:space="preserve">Robert Raimondi (robert.raimondi@ext.airbnb.com)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size</w:t>
            </w:r>
          </w:p>
        </w:tc>
        <w:tc>
          <w:p>
            <w:pPr>
              <w:pStyle w:val="Compact"/>
              <w:jc w:val="left"/>
            </w:pPr>
            <w:r>
              <w:t xml:space="preserve">Small team of fewer than 10 coordinators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Managing inbound host interactions and casework routed by Market Manager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Sponsor / approver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[To confirm — MC team lead / Market Operations leadership]</w:t>
            </w:r>
          </w:p>
        </w:tc>
      </w:tr>
    </w:tbl>
    <w:p>
      <w:pPr>
        <w:pStyle w:val="BodyText"/>
      </w:pPr>
      <w:r>
        <w:rPr>
          <w:i/>
        </w:rPr>
        <w:t xml:space="preserve">Note: The specific approving body is still being confirmed. This proposal is written to address the three groups whose sign-off is likely required — team / operations leadership, data &amp; privacy governance, and the platform team that owns the Salesforce API.</w:t>
      </w:r>
    </w:p>
    <w:p>
      <w:pPr>
        <w:pStyle w:val="Heading1"/>
      </w:pPr>
      <w:bookmarkStart w:id="22" w:name="the-problem-today"/>
      <w:r>
        <w:t xml:space="preserve">3. The problem today</w:t>
      </w:r>
      <w:bookmarkEnd w:id="22"/>
    </w:p>
    <w:p>
      <w:pPr>
        <w:pStyle w:val="FirstParagraph"/>
      </w:pPr>
      <w:r>
        <w:t xml:space="preserve">The MC team’s current process spans three disconnected surfaces: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Google intake form</w:t>
      </w:r>
      <w:r>
        <w:t xml:space="preserve"> </w:t>
      </w:r>
      <w:r>
        <w:t xml:space="preserve">— hosts and internal requesters submit requests.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Response spreadsheet</w:t>
      </w:r>
      <w:r>
        <w:t xml:space="preserve"> </w:t>
      </w:r>
      <w:r>
        <w:t xml:space="preserve">— each submission lands as a row that coordinators read and update by hand.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Gmail</w:t>
      </w:r>
      <w:r>
        <w:t xml:space="preserve"> </w:t>
      </w:r>
      <w:r>
        <w:t xml:space="preserve">— coordinators switch to email to correspond with hosts, then switch back to the sheet to record what happened.</w:t>
      </w:r>
    </w:p>
    <w:p>
      <w:pPr>
        <w:pStyle w:val="FirstParagraph"/>
      </w:pPr>
      <w:r>
        <w:t xml:space="preserve">Because these tools are not connected, the workflow carries structural costs: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context-switching</w:t>
            </w:r>
          </w:p>
        </w:tc>
        <w:tc>
          <w:p>
            <w:pPr>
              <w:pStyle w:val="Compact"/>
              <w:jc w:val="left"/>
            </w:pPr>
            <w:r>
              <w:t xml:space="preserve">Coordinators copy details between the sheet and Gmail for every interaction, losing time on low-value clerical work.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tracking is effectively manual</w:t>
            </w:r>
          </w:p>
        </w:tc>
        <w:tc>
          <w:p>
            <w:pPr>
              <w:pStyle w:val="Compact"/>
              <w:jc w:val="left"/>
            </w:pPr>
            <w:r>
              <w:t xml:space="preserve">There is no reliable, automatic measurement of response and resolution times against SLA targets. Breaches are noticed late or not at 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are hard to produce</w:t>
            </w:r>
          </w:p>
        </w:tc>
        <w:tc>
          <w:p>
            <w:pPr>
              <w:pStyle w:val="Compact"/>
              <w:jc w:val="left"/>
            </w:pPr>
            <w:r>
              <w:t xml:space="preserve">Volume, workload-by-Market-Manager, and quality reporting must be assembled by hand from the sheet, which is slow and inconsistent.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host / account matching</w:t>
            </w:r>
          </w:p>
        </w:tc>
        <w:tc>
          <w:p>
            <w:pPr>
              <w:pStyle w:val="Compact"/>
              <w:jc w:val="left"/>
            </w:pPr>
            <w:r>
              <w:t xml:space="preserve">Coordinators identify the host and their parent account by hand from an ID or email — time-consuming and prone to matching the wrong record.</w:t>
            </w:r>
          </w:p>
        </w:tc>
      </w:tr>
    </w:tbl>
    <w:p>
      <w:pPr>
        <w:pStyle w:val="BlockText"/>
      </w:pPr>
      <w:r>
        <w:rPr>
          <w:b/>
        </w:rPr>
        <w:t xml:space="preserve">Figures to confirm before circulation</w:t>
      </w:r>
    </w:p>
    <w:p>
      <w:pPr>
        <w:pStyle w:val="BlockText"/>
      </w:pPr>
      <w:r>
        <w:t xml:space="preserve">This proposal is strongest with concrete numbers. Please confirm / insert:</w:t>
      </w:r>
    </w:p>
    <w:p>
      <w:pPr>
        <w:numPr>
          <w:ilvl w:val="0"/>
          <w:numId w:val="1003"/>
        </w:numPr>
        <w:pStyle w:val="Compact"/>
      </w:pPr>
      <w:r>
        <w:t xml:space="preserve">Estimated hours per coordinator per week spent context-switching and on manual lookups.</w:t>
      </w:r>
    </w:p>
    <w:p>
      <w:pPr>
        <w:numPr>
          <w:ilvl w:val="0"/>
          <w:numId w:val="1003"/>
        </w:numPr>
        <w:pStyle w:val="Compact"/>
      </w:pPr>
      <w:r>
        <w:t xml:space="preserve">Case volume — intake submissions / host interactions per week or month.</w:t>
      </w:r>
    </w:p>
    <w:p>
      <w:pPr>
        <w:numPr>
          <w:ilvl w:val="0"/>
          <w:numId w:val="1003"/>
        </w:numPr>
        <w:pStyle w:val="Compact"/>
      </w:pPr>
      <w:r>
        <w:t xml:space="preserve">Current SLA target(s) and any known miss rate.</w:t>
      </w:r>
    </w:p>
    <w:p>
      <w:pPr>
        <w:pStyle w:val="Heading1"/>
      </w:pPr>
      <w:bookmarkStart w:id="23" w:name="the-proposed-solution-sheetscrm"/>
      <w:r>
        <w:t xml:space="preserve">4. The proposed solution: SheetsCRM</w:t>
      </w:r>
      <w:bookmarkEnd w:id="23"/>
    </w:p>
    <w:p>
      <w:pPr>
        <w:pStyle w:val="FirstParagraph"/>
      </w:pPr>
      <w:r>
        <w:t xml:space="preserve">SheetsCRM does not replace the team’s data — it</w:t>
      </w:r>
      <w:r>
        <w:t xml:space="preserve"> </w:t>
      </w:r>
      <w:r>
        <w:rPr>
          <w:b/>
        </w:rPr>
        <w:t xml:space="preserve">reads and writes the same intake spreadsheet the Google form already produces</w:t>
      </w:r>
      <w:r>
        <w:t xml:space="preserve">, and adds the case-management layer that is missing today. It is a local, single-operator application; there is no separate central server and no new customer-facing surface.</w:t>
      </w:r>
    </w:p>
    <w:p>
      <w:pPr>
        <w:pStyle w:val="BodyText"/>
      </w:pPr>
      <w:r>
        <w:t xml:space="preserve">Capabilities already built and in use: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Unified ticket view</w:t>
      </w:r>
      <w:r>
        <w:t xml:space="preserve"> </w:t>
      </w:r>
      <w:r>
        <w:t xml:space="preserve">— each intake row becomes a workable ticket with status, contact reason, notes, and history.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Gmail integration</w:t>
      </w:r>
      <w:r>
        <w:t xml:space="preserve"> </w:t>
      </w:r>
      <w:r>
        <w:t xml:space="preserve">— coordinators send and receive host email from inside the tool, so correspondence and case state stay together instead of being copied by hand.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Google Calendar integration</w:t>
      </w:r>
      <w:r>
        <w:t xml:space="preserve"> </w:t>
      </w:r>
      <w:r>
        <w:t xml:space="preserve">— upcoming events and reminders surface alongside cases.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SLA and business-hours tracking</w:t>
      </w:r>
      <w:r>
        <w:t xml:space="preserve"> </w:t>
      </w:r>
      <w:r>
        <w:t xml:space="preserve">— response and resolution timers run automatically against working hours and holidays.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Dashboards</w:t>
      </w:r>
      <w:r>
        <w:t xml:space="preserve"> </w:t>
      </w:r>
      <w:r>
        <w:t xml:space="preserve">— service, team, and quality/escalation metrics, including breakdowns by Market Manager, are computed automatically.</w:t>
      </w:r>
    </w:p>
    <w:p>
      <w:pPr>
        <w:pStyle w:val="FirstParagraph"/>
      </w:pPr>
      <w:r>
        <w:t xml:space="preserve">The one meaningful gap is data. Today the tool links to Salesforce only by constructing a search URL from a value in the sheet —</w:t>
      </w:r>
      <w:r>
        <w:t xml:space="preserve"> </w:t>
      </w:r>
      <w:r>
        <w:rPr>
          <w:b/>
        </w:rPr>
        <w:t xml:space="preserve">it makes no Salesforce API calls</w:t>
      </w:r>
      <w:r>
        <w:t xml:space="preserve">. Coordinators still open Salesforce manually to find the parent account behind a host. Closing that gap is the substance of the access request below.</w:t>
      </w:r>
    </w:p>
    <w:p>
      <w:pPr>
        <w:pStyle w:val="Heading1"/>
      </w:pPr>
      <w:bookmarkStart w:id="24" w:name="what-the-integration-entails"/>
      <w:r>
        <w:t xml:space="preserve">5. What the integration entails</w:t>
      </w:r>
      <w:bookmarkEnd w:id="24"/>
    </w:p>
    <w:p>
      <w:pPr>
        <w:pStyle w:val="FirstParagraph"/>
      </w:pPr>
      <w:r>
        <w:t xml:space="preserve">The requester already supplies a</w:t>
      </w:r>
      <w:r>
        <w:t xml:space="preserve"> </w:t>
      </w:r>
      <w:r>
        <w:rPr>
          <w:b/>
        </w:rPr>
        <w:t xml:space="preserve">host profile email and/or host ID</w:t>
      </w:r>
      <w:r>
        <w:t xml:space="preserve"> </w:t>
      </w:r>
      <w:r>
        <w:t xml:space="preserve">on the intake form. In many cases we therefore already hold the host ID. What we cannot do without access is take that identifier and look up the associated</w:t>
      </w:r>
      <w:r>
        <w:t xml:space="preserve"> </w:t>
      </w:r>
      <w:r>
        <w:rPr>
          <w:b/>
        </w:rPr>
        <w:t xml:space="preserve">parent account relationship</w:t>
      </w:r>
      <w:r>
        <w:t xml:space="preserve">, Market Manager, and market context. We are requesting scoped, read-only access to the Salesforce API to perform exactly that lookup.</w:t>
      </w:r>
    </w:p>
    <w:p>
      <w:pPr>
        <w:pStyle w:val="Heading2"/>
      </w:pPr>
      <w:bookmarkStart w:id="25" w:name="data-fields-requested-read-only"/>
      <w:r>
        <w:t xml:space="preserve">Data fields requested (read-only)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 profile ID</w:t>
            </w:r>
          </w:p>
        </w:tc>
        <w:tc>
          <w:p>
            <w:pPr>
              <w:pStyle w:val="Compact"/>
              <w:jc w:val="left"/>
            </w:pPr>
            <w:r>
              <w:t xml:space="preserve">Uniquely and reliably identify the host and link the interaction to the correct record instead of matching on name or email.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Manager name</w:t>
            </w:r>
          </w:p>
        </w:tc>
        <w:tc>
          <w:p>
            <w:pPr>
              <w:pStyle w:val="Compact"/>
              <w:jc w:val="left"/>
            </w:pPr>
            <w:r>
              <w:t xml:space="preserve">Attribute and route the case to the correct Market Manager; power the workload-by-MM reporting the team needs.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account association</w:t>
            </w:r>
          </w:p>
        </w:tc>
        <w:tc>
          <w:p>
            <w:pPr>
              <w:pStyle w:val="Compact"/>
              <w:jc w:val="left"/>
            </w:pPr>
            <w:r>
              <w:t xml:space="preserve">Group the host / listing under its parent account (e.g. property managers and multi-listing hosts) so coordinators see the full relationship, not a single listing.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Listing / market metadata</w:t>
            </w:r>
          </w:p>
        </w:tc>
        <w:tc>
          <w:p>
            <w:pPr>
              <w:pStyle w:val="Compact"/>
              <w:jc w:val="left"/>
            </w:pPr>
            <w:r>
              <w:t xml:space="preserve">Provide the market and listing context needed to handle and correctly categorize the interaction.</w:t>
            </w:r>
          </w:p>
        </w:tc>
      </w:tr>
    </w:tbl>
    <w:p>
      <w:pPr>
        <w:pStyle w:val="Heading2"/>
      </w:pPr>
      <w:bookmarkStart w:id="26" w:name="data-flow"/>
      <w:r>
        <w:t xml:space="preserve">Data flow</w:t>
      </w:r>
      <w:bookmarkEnd w:id="26"/>
    </w:p>
    <w:p>
      <w:pPr>
        <w:pStyle w:val="FirstParagraph"/>
      </w:pPr>
      <w:r>
        <w:t xml:space="preserve">Requester submits host ID / email on the intake form → SheetsCRM reads the row from the intake sheet → SheetsCRM queries the Salesforce API (read-only) for the fields above → the resolved account context is displayed to the coordinator and stored with the ticket.</w:t>
      </w:r>
    </w:p>
    <w:p>
      <w:pPr>
        <w:pStyle w:val="Heading2"/>
      </w:pPr>
      <w:bookmarkStart w:id="27" w:name="access-characteristics"/>
      <w:r>
        <w:t xml:space="preserve">Access characteristics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Read-only.</w:t>
      </w:r>
      <w:r>
        <w:t xml:space="preserve"> </w:t>
      </w:r>
      <w:r>
        <w:t xml:space="preserve">No writes back to Salesforce are requested; the integration only queries.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Least privilege.</w:t>
      </w:r>
      <w:r>
        <w:t xml:space="preserve"> </w:t>
      </w:r>
      <w:r>
        <w:t xml:space="preserve">Access is limited to the specific fields listed above, not broad account access.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Purpose-bound.</w:t>
      </w:r>
      <w:r>
        <w:t xml:space="preserve"> </w:t>
      </w:r>
      <w:r>
        <w:t xml:space="preserve">Lookups are triggered by an active MC case that already contains the host identifier the requester provided.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Auditable.</w:t>
      </w:r>
      <w:r>
        <w:t xml:space="preserve"> </w:t>
      </w:r>
      <w:r>
        <w:t xml:space="preserve">Case actions are recorded in the tool’s local event log, tied to the signed-in coordinator.</w:t>
      </w:r>
    </w:p>
    <w:p>
      <w:pPr>
        <w:pStyle w:val="Heading1"/>
      </w:pPr>
      <w:bookmarkStart w:id="28" w:name="business-case"/>
      <w:r>
        <w:t xml:space="preserve">6. Business case</w:t>
      </w:r>
      <w:bookmarkEnd w:id="28"/>
    </w:p>
    <w:p>
      <w:pPr>
        <w:pStyle w:val="FirstParagraph"/>
      </w:pPr>
      <w:r>
        <w:t xml:space="preserve">Approving adoption and granting the scoped access delivers value in four areas: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p>
            <w:pPr>
              <w:pStyle w:val="Compact"/>
              <w:jc w:val="left"/>
            </w:pPr>
            <w:r>
              <w:t xml:space="preserve">Eliminates manual context-switching between sheet and Gmail and removes manual host/account lookups — returning coordinator time to actual casework.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reliability</w:t>
            </w:r>
          </w:p>
        </w:tc>
        <w:tc>
          <w:p>
            <w:pPr>
              <w:pStyle w:val="Compact"/>
              <w:jc w:val="left"/>
            </w:pPr>
            <w:r>
              <w:t xml:space="preserve">Automatic, working-hours-aware SLA timers replace manual tracking, so breaches are visible in real time rather than discovered after the fact.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p>
            <w:pPr>
              <w:pStyle w:val="Compact"/>
              <w:jc w:val="left"/>
            </w:pPr>
            <w:r>
              <w:t xml:space="preserve">Volume, workload-by-Market-Manager, and quality metrics are produced automatically and consistently instead of hand-assembled.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Resolving the host and parent account from a definitive ID removes the risk of acting on the wrong record from a name/email match.</w:t>
            </w:r>
          </w:p>
        </w:tc>
      </w:tr>
    </w:tbl>
    <w:p>
      <w:pPr>
        <w:pStyle w:val="BodyText"/>
      </w:pPr>
      <w:r>
        <w:t xml:space="preserve">Cost to grant is low: the tool is already built, runs locally for a small team, and the request is for scoped read access rather than any new platform build. The main investment required from others is</w:t>
      </w:r>
      <w:r>
        <w:t xml:space="preserve"> </w:t>
      </w:r>
      <w:r>
        <w:rPr>
          <w:b/>
        </w:rPr>
        <w:t xml:space="preserve">the approval itself and the provisioning of read-only API access.</w:t>
      </w:r>
    </w:p>
    <w:p>
      <w:pPr>
        <w:pStyle w:val="Heading1"/>
      </w:pPr>
      <w:bookmarkStart w:id="29" w:name="data-governance-and-security"/>
      <w:r>
        <w:t xml:space="preserve">7. Data governance and security</w:t>
      </w:r>
      <w:bookmarkEnd w:id="29"/>
    </w:p>
    <w:p>
      <w:pPr>
        <w:pStyle w:val="FirstParagraph"/>
      </w:pPr>
      <w:r>
        <w:t xml:space="preserve">SheetsCRM has been documented against an engineering and security review. The posture relevant to a data-access decision is summarized below; the full reference is available on request.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posture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Local-first: a single operator process on a managed laptop (localhost). No public server and no new externally reachable surface.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Google Workspace OAuth for the signed-in coordinator; a Sheets-only service-account fallback with no Gmail/Calendar scope.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minimization</w:t>
            </w:r>
          </w:p>
        </w:tc>
        <w:tc>
          <w:p>
            <w:pPr>
              <w:pStyle w:val="Compact"/>
              <w:jc w:val="left"/>
            </w:pPr>
            <w:r>
              <w:t xml:space="preserve">The integration would request only the specific read-only fields listed in Section 5 — least privilege by design.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p>
            <w:pPr>
              <w:pStyle w:val="Compact"/>
              <w:jc w:val="left"/>
            </w:pPr>
            <w:r>
              <w:t xml:space="preserve">Case overlay data is stored locally; operators run on encrypted, managed devices. Sensitive email content stays on the operator’s machine.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A local event log records case actions against the signed-in coordinator; this can be extended as governance requires.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 handling</w:t>
            </w:r>
          </w:p>
        </w:tc>
        <w:tc>
          <w:p>
            <w:pPr>
              <w:pStyle w:val="Compact"/>
              <w:jc w:val="left"/>
            </w:pPr>
            <w:r>
              <w:t xml:space="preserve">The tool handles host contact data under the same access the coordinator already has in Gmail and Sheets. The Salesforce lookup does not broaden who can see the data — it automates a lookup a coordinator performs manually now.</w:t>
            </w:r>
          </w:p>
        </w:tc>
      </w:tr>
    </w:tbl>
    <w:p>
      <w:pPr>
        <w:pStyle w:val="BlockText"/>
      </w:pPr>
      <w:r>
        <w:rPr>
          <w:b/>
        </w:rPr>
        <w:t xml:space="preserve">Net privacy position</w:t>
      </w:r>
    </w:p>
    <w:p>
      <w:pPr>
        <w:pStyle w:val="BlockText"/>
      </w:pPr>
      <w:r>
        <w:t xml:space="preserve">The requested access does not expose any data a coordinator cannot already reach manually in Salesforce today. It replaces a manual, error-prone lookup with a scoped, read-only, auditable one — a governance improvement, not a new exposure.</w:t>
      </w:r>
    </w:p>
    <w:p>
      <w:pPr>
        <w:pStyle w:val="Heading1"/>
      </w:pPr>
      <w:bookmarkStart w:id="30" w:name="proposed-rollout"/>
      <w:r>
        <w:t xml:space="preserve">8. Proposed rollout</w:t>
      </w:r>
      <w:bookmarkEnd w:id="30"/>
    </w:p>
    <w:p>
      <w:pPr>
        <w:pStyle w:val="FirstParagraph"/>
      </w:pPr>
      <w:r>
        <w:t xml:space="preserve">A low-risk, staged path keeps the ask small and reversible: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Approve</w:t>
            </w:r>
          </w:p>
        </w:tc>
        <w:tc>
          <w:p>
            <w:pPr>
              <w:pStyle w:val="Compact"/>
              <w:jc w:val="left"/>
            </w:pPr>
            <w:r>
              <w:t xml:space="preserve">Endorse tool adoption for the MC team.</w:t>
            </w:r>
          </w:p>
        </w:tc>
        <w:tc>
          <w:p>
            <w:pPr>
              <w:pStyle w:val="Compact"/>
              <w:jc w:val="left"/>
            </w:pPr>
            <w:r>
              <w:t xml:space="preserve">Team works cases in SheetsCRM against the existing sheet, Gmail, and Calendar — no Salesforce dependency yet.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Provision</w:t>
            </w:r>
          </w:p>
        </w:tc>
        <w:tc>
          <w:p>
            <w:pPr>
              <w:pStyle w:val="Compact"/>
              <w:jc w:val="left"/>
            </w:pPr>
            <w:r>
              <w:t xml:space="preserve">Grant scoped read-only Salesforce API access to the listed fields.</w:t>
            </w:r>
          </w:p>
        </w:tc>
        <w:tc>
          <w:p>
            <w:pPr>
              <w:pStyle w:val="Compact"/>
              <w:jc w:val="left"/>
            </w:pPr>
            <w:r>
              <w:t xml:space="preserve">Automatic host → parent-account / MM / market resolution replaces manual lookup.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Measure</w:t>
            </w:r>
          </w:p>
        </w:tc>
        <w:tc>
          <w:p>
            <w:pPr>
              <w:pStyle w:val="Compact"/>
              <w:jc w:val="left"/>
            </w:pPr>
            <w:r>
              <w:t xml:space="preserve">Track SLA and volume metrics for an agreed period.</w:t>
            </w:r>
          </w:p>
        </w:tc>
        <w:tc>
          <w:p>
            <w:pPr>
              <w:pStyle w:val="Compact"/>
              <w:jc w:val="left"/>
            </w:pPr>
            <w:r>
              <w:t xml:space="preserve">Quantified before/after evidence of time saved and SLA improvement to inform any wider rollout.</w:t>
            </w:r>
          </w:p>
        </w:tc>
      </w:tr>
    </w:tbl>
    <w:p>
      <w:pPr>
        <w:pStyle w:val="Heading1"/>
      </w:pPr>
      <w:bookmarkStart w:id="31" w:name="risks-and-mitigations"/>
      <w:r>
        <w:t xml:space="preserve">9. Risks and mitigations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/ 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on data access</w:t>
            </w:r>
          </w:p>
        </w:tc>
        <w:tc>
          <w:p>
            <w:pPr>
              <w:pStyle w:val="Compact"/>
              <w:jc w:val="left"/>
            </w:pPr>
            <w:r>
              <w:t xml:space="preserve">Access is fixed to the four read-only fields in Section 5; any expansion goes through a fresh review.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 exposure</w:t>
            </w:r>
          </w:p>
        </w:tc>
        <w:tc>
          <w:p>
            <w:pPr>
              <w:pStyle w:val="Compact"/>
              <w:jc w:val="left"/>
            </w:pPr>
            <w:r>
              <w:t xml:space="preserve">Read-only, least-privilege, on managed devices; no new external surface; no broadening of who can see the 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is single-operator today</w:t>
            </w:r>
          </w:p>
        </w:tc>
        <w:tc>
          <w:p>
            <w:pPr>
              <w:pStyle w:val="Compact"/>
              <w:jc w:val="left"/>
            </w:pPr>
            <w:r>
              <w:t xml:space="preserve">Appropriate for a sub-10 team now; a documented roadmap exists for a hosted multi-coordinator version if the team scales, subject to its own security review.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Dependence on Salesforce availability</w:t>
            </w:r>
          </w:p>
        </w:tc>
        <w:tc>
          <w:p>
            <w:pPr>
              <w:pStyle w:val="Compact"/>
              <w:jc w:val="left"/>
            </w:pPr>
            <w:r>
              <w:t xml:space="preserve">The tool functions without the lookup (Stage 1); the lookup is an enhancement, not a hard dependency.</w:t>
            </w:r>
          </w:p>
        </w:tc>
      </w:tr>
    </w:tbl>
    <w:p>
      <w:pPr>
        <w:pStyle w:val="Heading1"/>
      </w:pPr>
      <w:bookmarkStart w:id="32" w:name="decision-requested"/>
      <w:r>
        <w:t xml:space="preserve">10. Decision requested</w:t>
      </w:r>
      <w:bookmarkEnd w:id="32"/>
    </w:p>
    <w:p>
      <w:pPr>
        <w:pStyle w:val="FirstParagraph"/>
      </w:pPr>
      <w:r>
        <w:t xml:space="preserve">We ask the reviewing group(s) to confirm: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Adoption</w:t>
      </w:r>
      <w:r>
        <w:t xml:space="preserve"> </w:t>
      </w:r>
      <w:r>
        <w:t xml:space="preserve">— SheetsCRM is approved as the MC team’s host-interaction workflow tool.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</w:t>
      </w:r>
      <w:r>
        <w:t xml:space="preserve"> </w:t>
      </w:r>
      <w:r>
        <w:t xml:space="preserve">— scoped, read-only Salesforce API access is granted for host profile ID, Market Manager name, parent account association, and listing / market metadata.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Owner and process</w:t>
      </w:r>
      <w:r>
        <w:t xml:space="preserve"> </w:t>
      </w:r>
      <w:r>
        <w:t xml:space="preserve">— the team confirms who provisions the access and under what review cadence it is renewed.</w:t>
      </w:r>
    </w:p>
    <w:p>
      <w:pPr>
        <w:pStyle w:val="FirstParagraph"/>
      </w:pPr>
      <w:r>
        <w:rPr>
          <w:b/>
        </w:rPr>
        <w:t xml:space="preserve">Contact for questions:</w:t>
      </w:r>
      <w:r>
        <w:t xml:space="preserve"> </w:t>
      </w:r>
      <w:r>
        <w:t xml:space="preserve">Robert Raimondi — robert.raimondi@ext.airbnb.com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SheetsCRM — Tool Adoption &amp; Salesforce API Access Request</dc:title>
  <dc:creator>Prepared by Robert Raimondi · Market Coordinators</dc:creator>
  <cp:keywords/>
  <dcterms:created xsi:type="dcterms:W3CDTF">2026-07-28T16:29:53Z</dcterms:created>
  <dcterms:modified xsi:type="dcterms:W3CDTF">2026-07-28T16:29:53Z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28, 2026</vt:lpwstr>
  </property>
  <property fmtid="{D5CDD505-2E9C-101B-9397-08002B2CF9AE}" pid="3" name="subtitle">
    <vt:lpwstr>A business case from the Market Coordinators team</vt:lpwstr>
  </property>
</Properties>
</file>