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Table 1. Descriptive Statistics for Participant-Level, Trial-Level, and AOI-Level Variables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321"/>
        <w:gridCol w:w="1267"/>
        <w:gridCol w:w="1084"/>
        <w:gridCol w:w="1084"/>
        <w:gridCol w:w="1169"/>
      </w:tblGrid>
      <w:tr>
        <w:trPr>
          <w:trHeight w:val="574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Percent</w:t>
            </w:r>
          </w:p>
        </w:tc>
      </w:tr>
      <w:tr>
        <w:trPr>
          <w:trHeight w:val="583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ASQ score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16.78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7.46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Genotype: A/A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55.1</w:t>
            </w:r>
          </w:p>
        </w:tc>
      </w:tr>
      <w:tr>
        <w:trPr>
          <w:trHeight w:val="617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Genotype: A/G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44.9</w:t>
            </w:r>
          </w:p>
        </w:tc>
      </w:tr>
      <w:tr>
        <w:trPr>
          <w:trHeight w:val="617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Fixation Time Percentage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23,000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 Fixation Time (ms)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4,261.44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853.41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23,000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AOI: eye_brow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5,750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AOI: forehead_cheek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5,750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AOI: nose_mouth_jaw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5,750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body9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AOI: whitespace_hair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15.13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16.12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5,750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2025-11-23T21:11:24Z</dcterms:modified>
  <cp:category/>
</cp:coreProperties>
</file>