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 1. Descriptive Statistics for Participant-Level, Trial-Level, and AOI-Level Variables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21"/>
        <w:gridCol w:w="1267"/>
        <w:gridCol w:w="1084"/>
        <w:gridCol w:w="1084"/>
        <w:gridCol w:w="1169"/>
      </w:tblGrid>
      <w:tr>
        <w:trPr>
          <w:trHeight w:val="57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Percent</w:t>
            </w:r>
          </w:p>
        </w:tc>
      </w:tr>
      <w:tr>
        <w:trPr>
          <w:trHeight w:val="583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ASQ score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16.78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7.46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Genotype: A/A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55.1</w:t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Genotype: A/G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44.9</w:t>
            </w:r>
          </w:p>
        </w:tc>
      </w:tr>
      <w:tr>
        <w:trPr>
          <w:trHeight w:val="617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Fixation Time Percentage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23,000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 Fixation Time (ms)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4,261.44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853.41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23,000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AOI: eye_brow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AOI: forehead_cheek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AOI: nose_mouth_jaw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5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AOI: whitespace_hair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15.13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5,750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2025-11-24T15:20:32Z</dcterms:modified>
  <cp:category/>
</cp:coreProperties>
</file>