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Replication Drug Effects – APA Tables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Fixed Effects for Drug Replication Model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15"/>
        <w:gridCol w:w="1266"/>
        <w:gridCol w:w="961"/>
        <w:gridCol w:w="1120"/>
      </w:tblGrid>
      <w:tr>
        <w:trPr>
          <w:trHeight w:val="61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t_value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-4.390</w:t>
            </w:r>
          </w:p>
        </w:tc>
      </w:tr>
      <w:tr>
        <w:trPr>
          <w:trHeight w:val="61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Drugmorphine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5.154</w:t>
            </w:r>
          </w:p>
        </w:tc>
      </w:tr>
      <w:tr>
        <w:trPr>
          <w:trHeight w:val="614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Drugnaltrexone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-2.948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2. Random Effects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67"/>
        <w:gridCol w:w="961"/>
      </w:tblGrid>
      <w:tr>
        <w:trPr>
          <w:trHeight w:val="61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</w:tr>
      <w:tr>
        <w:trPr>
          <w:trHeight w:val="571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1.199</w:t>
            </w:r>
          </w:p>
        </w:tc>
      </w:tr>
      <w:tr>
        <w:trPr>
          <w:trHeight w:val="572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Residual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3.194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3. Estimated Marginal Means (logit scale)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38"/>
        <w:gridCol w:w="1267"/>
        <w:gridCol w:w="961"/>
        <w:gridCol w:w="1084"/>
        <w:gridCol w:w="1279"/>
        <w:gridCol w:w="1316"/>
      </w:tblGrid>
      <w:tr>
        <w:trPr>
          <w:trHeight w:val="61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Drug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lower.CL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upper.CL</w:t>
            </w:r>
          </w:p>
        </w:tc>
      </w:tr>
      <w:tr>
        <w:trPr>
          <w:trHeight w:val="61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22.290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-1.934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-0.694</w:t>
            </w:r>
          </w:p>
        </w:tc>
      </w:tr>
      <w:tr>
        <w:trPr>
          <w:trHeight w:val="61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morphine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0.159</w:t>
            </w:r>
          </w:p>
        </w:tc>
      </w:tr>
      <w:tr>
        <w:trPr>
          <w:trHeight w:val="572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naltrexone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23.236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-1.197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4. Pairwise Drug Comparisons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51"/>
        <w:gridCol w:w="1242"/>
        <w:gridCol w:w="961"/>
        <w:gridCol w:w="1389"/>
        <w:gridCol w:w="1034"/>
        <w:gridCol w:w="1120"/>
      </w:tblGrid>
      <w:tr>
        <w:trPr>
          <w:trHeight w:val="61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</w:tr>
      <w:tr>
        <w:trPr>
          <w:trHeight w:val="61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- morphine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-0.854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2,146.506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-5.154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1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- naltrexone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2,154.804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</w:tr>
      <w:tr>
        <w:trPr>
          <w:trHeight w:val="612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morphine - naltrexone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2,154.197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2025-11-25T10:17:40Z</dcterms:modified>
  <cp:category/>
</cp:coreProperties>
</file>