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Construye un diagrama BPMN para el flujo “Chatbot nutricional”, considerando como actores principales al paciente y al sistema (motor de inteligencia artificial entrenado por nutricionistas), con posibles derivaciones hacia la nutricionista en casos específicos. El flujo comienza cuando el paciente accede al módulo de chat dentro de la plataforma y realiza una consulta, ya sea de tipo básica, educativa o técnica relacionada con su alimentación, pauta o uso de la app.</w:t>
      </w:r>
    </w:p>
    <w:p w:rsidR="00000000" w:rsidDel="00000000" w:rsidP="00000000" w:rsidRDefault="00000000" w:rsidRPr="00000000" w14:paraId="00000002">
      <w:pPr>
        <w:spacing w:after="240" w:before="240" w:lineRule="auto"/>
        <w:rPr/>
      </w:pPr>
      <w:r w:rsidDel="00000000" w:rsidR="00000000" w:rsidRPr="00000000">
        <w:rPr>
          <w:rtl w:val="0"/>
        </w:rPr>
        <w:t xml:space="preserve">En el primer paso, el sistema recibe el mensaje del usuario y lo procesa mediante el motor de inteligencia artificial, el cual está entrenado con criterios nutricionales basados en evidencia y alineados con la lógica de la plataforma. A continuación, el sistema clasifica la intención de la consulta, pudiendo identificar si se trata de una pregunta informativa (por ejemplo, dudas sobre alimentos, porciones o hábitos), una consulta relacionada con la pauta (reemplazos, equivalencias, preparación de comidas), una duda sobre el uso de la plataforma, o una interacción potencialmente sensible desde el punto de vista clínico.</w:t>
      </w:r>
    </w:p>
    <w:p w:rsidR="00000000" w:rsidDel="00000000" w:rsidP="00000000" w:rsidRDefault="00000000" w:rsidRPr="00000000" w14:paraId="00000003">
      <w:pPr>
        <w:spacing w:after="240" w:before="240" w:lineRule="auto"/>
        <w:rPr/>
      </w:pPr>
      <w:r w:rsidDel="00000000" w:rsidR="00000000" w:rsidRPr="00000000">
        <w:rPr>
          <w:rtl w:val="0"/>
        </w:rPr>
        <w:t xml:space="preserve">Si la consulta corresponde a una categoría segura y dentro del alcance del chatbot, el sistema genera una respuesta automática clara, personalizada y coherente con el plan del paciente, evitando recomendaciones que contradigan su pauta, objetivos o restricciones. El chatbot puede además sugerir acciones complementarias, como revisar el recetario, ajustar una comida dentro de la pauta o responder un check-in.</w:t>
      </w:r>
    </w:p>
    <w:p w:rsidR="00000000" w:rsidDel="00000000" w:rsidP="00000000" w:rsidRDefault="00000000" w:rsidRPr="00000000" w14:paraId="00000004">
      <w:pPr>
        <w:spacing w:after="240" w:before="240" w:lineRule="auto"/>
        <w:rPr/>
      </w:pPr>
      <w:r w:rsidDel="00000000" w:rsidR="00000000" w:rsidRPr="00000000">
        <w:rPr>
          <w:rtl w:val="0"/>
        </w:rPr>
        <w:t xml:space="preserve">En paralelo, el sistema evalúa si la consulta presenta posibles red flags o supera el alcance del chatbot. Esto incluye preguntas relacionadas con conductas de riesgo (por ejemplo, restricción extrema, purgas), síntomas clínicos relevantes, condiciones médicas complejas o solicitudes de personalización profunda del plan. En estos casos, el sistema evita entregar una respuesta directa o concluyente y activa un flujo de derivación, sugiriendo al paciente contactar a su nutricionista o agendar una consulta.</w:t>
      </w:r>
    </w:p>
    <w:p w:rsidR="00000000" w:rsidDel="00000000" w:rsidP="00000000" w:rsidRDefault="00000000" w:rsidRPr="00000000" w14:paraId="00000005">
      <w:pPr>
        <w:spacing w:after="240" w:before="240" w:lineRule="auto"/>
        <w:rPr/>
      </w:pPr>
      <w:r w:rsidDel="00000000" w:rsidR="00000000" w:rsidRPr="00000000">
        <w:rPr>
          <w:rtl w:val="0"/>
        </w:rPr>
        <w:t xml:space="preserve">Durante todo el flujo, el sistema mantiene un tono educativo, claro y seguro, evitando entregar indicaciones clínicas críticas sin supervisión. Además, puede aprender del historial del paciente para entregar respuestas cada vez más contextualizadas.</w:t>
      </w:r>
    </w:p>
    <w:p w:rsidR="00000000" w:rsidDel="00000000" w:rsidP="00000000" w:rsidRDefault="00000000" w:rsidRPr="00000000" w14:paraId="00000006">
      <w:pPr>
        <w:spacing w:after="240" w:before="240" w:lineRule="auto"/>
        <w:rPr/>
      </w:pPr>
      <w:r w:rsidDel="00000000" w:rsidR="00000000" w:rsidRPr="00000000">
        <w:rPr>
          <w:rtl w:val="0"/>
        </w:rPr>
        <w:t xml:space="preserve">El flujo contempla edge cases como preguntas ambiguas, múltiples intenciones en un mismo mensaje o inputs no reconocidos, en cuyo caso el sistema solicita aclaración o guía al usuario hacia opciones más específicas. También debe manejar situaciones donde el usuario insiste en obtener respuestas fuera del alcance, reforzando la recomendación de escalar a un profesional.</w:t>
      </w:r>
    </w:p>
    <w:p w:rsidR="00000000" w:rsidDel="00000000" w:rsidP="00000000" w:rsidRDefault="00000000" w:rsidRPr="00000000" w14:paraId="00000007">
      <w:pPr>
        <w:spacing w:after="240" w:before="240" w:lineRule="auto"/>
        <w:rPr/>
      </w:pPr>
      <w:r w:rsidDel="00000000" w:rsidR="00000000" w:rsidRPr="00000000">
        <w:rPr>
          <w:rtl w:val="0"/>
        </w:rPr>
        <w:t xml:space="preserve">Finalmente, el flujo termina cuando el sistema entrega una respuesta, deriva la consulta o solicita mayor información, manteniéndose como un canal disponible de forma continua para el paciente dentro de la plataforma.</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