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Formulario plan full: mantener el que tenemos </w:t>
      </w:r>
    </w:p>
    <w:p w:rsidR="00000000" w:rsidDel="00000000" w:rsidP="00000000" w:rsidRDefault="00000000" w:rsidRPr="00000000" w14:paraId="00000002">
      <w:pPr>
        <w:spacing w:after="240" w:before="240" w:lineRule="auto"/>
        <w:rPr/>
      </w:pPr>
      <w:r w:rsidDel="00000000" w:rsidR="00000000" w:rsidRPr="00000000">
        <w:rPr>
          <w:rtl w:val="0"/>
        </w:rPr>
        <w:t xml:space="preserve">Una vez que el paciente accede correctamente al formulario de pre-consulta, el sistema crea una instancia asociada a su perfil y cambia el estado del formulario a “en progreso”. A partir de este momento, el paciente comienza a completar el formulario dividido en bloques secuenciales, donde cada etapa requiere validación antes de avanzar.</w:t>
      </w:r>
    </w:p>
    <w:p w:rsidR="00000000" w:rsidDel="00000000" w:rsidP="00000000" w:rsidRDefault="00000000" w:rsidRPr="00000000" w14:paraId="00000003">
      <w:pPr>
        <w:spacing w:after="240" w:before="240" w:lineRule="auto"/>
        <w:rPr/>
      </w:pPr>
      <w:r w:rsidDel="00000000" w:rsidR="00000000" w:rsidRPr="00000000">
        <w:rPr>
          <w:rtl w:val="0"/>
        </w:rPr>
        <w:t xml:space="preserve">El primer bloque corresponde a los datos personales. El paciente debe ingresar su nombre completo, fecha de nacimiento, sexo, ocupación o profesión, dirección y RUT. El sistema valida que todos los campos obligatorios estén completos y que los formatos sean correctos, especialmente en el caso de la fecha y el RUT. Si alguno de estos campos no cumple con las validaciones, el sistema impide avanzar y solicita corrección. Una vez validado, el sistema guarda la información y actualiza la ficha base del paciente en caso de ser necesario.</w:t>
      </w:r>
    </w:p>
    <w:p w:rsidR="00000000" w:rsidDel="00000000" w:rsidP="00000000" w:rsidRDefault="00000000" w:rsidRPr="00000000" w14:paraId="00000004">
      <w:pPr>
        <w:spacing w:after="240" w:before="240" w:lineRule="auto"/>
        <w:rPr/>
      </w:pPr>
      <w:r w:rsidDel="00000000" w:rsidR="00000000" w:rsidRPr="00000000">
        <w:rPr>
          <w:rtl w:val="0"/>
        </w:rPr>
        <w:t xml:space="preserve">A continuación, el paciente avanza al bloque de antecedentes de salud. En esta sección, se le solicita seleccionar si presenta alguno de los diagnósticos listados, incluyendo enfermedades metabólicas, digestivas, hormonales y de salud mental, además de una opción de “ninguno” y un campo de texto libre para otros diagnósticos no listados. El sistema valida que la opción “ninguno” no se seleccione junto con otras alternativas. Si el paciente selecciona uno o más diagnósticos, el sistema activa automáticamente un flag interno de “antecedentes clínicos”, lo que implica una revisión prioritaria por parte del nutricionista. Si además el paciente ingresa un diagnóstico en texto libre, se activa un flag adicional de “revisión manual”.</w:t>
      </w:r>
    </w:p>
    <w:p w:rsidR="00000000" w:rsidDel="00000000" w:rsidP="00000000" w:rsidRDefault="00000000" w:rsidRPr="00000000" w14:paraId="00000005">
      <w:pPr>
        <w:spacing w:after="240" w:before="240" w:lineRule="auto"/>
        <w:rPr/>
      </w:pPr>
      <w:r w:rsidDel="00000000" w:rsidR="00000000" w:rsidRPr="00000000">
        <w:rPr>
          <w:rtl w:val="0"/>
        </w:rPr>
        <w:t xml:space="preserve">Posteriormente, el paciente debe completar información sobre medicamentos actuales y suplementos o vitaminas. Si el paciente declara consumo de medicamentos, el sistema activa un flag de “revisar medicación”, considerando posibles interacciones o implicancias clínicas. En el caso de los suplementos, la información se registra para análisis posterior, sin necesariamente activar una alerta crítica.</w:t>
      </w:r>
    </w:p>
    <w:p w:rsidR="00000000" w:rsidDel="00000000" w:rsidP="00000000" w:rsidRDefault="00000000" w:rsidRPr="00000000" w14:paraId="00000006">
      <w:pPr>
        <w:spacing w:after="240" w:before="240" w:lineRule="auto"/>
        <w:rPr/>
      </w:pPr>
      <w:r w:rsidDel="00000000" w:rsidR="00000000" w:rsidRPr="00000000">
        <w:rPr>
          <w:rtl w:val="0"/>
        </w:rPr>
        <w:t xml:space="preserve">Luego, el paciente ingresa información adicional como cirugías previas, antecedentes familiares, alergias alimentarias, intolerancias y alimentos que no consume. Si el paciente declara alergias alimentarias, el sistema activa un flag de seguridad, dado que esta información es crítica para la construcción de la pauta. Si declara intolerancias o exclusiones alimentarias, el sistema las registra como restricciones para la planificación nutricional futura.</w:t>
      </w:r>
    </w:p>
    <w:p w:rsidR="00000000" w:rsidDel="00000000" w:rsidP="00000000" w:rsidRDefault="00000000" w:rsidRPr="00000000" w14:paraId="00000007">
      <w:pPr>
        <w:spacing w:after="240" w:before="240" w:lineRule="auto"/>
        <w:rPr/>
      </w:pPr>
      <w:r w:rsidDel="00000000" w:rsidR="00000000" w:rsidRPr="00000000">
        <w:rPr>
          <w:rtl w:val="0"/>
        </w:rPr>
        <w:t xml:space="preserve">Una vez completado este bloque, el paciente avanza a la sección de hábitos y estilo de vida. Aquí debe indicar sus horas de sueño promedio, calidad de sueño y nivel de estrés mediante escalas definidas. El sistema evalúa estas respuestas en tiempo real: si el paciente reporta menos de 6 horas de sueño o una calidad de sueño baja, se activa un flag de “sueño alterado”; si reporta niveles altos de estrés, se activa un flag de “estrés elevado”. Estas condiciones no bloquean el avance, pero sí enriquecen el análisis clínico posterior.</w:t>
      </w:r>
    </w:p>
    <w:p w:rsidR="00000000" w:rsidDel="00000000" w:rsidP="00000000" w:rsidRDefault="00000000" w:rsidRPr="00000000" w14:paraId="00000008">
      <w:pPr>
        <w:spacing w:after="240" w:before="240" w:lineRule="auto"/>
        <w:rPr/>
      </w:pPr>
      <w:r w:rsidDel="00000000" w:rsidR="00000000" w:rsidRPr="00000000">
        <w:rPr>
          <w:rtl w:val="0"/>
        </w:rPr>
        <w:t xml:space="preserve">En la misma sección, el paciente informa su nivel de actividad física y el tipo de ejercicio que realiza. Si no reporta actividad, el sistema puede clasificarlo como sedentario. Luego, el paciente responde sobre consumo de alcohol y tabaco; si declara consumo de tabaco, se activa un flag específico de “hábito tabáquico”.</w:t>
      </w:r>
    </w:p>
    <w:p w:rsidR="00000000" w:rsidDel="00000000" w:rsidP="00000000" w:rsidRDefault="00000000" w:rsidRPr="00000000" w14:paraId="00000009">
      <w:pPr>
        <w:spacing w:after="240" w:before="240" w:lineRule="auto"/>
        <w:rPr/>
      </w:pPr>
      <w:r w:rsidDel="00000000" w:rsidR="00000000" w:rsidRPr="00000000">
        <w:rPr>
          <w:rtl w:val="0"/>
        </w:rPr>
        <w:t xml:space="preserve">El paciente también debe indicar su consumo diario de agua y el número de comidas que realiza al día. Si el sistema detecta un consumo bajo de agua, genera un insight de hidratación insuficiente; si detecta un número bajo de comidas, genera un insight relacionado a un patrón alimentario desestructurado. Estos insights no bloquean el flujo, pero quedan registrados para el análisis.</w:t>
      </w:r>
    </w:p>
    <w:p w:rsidR="00000000" w:rsidDel="00000000" w:rsidP="00000000" w:rsidRDefault="00000000" w:rsidRPr="00000000" w14:paraId="0000000A">
      <w:pPr>
        <w:spacing w:after="240" w:before="240" w:lineRule="auto"/>
        <w:rPr/>
      </w:pPr>
      <w:r w:rsidDel="00000000" w:rsidR="00000000" w:rsidRPr="00000000">
        <w:rPr>
          <w:rtl w:val="0"/>
        </w:rPr>
        <w:t xml:space="preserve">Posteriormente, el paciente selecciona si tiene alguna restricción alimentaria (vegetariano, vegano, sin gluten, etc.). El sistema valida que la opción “ninguna” no se seleccione junto con otras. Estas restricciones se almacenan como condiciones obligatorias para la generación de la pauta.</w:t>
      </w:r>
    </w:p>
    <w:p w:rsidR="00000000" w:rsidDel="00000000" w:rsidP="00000000" w:rsidRDefault="00000000" w:rsidRPr="00000000" w14:paraId="0000000B">
      <w:pPr>
        <w:spacing w:after="240" w:before="240" w:lineRule="auto"/>
        <w:rPr/>
      </w:pPr>
      <w:r w:rsidDel="00000000" w:rsidR="00000000" w:rsidRPr="00000000">
        <w:rPr>
          <w:rtl w:val="0"/>
        </w:rPr>
        <w:t xml:space="preserve">En el siguiente bloque, correspondiente al motivo de consulta y objetivos, el paciente debe completar en texto libre su motivo principal de consulta. Este campo es obligatorio, por lo que el sistema no permite avanzar si está vacío. Luego, el paciente selecciona uno o más objetivos dentro de una lista predefinida. Si no selecciona ningún objetivo, el sistema impide avanzar hasta que se defina al menos uno.</w:t>
      </w:r>
    </w:p>
    <w:p w:rsidR="00000000" w:rsidDel="00000000" w:rsidP="00000000" w:rsidRDefault="00000000" w:rsidRPr="00000000" w14:paraId="0000000C">
      <w:pPr>
        <w:spacing w:after="240" w:before="240" w:lineRule="auto"/>
        <w:rPr/>
      </w:pPr>
      <w:r w:rsidDel="00000000" w:rsidR="00000000" w:rsidRPr="00000000">
        <w:rPr>
          <w:rtl w:val="0"/>
        </w:rPr>
        <w:t xml:space="preserve">A continuación, el paciente responde sobre síntomas digestivos. Si selecciona uno o más síntomas, el sistema activa un flag de “síntomas digestivos presentes”. Si selecciona “ninguno”, el sistema valida que no haya otras opciones marcadas simultáneamente.</w:t>
      </w:r>
    </w:p>
    <w:p w:rsidR="00000000" w:rsidDel="00000000" w:rsidP="00000000" w:rsidRDefault="00000000" w:rsidRPr="00000000" w14:paraId="0000000D">
      <w:pPr>
        <w:spacing w:after="240" w:before="240" w:lineRule="auto"/>
        <w:rPr/>
      </w:pPr>
      <w:r w:rsidDel="00000000" w:rsidR="00000000" w:rsidRPr="00000000">
        <w:rPr>
          <w:rtl w:val="0"/>
        </w:rPr>
        <w:t xml:space="preserve">Luego, el paciente selecciona su tipo de deposición según la escala de Bristol. El sistema evalúa esta respuesta: si corresponde a los tipos 1 o 2, se activa un flag de estreñimiento; si corresponde a los tipos 6 o 7, se activa un flag de diarrea o alteración del tránsito intestinal.</w:t>
      </w:r>
    </w:p>
    <w:p w:rsidR="00000000" w:rsidDel="00000000" w:rsidP="00000000" w:rsidRDefault="00000000" w:rsidRPr="00000000" w14:paraId="0000000E">
      <w:pPr>
        <w:spacing w:after="240" w:before="240" w:lineRule="auto"/>
        <w:rPr/>
      </w:pPr>
      <w:r w:rsidDel="00000000" w:rsidR="00000000" w:rsidRPr="00000000">
        <w:rPr>
          <w:rtl w:val="0"/>
        </w:rPr>
        <w:t xml:space="preserve">En la última etapa, el paciente completa la matriz de frecuencia de consumo de alimentos. Para cada grupo alimentario, debe seleccionar una frecuencia única. El sistema valida que no existan filas sin respuesta (según configuración definida) y que no existan múltiples selecciones en una misma fila. Una vez completada, el sistema procesa esta información para generar insights automáticos. Por ejemplo, si detecta bajo consumo de frutas o verduras, genera una alerta de baja calidad dietaria; si detecta alto consumo de ultraprocesados o comida rápida, genera una alerta de patrón alimentario de riesgo; si detecta bajo consumo de pescado o legumbres, genera recomendaciones implícitas para el diseño del plan.</w:t>
      </w:r>
    </w:p>
    <w:p w:rsidR="00000000" w:rsidDel="00000000" w:rsidP="00000000" w:rsidRDefault="00000000" w:rsidRPr="00000000" w14:paraId="0000000F">
      <w:pPr>
        <w:spacing w:after="240" w:before="240" w:lineRule="auto"/>
        <w:rPr/>
      </w:pPr>
      <w:r w:rsidDel="00000000" w:rsidR="00000000" w:rsidRPr="00000000">
        <w:rPr>
          <w:rtl w:val="0"/>
        </w:rPr>
        <w:t xml:space="preserve">Una vez que el paciente intenta enviar el formulario, el sistema ejecuta una validación global de todos los bloques. Si detecta errores, campos incompletos o inconsistencias, devuelve al paciente al punto correspondiente para su corrección. Si todo está correcto, el sistema permite el envío final.</w:t>
      </w:r>
    </w:p>
    <w:p w:rsidR="00000000" w:rsidDel="00000000" w:rsidP="00000000" w:rsidRDefault="00000000" w:rsidRPr="00000000" w14:paraId="00000010">
      <w:pPr>
        <w:spacing w:after="240" w:before="240" w:lineRule="auto"/>
        <w:rPr/>
      </w:pPr>
      <w:r w:rsidDel="00000000" w:rsidR="00000000" w:rsidRPr="00000000">
        <w:rPr>
          <w:rtl w:val="0"/>
        </w:rPr>
        <w:t xml:space="preserve">Al enviarse el formulario, el sistema cambia su estado a “completado” y el estado del paciente a “listo para consulta”. Luego, se genera automáticamente un resumen estructurado que incluye toda la información ingresada, junto con los flags y insights detectados. Este resumen es enviado o puesto a disposición del nutricionista antes de la consulta.</w:t>
      </w:r>
    </w:p>
    <w:p w:rsidR="00000000" w:rsidDel="00000000" w:rsidP="00000000" w:rsidRDefault="00000000" w:rsidRPr="00000000" w14:paraId="00000011">
      <w:pPr>
        <w:spacing w:after="240" w:before="240" w:lineRule="auto"/>
        <w:rPr/>
      </w:pPr>
      <w:r w:rsidDel="00000000" w:rsidR="00000000" w:rsidRPr="00000000">
        <w:rPr>
          <w:rtl w:val="0"/>
        </w:rPr>
        <w:t xml:space="preserve">En caso de que el paciente no complete el formulario, el sistema mantiene el estado como “incompleto” y notifica al nutricionista que la consulta se realizará sin pre-ingreso completo, permitiendo ajustar el flujo clínico en tiempo real.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