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Construye un diagrama BPMN para el flujo “Generación de plan para pérdida de grasa / baja de peso”, considerando como actores principales al paciente, el sistema (motor de cálculo y personalización nutricional) y, en una fase inicial, la nutricionista como validación. El flujo comienza cuando un paciente previamente calificado como apto para plan automatizado selecciona como objetivo principal la pérdida de grasa o baja de peso dentro de la plataforma.</w:t>
      </w:r>
    </w:p>
    <w:p w:rsidR="00000000" w:rsidDel="00000000" w:rsidP="00000000" w:rsidRDefault="00000000" w:rsidRPr="00000000" w14:paraId="00000002">
      <w:pPr>
        <w:spacing w:after="240" w:before="240" w:lineRule="auto"/>
        <w:rPr/>
      </w:pPr>
      <w:r w:rsidDel="00000000" w:rsidR="00000000" w:rsidRPr="00000000">
        <w:rPr>
          <w:rtl w:val="0"/>
        </w:rPr>
        <w:t xml:space="preserve">En el primer paso, el sistema recopila y valida la información necesaria obtenida durante el onboarding, incluyendo peso, estatura, edad, sexo, nivel de actividad física, objetivo específico (bajar de peso, recomposición corporal), preferencias alimentarias y posibles restricciones. El sistema verifica que los datos sean consistentes y suficientes para realizar los cálculos.</w:t>
      </w:r>
    </w:p>
    <w:p w:rsidR="00000000" w:rsidDel="00000000" w:rsidP="00000000" w:rsidRDefault="00000000" w:rsidRPr="00000000" w14:paraId="00000003">
      <w:pPr>
        <w:spacing w:after="240" w:before="240" w:lineRule="auto"/>
        <w:rPr/>
      </w:pPr>
      <w:r w:rsidDel="00000000" w:rsidR="00000000" w:rsidRPr="00000000">
        <w:rPr>
          <w:rtl w:val="0"/>
        </w:rPr>
        <w:t xml:space="preserve">A continuación, el sistema estima el gasto energético del paciente. Primero, calcula la tasa metabólica basal (TMB) utilizando la fórmula “Harris Benedict”. Luego, ajusta este valor según el nivel de actividad física mediante un factor:</w:t>
      </w:r>
    </w:p>
    <w:tbl>
      <w:tblPr>
        <w:tblStyle w:val="Table1"/>
        <w:tblW w:w="4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500"/>
        <w:tblGridChange w:id="0">
          <w:tblGrid>
            <w:gridCol w:w="2520"/>
            <w:gridCol w:w="150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Poco o nada de ejercicio</w:t>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05">
            <w:pPr>
              <w:widowControl w:val="0"/>
              <w:jc w:val="center"/>
              <w:rPr/>
            </w:pPr>
            <w:r w:rsidDel="00000000" w:rsidR="00000000" w:rsidRPr="00000000">
              <w:rPr>
                <w:rtl w:val="0"/>
              </w:rPr>
              <w:t xml:space="preserve">1.2</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06">
            <w:pPr>
              <w:widowControl w:val="0"/>
              <w:rPr/>
            </w:pPr>
            <w:r w:rsidDel="00000000" w:rsidR="00000000" w:rsidRPr="00000000">
              <w:rPr>
                <w:rtl w:val="0"/>
              </w:rPr>
              <w:t xml:space="preserve">1 - 3 días a la semana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07">
            <w:pPr>
              <w:widowControl w:val="0"/>
              <w:jc w:val="center"/>
              <w:rPr/>
            </w:pPr>
            <w:r w:rsidDel="00000000" w:rsidR="00000000" w:rsidRPr="00000000">
              <w:rPr>
                <w:rtl w:val="0"/>
              </w:rPr>
              <w:t xml:space="preserve">1.375</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08">
            <w:pPr>
              <w:widowControl w:val="0"/>
              <w:rPr/>
            </w:pPr>
            <w:r w:rsidDel="00000000" w:rsidR="00000000" w:rsidRPr="00000000">
              <w:rPr>
                <w:rtl w:val="0"/>
              </w:rPr>
              <w:t xml:space="preserve">3 - 5 días a la semana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09">
            <w:pPr>
              <w:widowControl w:val="0"/>
              <w:jc w:val="center"/>
              <w:rPr/>
            </w:pPr>
            <w:r w:rsidDel="00000000" w:rsidR="00000000" w:rsidRPr="00000000">
              <w:rPr>
                <w:rtl w:val="0"/>
              </w:rPr>
              <w:t xml:space="preserve">1.55</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0A">
            <w:pPr>
              <w:widowControl w:val="0"/>
              <w:rPr/>
            </w:pPr>
            <w:r w:rsidDel="00000000" w:rsidR="00000000" w:rsidRPr="00000000">
              <w:rPr>
                <w:rtl w:val="0"/>
              </w:rPr>
              <w:t xml:space="preserve">6 - 7 días a la semana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0B">
            <w:pPr>
              <w:widowControl w:val="0"/>
              <w:jc w:val="center"/>
              <w:rPr/>
            </w:pPr>
            <w:r w:rsidDel="00000000" w:rsidR="00000000" w:rsidRPr="00000000">
              <w:rPr>
                <w:rtl w:val="0"/>
              </w:rPr>
              <w:t xml:space="preserve">1.725</w:t>
            </w:r>
          </w:p>
        </w:tc>
      </w:tr>
      <w:tr>
        <w:trPr>
          <w:cantSplit w:val="0"/>
          <w:trHeight w:val="51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0C">
            <w:pPr>
              <w:widowControl w:val="0"/>
              <w:rPr/>
            </w:pPr>
            <w:r w:rsidDel="00000000" w:rsidR="00000000" w:rsidRPr="00000000">
              <w:rPr>
                <w:rtl w:val="0"/>
              </w:rPr>
              <w:t xml:space="preserve">Entrenamiento doble o trabaja entrenando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0D">
            <w:pPr>
              <w:widowControl w:val="0"/>
              <w:jc w:val="center"/>
              <w:rPr/>
            </w:pPr>
            <w:r w:rsidDel="00000000" w:rsidR="00000000" w:rsidRPr="00000000">
              <w:rPr>
                <w:rtl w:val="0"/>
              </w:rPr>
              <w:t xml:space="preserve">1.9</w:t>
            </w:r>
          </w:p>
        </w:tc>
      </w:tr>
    </w:tbl>
    <w:p w:rsidR="00000000" w:rsidDel="00000000" w:rsidP="00000000" w:rsidRDefault="00000000" w:rsidRPr="00000000" w14:paraId="0000000E">
      <w:pPr>
        <w:spacing w:after="240" w:before="240" w:lineRule="auto"/>
        <w:rPr/>
      </w:pPr>
      <w:r w:rsidDel="00000000" w:rsidR="00000000" w:rsidRPr="00000000">
        <w:rPr>
          <w:rtl w:val="0"/>
        </w:rPr>
        <w:t xml:space="preserve">obteniendo así el gasto energético total diario (GET).</w:t>
      </w:r>
    </w:p>
    <w:p w:rsidR="00000000" w:rsidDel="00000000" w:rsidP="00000000" w:rsidRDefault="00000000" w:rsidRPr="00000000" w14:paraId="0000000F">
      <w:pPr>
        <w:spacing w:after="240" w:before="240" w:lineRule="auto"/>
        <w:rPr/>
      </w:pPr>
      <w:r w:rsidDel="00000000" w:rsidR="00000000" w:rsidRPr="00000000">
        <w:rPr>
          <w:rtl w:val="0"/>
        </w:rPr>
        <w:t xml:space="preserve">Posteriormente, el sistema define un déficit calórico adecuado para el objetivo de pérdida de grasa, aplicando una reducción porcentual del gasto energético total (restando entre 200 y 400 kcal), dependiendo del perfil del paciente, su nivel de grasa corporal, adherencia esperada y sostenibilidad del proceso. El sistema evita déficits extremos para resguardar masa muscular, rendimiento y adherencia a largo plazo.</w:t>
      </w:r>
    </w:p>
    <w:p w:rsidR="00000000" w:rsidDel="00000000" w:rsidP="00000000" w:rsidRDefault="00000000" w:rsidRPr="00000000" w14:paraId="00000010">
      <w:pPr>
        <w:spacing w:after="240" w:before="240" w:lineRule="auto"/>
        <w:rPr/>
      </w:pPr>
      <w:r w:rsidDel="00000000" w:rsidR="00000000" w:rsidRPr="00000000">
        <w:rPr>
          <w:rtl w:val="0"/>
        </w:rPr>
        <w:t xml:space="preserve">En paralelo, el sistema calcula la distribución de macronutrientes. Primero, define un objetivo de proteína en función del peso corporal (entre 1.6 a 2.2 g/kg), priorizando la preservación de masa muscular. Luego, asigna grasas dentro de un rango moderado (25 - 35%), y finalmente completa el resto de las calorías con carbohidratos, ajustando según preferencias, nivel de actividad y tolerancia del paciente. Además, calcula requerimiento hídrico (30 a 35 ml x kg de peso) y requerimiento de fibra (14 g x 1000 kcal).</w:t>
      </w:r>
    </w:p>
    <w:p w:rsidR="00000000" w:rsidDel="00000000" w:rsidP="00000000" w:rsidRDefault="00000000" w:rsidRPr="00000000" w14:paraId="00000011">
      <w:pPr>
        <w:spacing w:after="240" w:before="240" w:lineRule="auto"/>
        <w:rPr/>
      </w:pPr>
      <w:r w:rsidDel="00000000" w:rsidR="00000000" w:rsidRPr="00000000">
        <w:rPr>
          <w:rtl w:val="0"/>
        </w:rPr>
        <w:t xml:space="preserve">A continuación, el sistema traduce estos requerimientos nutricionales en una pauta alimentaria práctica, estructurada por los tiempos de comida que el paciente realiza previamente (con ajustes y sugerencias de mejora: por ejemplo si picotea todo el día estructurar más, incluir frutas y verduras, aumentar ingesta de agua, comer todos los grupos de alimentos, bajar el azúcar, limitar/reducir/evitar consumo de alcohol, más fibra, más proteína, etc), también considera su R24 y su frecuencia de consumo para hacer la pauta lo más realista y alcanzable para cada individuo. En esta etapa, el sistema no presenta calorías o macros como eje principal (a no ser de que el paciente lo solicite), sino que convierte los requerimientos en porciones concretas y equivalencias alimentarias, facilitando la implementación en la vida diaria del paciente.</w:t>
      </w:r>
    </w:p>
    <w:p w:rsidR="00000000" w:rsidDel="00000000" w:rsidP="00000000" w:rsidRDefault="00000000" w:rsidRPr="00000000" w14:paraId="00000012">
      <w:pPr>
        <w:spacing w:after="240" w:before="240" w:lineRule="auto"/>
        <w:rPr/>
      </w:pPr>
      <w:r w:rsidDel="00000000" w:rsidR="00000000" w:rsidRPr="00000000">
        <w:rPr>
          <w:rtl w:val="0"/>
        </w:rPr>
        <w:t xml:space="preserve">Luego, el sistema integra esta pauta con otros módulos de la plataforma. Esto incluye conexión con el recetario inteligente (recetas ajustadas a porciones del paciente), generación de menú semanal, meal prep y activación de check-ins para monitorear adherencia, energía, hambre y evolución.</w:t>
      </w:r>
    </w:p>
    <w:p w:rsidR="00000000" w:rsidDel="00000000" w:rsidP="00000000" w:rsidRDefault="00000000" w:rsidRPr="00000000" w14:paraId="00000013">
      <w:pPr>
        <w:spacing w:after="240" w:before="240" w:lineRule="auto"/>
        <w:rPr/>
      </w:pPr>
      <w:r w:rsidDel="00000000" w:rsidR="00000000" w:rsidRPr="00000000">
        <w:rPr>
          <w:rtl w:val="0"/>
        </w:rPr>
        <w:t xml:space="preserve">El flujo contempla decisiones clave. Si el paciente presenta características que requieren un enfoque más conservador (por ejemplo, historial de dietas restrictivas o baja adherencia previa), el sistema puede optar por un déficit menor o incluso uso de otras herramientas más allá de una pauta (tareas, check lists, check ins, etc).  </w:t>
      </w:r>
    </w:p>
    <w:p w:rsidR="00000000" w:rsidDel="00000000" w:rsidP="00000000" w:rsidRDefault="00000000" w:rsidRPr="00000000" w14:paraId="00000014">
      <w:pPr>
        <w:spacing w:after="240" w:before="240" w:lineRule="auto"/>
        <w:rPr/>
      </w:pPr>
      <w:r w:rsidDel="00000000" w:rsidR="00000000" w:rsidRPr="00000000">
        <w:rPr>
          <w:rtl w:val="0"/>
        </w:rPr>
        <w:t xml:space="preserve">Durante todo el flujo, el sistema mantiene coherencia con los objetivos del paciente, evitando configuraciones que comprometan su salud o sostenibilidad del proceso. En una fase inicial del producto, la pauta generada en primera instancia, pasa por validación interna antes de ser liberada.</w:t>
      </w:r>
    </w:p>
    <w:p w:rsidR="00000000" w:rsidDel="00000000" w:rsidP="00000000" w:rsidRDefault="00000000" w:rsidRPr="00000000" w14:paraId="00000015">
      <w:pPr>
        <w:spacing w:after="240" w:before="240" w:lineRule="auto"/>
        <w:rPr/>
      </w:pPr>
      <w:r w:rsidDel="00000000" w:rsidR="00000000" w:rsidRPr="00000000">
        <w:rPr>
          <w:rtl w:val="0"/>
        </w:rPr>
        <w:t xml:space="preserve">El flujo incluye edge cases relevantes. Por ejemplo, si los datos del paciente cambian (peso, actividad), el sistema recalcula automáticamente los requerimientos. Si el paciente no presenta progreso en el tiempo, el sistema puede ajustar el déficit o estructura del plan. Si el paciente reporta baja energía, hambre excesiva o baja adherencia en check-ins, el sistema puede suavizar el déficit o redistribuir comidas.</w:t>
      </w:r>
    </w:p>
    <w:p w:rsidR="00000000" w:rsidDel="00000000" w:rsidP="00000000" w:rsidRDefault="00000000" w:rsidRPr="00000000" w14:paraId="00000016">
      <w:pPr>
        <w:spacing w:after="240" w:before="240" w:lineRule="auto"/>
        <w:rPr/>
      </w:pPr>
      <w:r w:rsidDel="00000000" w:rsidR="00000000" w:rsidRPr="00000000">
        <w:rPr>
          <w:rtl w:val="0"/>
        </w:rPr>
        <w:t xml:space="preserve">Finalmente, el flujo termina cuando la pauta nutricional es generada y entregada al paciente, quedando integrada dentro de su dashboard. A partir de este punto, el sistema continúa monitoreando su progreso y comportamiento, permitiendo ajustes dinámicos en el tiempo para optimizar la pérdida de grasa de manera sostenible.</w:t>
      </w:r>
    </w:p>
    <w:p w:rsidR="00000000" w:rsidDel="00000000" w:rsidP="00000000" w:rsidRDefault="00000000" w:rsidRPr="00000000" w14:paraId="000000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