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j1d1ovh5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UMine – Estrategia de Usuarios, SSO y Licencias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PROPUESTA – BORRADOR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ai09vzl8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</w:t>
      </w:r>
      <w:r w:rsidDel="00000000" w:rsidR="00000000" w:rsidRPr="00000000">
        <w:rPr>
          <w:b w:val="1"/>
          <w:bCs w:val="1"/>
          <w:rtl w:val="0"/>
        </w:rPr>
        <w:t xml:space="preserve">estrategia unificada de usuarios</w:t>
      </w:r>
      <w:r w:rsidDel="00000000" w:rsidR="00000000" w:rsidRPr="00000000">
        <w:rPr>
          <w:rtl w:val="0"/>
        </w:rPr>
        <w:t xml:space="preserve"> en UMine, garantizando: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global del usuario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entre sistemas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 centralizada por licencias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 de onboarding consistente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fmr4b4q0n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Principio central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usuario pertenece a UMine, no a los sistemas.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crean usuarios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manejan identidad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validan autorización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mxrs6zxcb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Identidad global UMine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cbsmsw4yu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de usuarios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usuarios se registran </w:t>
      </w:r>
      <w:r w:rsidDel="00000000" w:rsidR="00000000" w:rsidRPr="00000000">
        <w:rPr>
          <w:b w:val="1"/>
          <w:bCs w:val="1"/>
          <w:rtl w:val="0"/>
        </w:rPr>
        <w:t xml:space="preserve">una sola vez</w:t>
      </w:r>
      <w:r w:rsidDel="00000000" w:rsidR="00000000" w:rsidRPr="00000000">
        <w:rPr>
          <w:rtl w:val="0"/>
        </w:rPr>
        <w:t xml:space="preserve"> en UMine mediante: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SSO Google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contraseña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es: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umine_user_id</w:t>
      </w:r>
      <w:r w:rsidDel="00000000" w:rsidR="00000000" w:rsidRPr="00000000">
        <w:rPr>
          <w:rtl w:val="0"/>
        </w:rPr>
        <w:t xml:space="preserve"> global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única y persistente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q6oasgch0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Servicio de Identidad (Auth)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emisión de tokens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sesión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cuenta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implementan auth propio.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7bb9hxyin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Servicio de Licencias y Autorizaciones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dy3te8wom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acceso a cada sistema UMine se controla mediante un </w:t>
      </w:r>
      <w:r w:rsidDel="00000000" w:rsidR="00000000" w:rsidRPr="00000000">
        <w:rPr>
          <w:b w:val="1"/>
          <w:bCs w:val="1"/>
          <w:rtl w:val="0"/>
        </w:rPr>
        <w:t xml:space="preserve">Servicio de Licencias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sistema: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 si el usuario tiene licencia válida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recibe una autorización explícita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vnexyeeal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controla el servicio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 a apps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por app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por tenant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expiraciones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 comerciales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w9zh11d79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Flujo de acceso a un sistema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se autentica en UMine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Obtiene token global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 a un sistema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licencia / autorización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concedido o denegado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persiste usuarios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define permisos globales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6lncc3s2g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Onboarding de usuarios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2i1k9ntlc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usuarios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cliente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 interno UMine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wysme72bn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Onboarding considera: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básicos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 de términos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inicial de licencias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(empresa / tenant)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onboarding es: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 proceso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solo un formulario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2kz1pgxso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Control global del usuario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UMine mantiene: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del usuario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accesos activos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usuario es: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bloqueado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eliminado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limitado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impacto es </w:t>
      </w:r>
      <w:r w:rsidDel="00000000" w:rsidR="00000000" w:rsidRPr="00000000">
        <w:rPr>
          <w:b w:val="1"/>
          <w:bCs w:val="1"/>
          <w:rtl w:val="0"/>
        </w:rPr>
        <w:t xml:space="preserve">global</w:t>
      </w:r>
      <w:r w:rsidDel="00000000" w:rsidR="00000000" w:rsidRPr="00000000">
        <w:rPr>
          <w:rtl w:val="0"/>
        </w:rPr>
        <w:t xml:space="preserve">, no sistema por sistema.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bfq7u8h8c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Beneficios del modelo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Source of Truth de usuarios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de productos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centralizada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duplicación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experiencia de usuario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vdgk2vpcl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Qué no hacemos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usuarios duplicados por sistema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 custom por app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permisos hardcodeados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onboarding inconsistente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i39mhlcz1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Estado del documento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 encuentra en </w:t>
      </w:r>
      <w:r w:rsidDel="00000000" w:rsidR="00000000" w:rsidRPr="00000000">
        <w:rPr>
          <w:b w:val="1"/>
          <w:bCs w:val="1"/>
          <w:rtl w:val="0"/>
        </w:rPr>
        <w:t xml:space="preserve">PROPUESTA – BORRADOR 1</w:t>
      </w:r>
      <w:r w:rsidDel="00000000" w:rsidR="00000000" w:rsidRPr="00000000">
        <w:rPr>
          <w:rtl w:val="0"/>
        </w:rPr>
        <w:t xml:space="preserve">.</w:t>
        <w:br w:type="textWrapping"/>
        <w:t xml:space="preserve"> Sujeto a: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legal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comercial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de experiencia de usuario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