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7"/>
        <w:ind w:left="141" w:right="0" w:firstLine="0"/>
        <w:jc w:val="left"/>
        <w:rPr>
          <w:sz w:val="20"/>
        </w:rPr>
      </w:pPr>
      <w:r>
        <w:rPr>
          <w:b/>
          <w:color w:val="545454"/>
          <w:sz w:val="20"/>
        </w:rPr>
        <w:t>Name: </w:t>
      </w:r>
      <w:r>
        <w:rPr>
          <w:color w:val="545454"/>
          <w:sz w:val="20"/>
        </w:rPr>
        <w:t>Gian</w:t>
      </w:r>
      <w:r>
        <w:rPr>
          <w:color w:val="545454"/>
          <w:spacing w:val="-11"/>
          <w:sz w:val="20"/>
        </w:rPr>
        <w:t> </w:t>
      </w:r>
      <w:r>
        <w:rPr>
          <w:color w:val="545454"/>
          <w:sz w:val="20"/>
        </w:rPr>
        <w:t>Aaron M.</w:t>
      </w:r>
      <w:r>
        <w:rPr>
          <w:color w:val="545454"/>
          <w:spacing w:val="-11"/>
          <w:sz w:val="20"/>
        </w:rPr>
        <w:t> </w:t>
      </w:r>
      <w:r>
        <w:rPr>
          <w:color w:val="545454"/>
          <w:spacing w:val="-2"/>
          <w:sz w:val="20"/>
        </w:rPr>
        <w:t>Aguilar</w:t>
      </w:r>
    </w:p>
    <w:p>
      <w:pPr>
        <w:spacing w:before="90"/>
        <w:ind w:left="141" w:right="0" w:firstLine="0"/>
        <w:jc w:val="left"/>
        <w:rPr>
          <w:sz w:val="20"/>
        </w:rPr>
      </w:pPr>
      <w:r>
        <w:rPr>
          <w:b/>
          <w:color w:val="545454"/>
          <w:spacing w:val="-2"/>
          <w:sz w:val="20"/>
        </w:rPr>
        <w:t>Program:</w:t>
      </w:r>
      <w:r>
        <w:rPr>
          <w:b/>
          <w:color w:val="545454"/>
          <w:sz w:val="20"/>
        </w:rPr>
        <w:t> </w:t>
      </w:r>
      <w:r>
        <w:rPr>
          <w:color w:val="545454"/>
          <w:spacing w:val="-2"/>
          <w:sz w:val="20"/>
        </w:rPr>
        <w:t>BSIT-</w:t>
      </w:r>
      <w:r>
        <w:rPr>
          <w:color w:val="545454"/>
          <w:spacing w:val="-5"/>
          <w:sz w:val="20"/>
        </w:rPr>
        <w:t>2C</w:t>
      </w:r>
    </w:p>
    <w:p>
      <w:pPr>
        <w:spacing w:before="90"/>
        <w:ind w:left="141" w:right="0" w:firstLine="0"/>
        <w:jc w:val="left"/>
        <w:rPr>
          <w:sz w:val="20"/>
        </w:rPr>
      </w:pPr>
      <w:r>
        <w:rPr>
          <w:b/>
          <w:color w:val="545454"/>
          <w:sz w:val="20"/>
        </w:rPr>
        <w:t>Subject: </w:t>
      </w:r>
      <w:r>
        <w:rPr>
          <w:color w:val="545454"/>
          <w:sz w:val="20"/>
        </w:rPr>
        <w:t>Information </w:t>
      </w:r>
      <w:r>
        <w:rPr>
          <w:color w:val="545454"/>
          <w:spacing w:val="-2"/>
          <w:sz w:val="20"/>
        </w:rPr>
        <w:t>Security</w:t>
      </w:r>
    </w:p>
    <w:p>
      <w:pPr>
        <w:spacing w:before="90"/>
        <w:ind w:left="141" w:right="0" w:firstLine="0"/>
        <w:jc w:val="left"/>
        <w:rPr>
          <w:sz w:val="20"/>
        </w:rPr>
      </w:pPr>
      <w:r>
        <w:rPr>
          <w:b/>
          <w:color w:val="545454"/>
          <w:sz w:val="20"/>
        </w:rPr>
        <w:t>Date: </w:t>
      </w:r>
      <w:r>
        <w:rPr>
          <w:color w:val="545454"/>
          <w:sz w:val="20"/>
        </w:rPr>
        <w:t>May 13, </w:t>
      </w:r>
      <w:r>
        <w:rPr>
          <w:color w:val="545454"/>
          <w:spacing w:val="-4"/>
          <w:sz w:val="20"/>
        </w:rPr>
        <w:t>2026</w:t>
      </w:r>
    </w:p>
    <w:p>
      <w:pPr>
        <w:pStyle w:val="BodyText"/>
        <w:rPr>
          <w:sz w:val="20"/>
        </w:rPr>
      </w:pPr>
    </w:p>
    <w:p>
      <w:pPr>
        <w:pStyle w:val="BodyText"/>
        <w:spacing w:before="128"/>
        <w:rPr>
          <w:sz w:val="20"/>
        </w:rPr>
      </w:pPr>
    </w:p>
    <w:p>
      <w:pPr>
        <w:pStyle w:val="Title"/>
      </w:pPr>
      <w:bookmarkStart w:name="Case Projects" w:id="1"/>
      <w:bookmarkEnd w:id="1"/>
      <w:r>
        <w:rPr>
          <w:b w:val="0"/>
        </w:rPr>
      </w:r>
      <w:r>
        <w:rPr/>
        <w:t>Case</w:t>
      </w:r>
      <w:r>
        <w:rPr>
          <w:spacing w:val="-2"/>
        </w:rPr>
        <w:t> Projects</w:t>
      </w:r>
    </w:p>
    <w:p>
      <w:pPr>
        <w:pStyle w:val="BodyText"/>
        <w:spacing w:before="9"/>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719999</wp:posOffset>
                </wp:positionH>
                <wp:positionV relativeFrom="paragraph">
                  <wp:posOffset>116347</wp:posOffset>
                </wp:positionV>
                <wp:extent cx="6120130"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rect style="position:absolute;margin-left:56.692913pt;margin-top:9.161185pt;width:481.889778pt;height:1.5pt;mso-position-horizontal-relative:page;mso-position-vertical-relative:paragraph;z-index:-15728640;mso-wrap-distance-left:0;mso-wrap-distance-right:0" id="docshape1" filled="true" fillcolor="#333333" stroked="false">
                <v:fill type="solid"/>
                <w10:wrap type="topAndBottom"/>
              </v:rect>
            </w:pict>
          </mc:Fallback>
        </mc:AlternateContent>
      </w:r>
    </w:p>
    <w:p>
      <w:pPr>
        <w:spacing w:before="436"/>
        <w:ind w:left="141" w:right="0" w:firstLine="0"/>
        <w:jc w:val="left"/>
        <w:rPr>
          <w:b/>
          <w:sz w:val="30"/>
        </w:rPr>
      </w:pPr>
      <w:bookmarkStart w:name="Case Project 1-1: Attack Experiences" w:id="2"/>
      <w:bookmarkEnd w:id="2"/>
      <w:r>
        <w:rPr/>
      </w:r>
      <w:r>
        <w:rPr>
          <w:b/>
          <w:sz w:val="30"/>
        </w:rPr>
        <w:t>Case</w:t>
      </w:r>
      <w:r>
        <w:rPr>
          <w:b/>
          <w:spacing w:val="-4"/>
          <w:sz w:val="30"/>
        </w:rPr>
        <w:t> </w:t>
      </w:r>
      <w:r>
        <w:rPr>
          <w:b/>
          <w:sz w:val="30"/>
        </w:rPr>
        <w:t>Project</w:t>
      </w:r>
      <w:r>
        <w:rPr>
          <w:b/>
          <w:spacing w:val="-3"/>
          <w:sz w:val="30"/>
        </w:rPr>
        <w:t> </w:t>
      </w:r>
      <w:r>
        <w:rPr>
          <w:b/>
          <w:sz w:val="30"/>
        </w:rPr>
        <w:t>1-1:</w:t>
      </w:r>
      <w:r>
        <w:rPr>
          <w:b/>
          <w:spacing w:val="-19"/>
          <w:sz w:val="30"/>
        </w:rPr>
        <w:t> </w:t>
      </w:r>
      <w:r>
        <w:rPr>
          <w:b/>
          <w:sz w:val="30"/>
        </w:rPr>
        <w:t>Attack</w:t>
      </w:r>
      <w:r>
        <w:rPr>
          <w:b/>
          <w:spacing w:val="-3"/>
          <w:sz w:val="30"/>
        </w:rPr>
        <w:t> </w:t>
      </w:r>
      <w:r>
        <w:rPr>
          <w:b/>
          <w:spacing w:val="-2"/>
          <w:sz w:val="30"/>
        </w:rPr>
        <w:t>Experiences</w:t>
      </w:r>
    </w:p>
    <w:p>
      <w:pPr>
        <w:pStyle w:val="BodyText"/>
        <w:spacing w:before="82"/>
        <w:rPr>
          <w:b/>
          <w:sz w:val="30"/>
        </w:rPr>
      </w:pPr>
    </w:p>
    <w:p>
      <w:pPr>
        <w:pStyle w:val="Heading1"/>
        <w:spacing w:before="0"/>
      </w:pPr>
      <w:r>
        <w:rPr/>
        <mc:AlternateContent>
          <mc:Choice Requires="wps">
            <w:drawing>
              <wp:anchor distT="0" distB="0" distL="0" distR="0" allowOverlap="1" layoutInCell="1" locked="0" behindDoc="0" simplePos="0" relativeHeight="15729152">
                <wp:simplePos x="0" y="0"/>
                <wp:positionH relativeFrom="page">
                  <wp:posOffset>719999</wp:posOffset>
                </wp:positionH>
                <wp:positionV relativeFrom="paragraph">
                  <wp:posOffset>-33617</wp:posOffset>
                </wp:positionV>
                <wp:extent cx="38100" cy="26416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444444"/>
                        </a:solidFill>
                      </wps:spPr>
                      <wps:bodyPr wrap="square" lIns="0" tIns="0" rIns="0" bIns="0" rtlCol="0">
                        <a:prstTxWarp prst="textNoShape">
                          <a:avLst/>
                        </a:prstTxWarp>
                        <a:noAutofit/>
                      </wps:bodyPr>
                    </wps:wsp>
                  </a:graphicData>
                </a:graphic>
              </wp:anchor>
            </w:drawing>
          </mc:Choice>
          <mc:Fallback>
            <w:pict>
              <v:rect style="position:absolute;margin-left:56.692913pt;margin-top:-2.647069pt;width:3.0pt;height:20.8pt;mso-position-horizontal-relative:page;mso-position-vertical-relative:paragraph;z-index:15729152" id="docshape2" filled="true" fillcolor="#444444" stroked="false">
                <v:fill type="solid"/>
                <w10:wrap type="none"/>
              </v:rect>
            </w:pict>
          </mc:Fallback>
        </mc:AlternateContent>
      </w:r>
      <w:bookmarkStart w:name="Incident Overview" w:id="3"/>
      <w:bookmarkEnd w:id="3"/>
      <w:r>
        <w:rPr>
          <w:b w:val="0"/>
        </w:rPr>
      </w:r>
      <w:r>
        <w:rPr>
          <w:color w:val="212121"/>
        </w:rPr>
        <w:t>Incident </w:t>
      </w:r>
      <w:r>
        <w:rPr>
          <w:color w:val="212121"/>
          <w:spacing w:val="-2"/>
        </w:rPr>
        <w:t>Overview</w:t>
      </w:r>
    </w:p>
    <w:p>
      <w:pPr>
        <w:pStyle w:val="BodyText"/>
        <w:spacing w:before="29"/>
        <w:rPr>
          <w:b/>
          <w:sz w:val="26"/>
        </w:rPr>
      </w:pPr>
    </w:p>
    <w:p>
      <w:pPr>
        <w:pStyle w:val="BodyText"/>
        <w:spacing w:line="333" w:lineRule="auto" w:before="1"/>
        <w:ind w:left="141" w:right="140"/>
        <w:jc w:val="both"/>
      </w:pPr>
      <w:r>
        <w:rPr>
          <w:color w:val="333333"/>
        </w:rPr>
        <w:t>In early 2025, a critical security incident occurred on a workstation used for developing mobile applications and database prototypes. The attack was identified as a </w:t>
      </w:r>
      <w:r>
        <w:rPr>
          <w:b/>
          <w:color w:val="333333"/>
        </w:rPr>
        <w:t>Ransomware infection</w:t>
      </w:r>
      <w:r>
        <w:rPr>
          <w:color w:val="333333"/>
        </w:rPr>
        <w:t>. It took place shortly after a user downloaded what appeared to be a necessary driver utility from a third-party website </w:t>
      </w:r>
      <w:r>
        <w:rPr>
          <w:color w:val="333333"/>
        </w:rPr>
        <w:t>while troubleshooting hardware compatibility issues.</w:t>
      </w:r>
    </w:p>
    <w:p>
      <w:pPr>
        <w:pStyle w:val="Heading1"/>
      </w:pPr>
      <w:r>
        <w:rPr/>
        <mc:AlternateContent>
          <mc:Choice Requires="wps">
            <w:drawing>
              <wp:anchor distT="0" distB="0" distL="0" distR="0" allowOverlap="1" layoutInCell="1" locked="0" behindDoc="0" simplePos="0" relativeHeight="15729664">
                <wp:simplePos x="0" y="0"/>
                <wp:positionH relativeFrom="page">
                  <wp:posOffset>719999</wp:posOffset>
                </wp:positionH>
                <wp:positionV relativeFrom="paragraph">
                  <wp:posOffset>115283</wp:posOffset>
                </wp:positionV>
                <wp:extent cx="38100" cy="26416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444444"/>
                        </a:solidFill>
                      </wps:spPr>
                      <wps:bodyPr wrap="square" lIns="0" tIns="0" rIns="0" bIns="0" rtlCol="0">
                        <a:prstTxWarp prst="textNoShape">
                          <a:avLst/>
                        </a:prstTxWarp>
                        <a:noAutofit/>
                      </wps:bodyPr>
                    </wps:wsp>
                  </a:graphicData>
                </a:graphic>
              </wp:anchor>
            </w:drawing>
          </mc:Choice>
          <mc:Fallback>
            <w:pict>
              <v:rect style="position:absolute;margin-left:56.692913pt;margin-top:9.077447pt;width:3.0pt;height:20.8pt;mso-position-horizontal-relative:page;mso-position-vertical-relative:paragraph;z-index:15729664" id="docshape3" filled="true" fillcolor="#444444" stroked="false">
                <v:fill type="solid"/>
                <w10:wrap type="none"/>
              </v:rect>
            </w:pict>
          </mc:Fallback>
        </mc:AlternateContent>
      </w:r>
      <w:bookmarkStart w:name="Nature of the Attack and Damage" w:id="4"/>
      <w:bookmarkEnd w:id="4"/>
      <w:r>
        <w:rPr>
          <w:b w:val="0"/>
        </w:rPr>
      </w:r>
      <w:r>
        <w:rPr>
          <w:color w:val="212121"/>
        </w:rPr>
        <w:t>Nature</w:t>
      </w:r>
      <w:r>
        <w:rPr>
          <w:color w:val="212121"/>
          <w:spacing w:val="-4"/>
        </w:rPr>
        <w:t> </w:t>
      </w:r>
      <w:r>
        <w:rPr>
          <w:color w:val="212121"/>
        </w:rPr>
        <w:t>of</w:t>
      </w:r>
      <w:r>
        <w:rPr>
          <w:color w:val="212121"/>
          <w:spacing w:val="-2"/>
        </w:rPr>
        <w:t> </w:t>
      </w:r>
      <w:r>
        <w:rPr>
          <w:color w:val="212121"/>
        </w:rPr>
        <w:t>the</w:t>
      </w:r>
      <w:r>
        <w:rPr>
          <w:color w:val="212121"/>
          <w:spacing w:val="-17"/>
        </w:rPr>
        <w:t> </w:t>
      </w:r>
      <w:r>
        <w:rPr>
          <w:color w:val="212121"/>
        </w:rPr>
        <w:t>Attack</w:t>
      </w:r>
      <w:r>
        <w:rPr>
          <w:color w:val="212121"/>
          <w:spacing w:val="-3"/>
        </w:rPr>
        <w:t> </w:t>
      </w:r>
      <w:r>
        <w:rPr>
          <w:color w:val="212121"/>
        </w:rPr>
        <w:t>and</w:t>
      </w:r>
      <w:r>
        <w:rPr>
          <w:color w:val="212121"/>
          <w:spacing w:val="-3"/>
        </w:rPr>
        <w:t> </w:t>
      </w:r>
      <w:r>
        <w:rPr>
          <w:color w:val="212121"/>
          <w:spacing w:val="-2"/>
        </w:rPr>
        <w:t>Damage</w:t>
      </w:r>
    </w:p>
    <w:p>
      <w:pPr>
        <w:pStyle w:val="BodyText"/>
        <w:spacing w:before="30"/>
        <w:rPr>
          <w:b/>
          <w:sz w:val="26"/>
        </w:rPr>
      </w:pPr>
    </w:p>
    <w:p>
      <w:pPr>
        <w:pStyle w:val="BodyText"/>
        <w:spacing w:line="333" w:lineRule="auto"/>
        <w:ind w:left="141" w:right="132"/>
        <w:jc w:val="both"/>
      </w:pPr>
      <w:r>
        <w:rPr>
          <w:color w:val="333333"/>
        </w:rPr>
        <w:t>The attack was a payload-based ransomware that immediately began encrypting high-value file types, including .java, .kt, .php, and .sql files. This effectively locked several weeks of progress on academic and personal coding projects. In addition to data encryption, the malware disabled the Windows Task Manager and modified the boot configuration to prevent entering Safe Mode, rendering the system almost entirely unresponsive to standard recovery attempts.</w:t>
      </w:r>
    </w:p>
    <w:p>
      <w:pPr>
        <w:pStyle w:val="Heading1"/>
        <w:spacing w:before="235"/>
      </w:pPr>
      <w:r>
        <w:rPr/>
        <mc:AlternateContent>
          <mc:Choice Requires="wps">
            <w:drawing>
              <wp:anchor distT="0" distB="0" distL="0" distR="0" allowOverlap="1" layoutInCell="1" locked="0" behindDoc="0" simplePos="0" relativeHeight="15730176">
                <wp:simplePos x="0" y="0"/>
                <wp:positionH relativeFrom="page">
                  <wp:posOffset>719999</wp:posOffset>
                </wp:positionH>
                <wp:positionV relativeFrom="paragraph">
                  <wp:posOffset>115823</wp:posOffset>
                </wp:positionV>
                <wp:extent cx="38100" cy="26416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444444"/>
                        </a:solidFill>
                      </wps:spPr>
                      <wps:bodyPr wrap="square" lIns="0" tIns="0" rIns="0" bIns="0" rtlCol="0">
                        <a:prstTxWarp prst="textNoShape">
                          <a:avLst/>
                        </a:prstTxWarp>
                        <a:noAutofit/>
                      </wps:bodyPr>
                    </wps:wsp>
                  </a:graphicData>
                </a:graphic>
              </wp:anchor>
            </w:drawing>
          </mc:Choice>
          <mc:Fallback>
            <w:pict>
              <v:rect style="position:absolute;margin-left:56.692913pt;margin-top:9.119955pt;width:3.0pt;height:20.8pt;mso-position-horizontal-relative:page;mso-position-vertical-relative:paragraph;z-index:15730176" id="docshape4" filled="true" fillcolor="#444444" stroked="false">
                <v:fill type="solid"/>
                <w10:wrap type="none"/>
              </v:rect>
            </w:pict>
          </mc:Fallback>
        </mc:AlternateContent>
      </w:r>
      <w:bookmarkStart w:name="Analysis of Success" w:id="5"/>
      <w:bookmarkEnd w:id="5"/>
      <w:r>
        <w:rPr>
          <w:b w:val="0"/>
        </w:rPr>
      </w:r>
      <w:r>
        <w:rPr>
          <w:color w:val="212121"/>
        </w:rPr>
        <w:t>Analysis</w:t>
      </w:r>
      <w:r>
        <w:rPr>
          <w:color w:val="212121"/>
          <w:spacing w:val="-5"/>
        </w:rPr>
        <w:t> </w:t>
      </w:r>
      <w:r>
        <w:rPr>
          <w:color w:val="212121"/>
        </w:rPr>
        <w:t>of</w:t>
      </w:r>
      <w:r>
        <w:rPr>
          <w:color w:val="212121"/>
          <w:spacing w:val="-3"/>
        </w:rPr>
        <w:t> </w:t>
      </w:r>
      <w:r>
        <w:rPr>
          <w:color w:val="212121"/>
          <w:spacing w:val="-2"/>
        </w:rPr>
        <w:t>Success</w:t>
      </w:r>
    </w:p>
    <w:p>
      <w:pPr>
        <w:pStyle w:val="BodyText"/>
        <w:spacing w:before="30"/>
        <w:rPr>
          <w:b/>
          <w:sz w:val="26"/>
        </w:rPr>
      </w:pPr>
    </w:p>
    <w:p>
      <w:pPr>
        <w:pStyle w:val="BodyText"/>
        <w:spacing w:line="333" w:lineRule="auto"/>
        <w:ind w:left="141" w:right="141"/>
        <w:jc w:val="both"/>
      </w:pPr>
      <w:r>
        <w:rPr>
          <w:color w:val="333333"/>
        </w:rPr>
        <w:t>Based on technical evaluation and common security frameworks, the attack was successful due to several intersecting vulnerabilities:</w:t>
      </w:r>
    </w:p>
    <w:p>
      <w:pPr>
        <w:pStyle w:val="BodyText"/>
        <w:spacing w:before="8"/>
        <w:rPr>
          <w:sz w:val="15"/>
        </w:rPr>
      </w:pPr>
    </w:p>
    <w:tbl>
      <w:tblPr>
        <w:tblW w:w="0" w:type="auto"/>
        <w:jc w:val="left"/>
        <w:tblInd w:w="156"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2124"/>
        <w:gridCol w:w="7498"/>
      </w:tblGrid>
      <w:tr>
        <w:trPr>
          <w:trHeight w:val="560" w:hRule="atLeast"/>
        </w:trPr>
        <w:tc>
          <w:tcPr>
            <w:tcW w:w="2124" w:type="dxa"/>
            <w:shd w:val="clear" w:color="auto" w:fill="F2F2F2"/>
          </w:tcPr>
          <w:p>
            <w:pPr>
              <w:pStyle w:val="TableParagraph"/>
              <w:rPr>
                <w:b/>
                <w:sz w:val="20"/>
              </w:rPr>
            </w:pPr>
            <w:r>
              <w:rPr>
                <w:b/>
                <w:color w:val="333333"/>
                <w:spacing w:val="-2"/>
                <w:sz w:val="20"/>
              </w:rPr>
              <w:t>Factor</w:t>
            </w:r>
          </w:p>
        </w:tc>
        <w:tc>
          <w:tcPr>
            <w:tcW w:w="7498" w:type="dxa"/>
            <w:shd w:val="clear" w:color="auto" w:fill="F2F2F2"/>
          </w:tcPr>
          <w:p>
            <w:pPr>
              <w:pStyle w:val="TableParagraph"/>
              <w:rPr>
                <w:b/>
                <w:sz w:val="20"/>
              </w:rPr>
            </w:pPr>
            <w:r>
              <w:rPr>
                <w:b/>
                <w:color w:val="333333"/>
                <w:sz w:val="20"/>
              </w:rPr>
              <w:t>Reasoning for</w:t>
            </w:r>
            <w:r>
              <w:rPr>
                <w:b/>
                <w:color w:val="333333"/>
                <w:spacing w:val="-4"/>
                <w:sz w:val="20"/>
              </w:rPr>
              <w:t> </w:t>
            </w:r>
            <w:r>
              <w:rPr>
                <w:b/>
                <w:color w:val="333333"/>
                <w:spacing w:val="-2"/>
                <w:sz w:val="20"/>
              </w:rPr>
              <w:t>Success</w:t>
            </w:r>
          </w:p>
        </w:tc>
      </w:tr>
      <w:tr>
        <w:trPr>
          <w:trHeight w:val="879" w:hRule="atLeast"/>
        </w:trPr>
        <w:tc>
          <w:tcPr>
            <w:tcW w:w="2124" w:type="dxa"/>
          </w:tcPr>
          <w:p>
            <w:pPr>
              <w:pStyle w:val="TableParagraph"/>
              <w:spacing w:line="333" w:lineRule="auto"/>
              <w:rPr>
                <w:b/>
                <w:sz w:val="20"/>
              </w:rPr>
            </w:pPr>
            <w:r>
              <w:rPr>
                <w:b/>
                <w:color w:val="333333"/>
                <w:spacing w:val="-2"/>
                <w:sz w:val="20"/>
              </w:rPr>
              <w:t>Administrative Privileges</w:t>
            </w:r>
          </w:p>
        </w:tc>
        <w:tc>
          <w:tcPr>
            <w:tcW w:w="7498" w:type="dxa"/>
          </w:tcPr>
          <w:p>
            <w:pPr>
              <w:pStyle w:val="TableParagraph"/>
              <w:spacing w:line="333" w:lineRule="auto"/>
              <w:ind w:right="73"/>
              <w:rPr>
                <w:sz w:val="20"/>
              </w:rPr>
            </w:pPr>
            <w:r>
              <w:rPr>
                <w:color w:val="333333"/>
                <w:sz w:val="20"/>
              </w:rPr>
              <w:t>The</w:t>
            </w:r>
            <w:r>
              <w:rPr>
                <w:color w:val="333333"/>
                <w:spacing w:val="-3"/>
                <w:sz w:val="20"/>
              </w:rPr>
              <w:t> </w:t>
            </w:r>
            <w:r>
              <w:rPr>
                <w:color w:val="333333"/>
                <w:sz w:val="20"/>
              </w:rPr>
              <w:t>user</w:t>
            </w:r>
            <w:r>
              <w:rPr>
                <w:color w:val="333333"/>
                <w:spacing w:val="-3"/>
                <w:sz w:val="20"/>
              </w:rPr>
              <w:t> </w:t>
            </w:r>
            <w:r>
              <w:rPr>
                <w:color w:val="333333"/>
                <w:sz w:val="20"/>
              </w:rPr>
              <w:t>was</w:t>
            </w:r>
            <w:r>
              <w:rPr>
                <w:color w:val="333333"/>
                <w:spacing w:val="-4"/>
                <w:sz w:val="20"/>
              </w:rPr>
              <w:t> </w:t>
            </w:r>
            <w:r>
              <w:rPr>
                <w:color w:val="333333"/>
                <w:sz w:val="20"/>
              </w:rPr>
              <w:t>logged</w:t>
            </w:r>
            <w:r>
              <w:rPr>
                <w:color w:val="333333"/>
                <w:spacing w:val="-3"/>
                <w:sz w:val="20"/>
              </w:rPr>
              <w:t> </w:t>
            </w:r>
            <w:r>
              <w:rPr>
                <w:color w:val="333333"/>
                <w:sz w:val="20"/>
              </w:rPr>
              <w:t>into</w:t>
            </w:r>
            <w:r>
              <w:rPr>
                <w:color w:val="333333"/>
                <w:spacing w:val="-3"/>
                <w:sz w:val="20"/>
              </w:rPr>
              <w:t> </w:t>
            </w:r>
            <w:r>
              <w:rPr>
                <w:color w:val="333333"/>
                <w:sz w:val="20"/>
              </w:rPr>
              <w:t>an</w:t>
            </w:r>
            <w:r>
              <w:rPr>
                <w:color w:val="333333"/>
                <w:spacing w:val="-3"/>
                <w:sz w:val="20"/>
              </w:rPr>
              <w:t> </w:t>
            </w:r>
            <w:r>
              <w:rPr>
                <w:color w:val="333333"/>
                <w:sz w:val="20"/>
              </w:rPr>
              <w:t>account</w:t>
            </w:r>
            <w:r>
              <w:rPr>
                <w:color w:val="333333"/>
                <w:spacing w:val="-3"/>
                <w:sz w:val="20"/>
              </w:rPr>
              <w:t> </w:t>
            </w:r>
            <w:r>
              <w:rPr>
                <w:color w:val="333333"/>
                <w:sz w:val="20"/>
              </w:rPr>
              <w:t>with</w:t>
            </w:r>
            <w:r>
              <w:rPr>
                <w:color w:val="333333"/>
                <w:spacing w:val="-3"/>
                <w:sz w:val="20"/>
              </w:rPr>
              <w:t> </w:t>
            </w:r>
            <w:r>
              <w:rPr>
                <w:color w:val="333333"/>
                <w:sz w:val="20"/>
              </w:rPr>
              <w:t>full</w:t>
            </w:r>
            <w:r>
              <w:rPr>
                <w:color w:val="333333"/>
                <w:spacing w:val="-3"/>
                <w:sz w:val="20"/>
              </w:rPr>
              <w:t> </w:t>
            </w:r>
            <w:r>
              <w:rPr>
                <w:color w:val="333333"/>
                <w:sz w:val="20"/>
              </w:rPr>
              <w:t>administrative</w:t>
            </w:r>
            <w:r>
              <w:rPr>
                <w:color w:val="333333"/>
                <w:spacing w:val="-3"/>
                <w:sz w:val="20"/>
              </w:rPr>
              <w:t> </w:t>
            </w:r>
            <w:r>
              <w:rPr>
                <w:color w:val="333333"/>
                <w:sz w:val="20"/>
              </w:rPr>
              <w:t>rights,</w:t>
            </w:r>
            <w:r>
              <w:rPr>
                <w:color w:val="333333"/>
                <w:spacing w:val="-3"/>
                <w:sz w:val="20"/>
              </w:rPr>
              <w:t> </w:t>
            </w:r>
            <w:r>
              <w:rPr>
                <w:color w:val="333333"/>
                <w:sz w:val="20"/>
              </w:rPr>
              <w:t>allowing</w:t>
            </w:r>
            <w:r>
              <w:rPr>
                <w:color w:val="333333"/>
                <w:spacing w:val="-3"/>
                <w:sz w:val="20"/>
              </w:rPr>
              <w:t> </w:t>
            </w:r>
            <w:r>
              <w:rPr>
                <w:color w:val="333333"/>
                <w:sz w:val="20"/>
              </w:rPr>
              <w:t>the</w:t>
            </w:r>
            <w:r>
              <w:rPr>
                <w:color w:val="333333"/>
                <w:spacing w:val="-3"/>
                <w:sz w:val="20"/>
              </w:rPr>
              <w:t> </w:t>
            </w:r>
            <w:r>
              <w:rPr>
                <w:color w:val="333333"/>
                <w:sz w:val="20"/>
              </w:rPr>
              <w:t>malware to execute system-level registry changes without further authorization.</w:t>
            </w:r>
          </w:p>
        </w:tc>
      </w:tr>
      <w:tr>
        <w:trPr>
          <w:trHeight w:val="880" w:hRule="atLeast"/>
        </w:trPr>
        <w:tc>
          <w:tcPr>
            <w:tcW w:w="2124" w:type="dxa"/>
          </w:tcPr>
          <w:p>
            <w:pPr>
              <w:pStyle w:val="TableParagraph"/>
              <w:spacing w:line="333" w:lineRule="auto"/>
              <w:ind w:right="667"/>
              <w:rPr>
                <w:b/>
                <w:sz w:val="20"/>
              </w:rPr>
            </w:pPr>
            <w:r>
              <w:rPr>
                <w:b/>
                <w:color w:val="333333"/>
                <w:spacing w:val="-2"/>
                <w:sz w:val="20"/>
              </w:rPr>
              <w:t>Phishing/Social Engineering</w:t>
            </w:r>
          </w:p>
        </w:tc>
        <w:tc>
          <w:tcPr>
            <w:tcW w:w="7498" w:type="dxa"/>
          </w:tcPr>
          <w:p>
            <w:pPr>
              <w:pStyle w:val="TableParagraph"/>
              <w:spacing w:line="333" w:lineRule="auto"/>
              <w:ind w:right="213"/>
              <w:rPr>
                <w:sz w:val="20"/>
              </w:rPr>
            </w:pPr>
            <w:r>
              <w:rPr>
                <w:color w:val="333333"/>
                <w:sz w:val="20"/>
              </w:rPr>
              <w:t>The</w:t>
            </w:r>
            <w:r>
              <w:rPr>
                <w:color w:val="333333"/>
                <w:spacing w:val="-4"/>
                <w:sz w:val="20"/>
              </w:rPr>
              <w:t> </w:t>
            </w:r>
            <w:r>
              <w:rPr>
                <w:color w:val="333333"/>
                <w:sz w:val="20"/>
              </w:rPr>
              <w:t>malicious</w:t>
            </w:r>
            <w:r>
              <w:rPr>
                <w:color w:val="333333"/>
                <w:spacing w:val="-5"/>
                <w:sz w:val="20"/>
              </w:rPr>
              <w:t> </w:t>
            </w:r>
            <w:r>
              <w:rPr>
                <w:color w:val="333333"/>
                <w:sz w:val="20"/>
              </w:rPr>
              <w:t>site</w:t>
            </w:r>
            <w:r>
              <w:rPr>
                <w:color w:val="333333"/>
                <w:spacing w:val="-4"/>
                <w:sz w:val="20"/>
              </w:rPr>
              <w:t> </w:t>
            </w:r>
            <w:r>
              <w:rPr>
                <w:color w:val="333333"/>
                <w:sz w:val="20"/>
              </w:rPr>
              <w:t>successfully</w:t>
            </w:r>
            <w:r>
              <w:rPr>
                <w:color w:val="333333"/>
                <w:spacing w:val="-4"/>
                <w:sz w:val="20"/>
              </w:rPr>
              <w:t> </w:t>
            </w:r>
            <w:r>
              <w:rPr>
                <w:color w:val="333333"/>
                <w:sz w:val="20"/>
              </w:rPr>
              <w:t>mimicked</w:t>
            </w:r>
            <w:r>
              <w:rPr>
                <w:color w:val="333333"/>
                <w:spacing w:val="-4"/>
                <w:sz w:val="20"/>
              </w:rPr>
              <w:t> </w:t>
            </w:r>
            <w:r>
              <w:rPr>
                <w:color w:val="333333"/>
                <w:sz w:val="20"/>
              </w:rPr>
              <w:t>a</w:t>
            </w:r>
            <w:r>
              <w:rPr>
                <w:color w:val="333333"/>
                <w:spacing w:val="-4"/>
                <w:sz w:val="20"/>
              </w:rPr>
              <w:t> </w:t>
            </w:r>
            <w:r>
              <w:rPr>
                <w:color w:val="333333"/>
                <w:sz w:val="20"/>
              </w:rPr>
              <w:t>legitimate</w:t>
            </w:r>
            <w:r>
              <w:rPr>
                <w:color w:val="333333"/>
                <w:spacing w:val="-4"/>
                <w:sz w:val="20"/>
              </w:rPr>
              <w:t> </w:t>
            </w:r>
            <w:r>
              <w:rPr>
                <w:color w:val="333333"/>
                <w:sz w:val="20"/>
              </w:rPr>
              <w:t>hardware</w:t>
            </w:r>
            <w:r>
              <w:rPr>
                <w:color w:val="333333"/>
                <w:spacing w:val="-4"/>
                <w:sz w:val="20"/>
              </w:rPr>
              <w:t> </w:t>
            </w:r>
            <w:r>
              <w:rPr>
                <w:color w:val="333333"/>
                <w:sz w:val="20"/>
              </w:rPr>
              <w:t>support</w:t>
            </w:r>
            <w:r>
              <w:rPr>
                <w:color w:val="333333"/>
                <w:spacing w:val="-4"/>
                <w:sz w:val="20"/>
              </w:rPr>
              <w:t> </w:t>
            </w:r>
            <w:r>
              <w:rPr>
                <w:color w:val="333333"/>
                <w:sz w:val="20"/>
              </w:rPr>
              <w:t>portal,</w:t>
            </w:r>
            <w:r>
              <w:rPr>
                <w:color w:val="333333"/>
                <w:spacing w:val="-4"/>
                <w:sz w:val="20"/>
              </w:rPr>
              <w:t> </w:t>
            </w:r>
            <w:r>
              <w:rPr>
                <w:color w:val="333333"/>
                <w:sz w:val="20"/>
              </w:rPr>
              <w:t>leading the user to bypass standard security warnings.</w:t>
            </w:r>
          </w:p>
        </w:tc>
      </w:tr>
      <w:tr>
        <w:trPr>
          <w:trHeight w:val="880" w:hRule="atLeast"/>
        </w:trPr>
        <w:tc>
          <w:tcPr>
            <w:tcW w:w="2124" w:type="dxa"/>
          </w:tcPr>
          <w:p>
            <w:pPr>
              <w:pStyle w:val="TableParagraph"/>
              <w:spacing w:line="333" w:lineRule="auto"/>
              <w:rPr>
                <w:b/>
                <w:sz w:val="20"/>
              </w:rPr>
            </w:pPr>
            <w:r>
              <w:rPr>
                <w:b/>
                <w:color w:val="333333"/>
                <w:sz w:val="20"/>
              </w:rPr>
              <w:t>Lack</w:t>
            </w:r>
            <w:r>
              <w:rPr>
                <w:b/>
                <w:color w:val="333333"/>
                <w:spacing w:val="-13"/>
                <w:sz w:val="20"/>
              </w:rPr>
              <w:t> </w:t>
            </w:r>
            <w:r>
              <w:rPr>
                <w:b/>
                <w:color w:val="333333"/>
                <w:sz w:val="20"/>
              </w:rPr>
              <w:t>of</w:t>
            </w:r>
            <w:r>
              <w:rPr>
                <w:b/>
                <w:color w:val="333333"/>
                <w:spacing w:val="-12"/>
                <w:sz w:val="20"/>
              </w:rPr>
              <w:t> </w:t>
            </w:r>
            <w:r>
              <w:rPr>
                <w:b/>
                <w:color w:val="333333"/>
                <w:sz w:val="20"/>
              </w:rPr>
              <w:t>Real-</w:t>
            </w:r>
            <w:r>
              <w:rPr>
                <w:b/>
                <w:color w:val="333333"/>
                <w:sz w:val="20"/>
              </w:rPr>
              <w:t>time </w:t>
            </w:r>
            <w:r>
              <w:rPr>
                <w:b/>
                <w:color w:val="333333"/>
                <w:spacing w:val="-2"/>
                <w:sz w:val="20"/>
              </w:rPr>
              <w:t>Scanning</w:t>
            </w:r>
          </w:p>
        </w:tc>
        <w:tc>
          <w:tcPr>
            <w:tcW w:w="7498" w:type="dxa"/>
          </w:tcPr>
          <w:p>
            <w:pPr>
              <w:pStyle w:val="TableParagraph"/>
              <w:spacing w:line="333" w:lineRule="auto"/>
              <w:ind w:right="213"/>
              <w:rPr>
                <w:sz w:val="20"/>
              </w:rPr>
            </w:pPr>
            <w:r>
              <w:rPr>
                <w:color w:val="333333"/>
                <w:sz w:val="20"/>
              </w:rPr>
              <w:t>The</w:t>
            </w:r>
            <w:r>
              <w:rPr>
                <w:color w:val="333333"/>
                <w:spacing w:val="-4"/>
                <w:sz w:val="20"/>
              </w:rPr>
              <w:t> </w:t>
            </w:r>
            <w:r>
              <w:rPr>
                <w:color w:val="333333"/>
                <w:sz w:val="20"/>
              </w:rPr>
              <w:t>installed</w:t>
            </w:r>
            <w:r>
              <w:rPr>
                <w:color w:val="333333"/>
                <w:spacing w:val="-4"/>
                <w:sz w:val="20"/>
              </w:rPr>
              <w:t> </w:t>
            </w:r>
            <w:r>
              <w:rPr>
                <w:color w:val="333333"/>
                <w:sz w:val="20"/>
              </w:rPr>
              <w:t>antivirus</w:t>
            </w:r>
            <w:r>
              <w:rPr>
                <w:color w:val="333333"/>
                <w:spacing w:val="-5"/>
                <w:sz w:val="20"/>
              </w:rPr>
              <w:t> </w:t>
            </w:r>
            <w:r>
              <w:rPr>
                <w:color w:val="333333"/>
                <w:sz w:val="20"/>
              </w:rPr>
              <w:t>definitions</w:t>
            </w:r>
            <w:r>
              <w:rPr>
                <w:color w:val="333333"/>
                <w:spacing w:val="-5"/>
                <w:sz w:val="20"/>
              </w:rPr>
              <w:t> </w:t>
            </w:r>
            <w:r>
              <w:rPr>
                <w:color w:val="333333"/>
                <w:sz w:val="20"/>
              </w:rPr>
              <w:t>were</w:t>
            </w:r>
            <w:r>
              <w:rPr>
                <w:color w:val="333333"/>
                <w:spacing w:val="-4"/>
                <w:sz w:val="20"/>
              </w:rPr>
              <w:t> </w:t>
            </w:r>
            <w:r>
              <w:rPr>
                <w:color w:val="333333"/>
                <w:sz w:val="20"/>
              </w:rPr>
              <w:t>outdated</w:t>
            </w:r>
            <w:r>
              <w:rPr>
                <w:color w:val="333333"/>
                <w:spacing w:val="-4"/>
                <w:sz w:val="20"/>
              </w:rPr>
              <w:t> </w:t>
            </w:r>
            <w:r>
              <w:rPr>
                <w:color w:val="333333"/>
                <w:sz w:val="20"/>
              </w:rPr>
              <w:t>by</w:t>
            </w:r>
            <w:r>
              <w:rPr>
                <w:color w:val="333333"/>
                <w:spacing w:val="-4"/>
                <w:sz w:val="20"/>
              </w:rPr>
              <w:t> </w:t>
            </w:r>
            <w:r>
              <w:rPr>
                <w:color w:val="333333"/>
                <w:sz w:val="20"/>
              </w:rPr>
              <w:t>several</w:t>
            </w:r>
            <w:r>
              <w:rPr>
                <w:color w:val="333333"/>
                <w:spacing w:val="-4"/>
                <w:sz w:val="20"/>
              </w:rPr>
              <w:t> </w:t>
            </w:r>
            <w:r>
              <w:rPr>
                <w:color w:val="333333"/>
                <w:sz w:val="20"/>
              </w:rPr>
              <w:t>days,</w:t>
            </w:r>
            <w:r>
              <w:rPr>
                <w:color w:val="333333"/>
                <w:spacing w:val="-4"/>
                <w:sz w:val="20"/>
              </w:rPr>
              <w:t> </w:t>
            </w:r>
            <w:r>
              <w:rPr>
                <w:color w:val="333333"/>
                <w:sz w:val="20"/>
              </w:rPr>
              <w:t>which</w:t>
            </w:r>
            <w:r>
              <w:rPr>
                <w:color w:val="333333"/>
                <w:spacing w:val="-4"/>
                <w:sz w:val="20"/>
              </w:rPr>
              <w:t> </w:t>
            </w:r>
            <w:r>
              <w:rPr>
                <w:color w:val="333333"/>
                <w:sz w:val="20"/>
              </w:rPr>
              <w:t>allowed</w:t>
            </w:r>
            <w:r>
              <w:rPr>
                <w:color w:val="333333"/>
                <w:spacing w:val="-4"/>
                <w:sz w:val="20"/>
              </w:rPr>
              <w:t> </w:t>
            </w:r>
            <w:r>
              <w:rPr>
                <w:color w:val="333333"/>
                <w:sz w:val="20"/>
              </w:rPr>
              <w:t>the newer ransomware signature to go undetected during the initial download.</w:t>
            </w:r>
          </w:p>
        </w:tc>
      </w:tr>
    </w:tbl>
    <w:p>
      <w:pPr>
        <w:pStyle w:val="TableParagraph"/>
        <w:spacing w:after="0" w:line="333" w:lineRule="auto"/>
        <w:rPr>
          <w:sz w:val="20"/>
        </w:rPr>
        <w:sectPr>
          <w:type w:val="continuous"/>
          <w:pgSz w:w="11910" w:h="16840"/>
          <w:pgMar w:top="1080" w:bottom="280" w:left="992" w:right="992"/>
        </w:sectPr>
      </w:pPr>
    </w:p>
    <w:p>
      <w:pPr>
        <w:pStyle w:val="Heading1"/>
        <w:spacing w:before="69"/>
      </w:pPr>
      <w:r>
        <w:rPr/>
        <mc:AlternateContent>
          <mc:Choice Requires="wps">
            <w:drawing>
              <wp:anchor distT="0" distB="0" distL="0" distR="0" allowOverlap="1" layoutInCell="1" locked="0" behindDoc="0" simplePos="0" relativeHeight="15731200">
                <wp:simplePos x="0" y="0"/>
                <wp:positionH relativeFrom="page">
                  <wp:posOffset>719999</wp:posOffset>
                </wp:positionH>
                <wp:positionV relativeFrom="paragraph">
                  <wp:posOffset>10200</wp:posOffset>
                </wp:positionV>
                <wp:extent cx="38100" cy="26416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444444"/>
                        </a:solidFill>
                      </wps:spPr>
                      <wps:bodyPr wrap="square" lIns="0" tIns="0" rIns="0" bIns="0" rtlCol="0">
                        <a:prstTxWarp prst="textNoShape">
                          <a:avLst/>
                        </a:prstTxWarp>
                        <a:noAutofit/>
                      </wps:bodyPr>
                    </wps:wsp>
                  </a:graphicData>
                </a:graphic>
              </wp:anchor>
            </w:drawing>
          </mc:Choice>
          <mc:Fallback>
            <w:pict>
              <v:rect style="position:absolute;margin-left:56.692913pt;margin-top:.803173pt;width:3.0pt;height:20.8pt;mso-position-horizontal-relative:page;mso-position-vertical-relative:paragraph;z-index:15731200" id="docshape5" filled="true" fillcolor="#444444" stroked="false">
                <v:fill type="solid"/>
                <w10:wrap type="none"/>
              </v:rect>
            </w:pict>
          </mc:Fallback>
        </mc:AlternateContent>
      </w:r>
      <w:bookmarkStart w:name="Recovery and Resolution" w:id="6"/>
      <w:bookmarkEnd w:id="6"/>
      <w:r>
        <w:rPr>
          <w:b w:val="0"/>
        </w:rPr>
      </w:r>
      <w:r>
        <w:rPr>
          <w:color w:val="212121"/>
        </w:rPr>
        <w:t>Recovery</w:t>
      </w:r>
      <w:r>
        <w:rPr>
          <w:color w:val="212121"/>
          <w:spacing w:val="-1"/>
        </w:rPr>
        <w:t> </w:t>
      </w:r>
      <w:r>
        <w:rPr>
          <w:color w:val="212121"/>
        </w:rPr>
        <w:t>and</w:t>
      </w:r>
      <w:r>
        <w:rPr>
          <w:color w:val="212121"/>
          <w:spacing w:val="-2"/>
        </w:rPr>
        <w:t> Resolution</w:t>
      </w:r>
    </w:p>
    <w:p>
      <w:pPr>
        <w:pStyle w:val="BodyText"/>
        <w:spacing w:before="29"/>
        <w:rPr>
          <w:b/>
          <w:sz w:val="26"/>
        </w:rPr>
      </w:pPr>
    </w:p>
    <w:p>
      <w:pPr>
        <w:pStyle w:val="BodyText"/>
        <w:spacing w:line="333" w:lineRule="auto" w:before="1"/>
        <w:ind w:left="141" w:right="139"/>
        <w:jc w:val="both"/>
      </w:pPr>
      <w:r>
        <w:rPr>
          <w:color w:val="333333"/>
        </w:rPr>
        <w:t>The computer was fixed by performing a low-level format of the primary storage drive to ensure all</w:t>
      </w:r>
      <w:r>
        <w:rPr>
          <w:color w:val="333333"/>
          <w:spacing w:val="40"/>
        </w:rPr>
        <w:t> </w:t>
      </w:r>
      <w:r>
        <w:rPr>
          <w:color w:val="333333"/>
        </w:rPr>
        <w:t>malicious sectors were cleared. This was followed by a clean installation of the operating system. Data recovery was partially successful through the use of an external backup drive that was fortunately disconnected during the time of the attack, though approximately 15% of the most recent work was lost.</w:t>
      </w:r>
    </w:p>
    <w:p>
      <w:pPr>
        <w:pStyle w:val="Heading1"/>
      </w:pPr>
      <w:r>
        <w:rPr/>
        <mc:AlternateContent>
          <mc:Choice Requires="wps">
            <w:drawing>
              <wp:anchor distT="0" distB="0" distL="0" distR="0" allowOverlap="1" layoutInCell="1" locked="0" behindDoc="0" simplePos="0" relativeHeight="15731712">
                <wp:simplePos x="0" y="0"/>
                <wp:positionH relativeFrom="page">
                  <wp:posOffset>719999</wp:posOffset>
                </wp:positionH>
                <wp:positionV relativeFrom="paragraph">
                  <wp:posOffset>115286</wp:posOffset>
                </wp:positionV>
                <wp:extent cx="38100" cy="26416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444444"/>
                        </a:solidFill>
                      </wps:spPr>
                      <wps:bodyPr wrap="square" lIns="0" tIns="0" rIns="0" bIns="0" rtlCol="0">
                        <a:prstTxWarp prst="textNoShape">
                          <a:avLst/>
                        </a:prstTxWarp>
                        <a:noAutofit/>
                      </wps:bodyPr>
                    </wps:wsp>
                  </a:graphicData>
                </a:graphic>
              </wp:anchor>
            </w:drawing>
          </mc:Choice>
          <mc:Fallback>
            <w:pict>
              <v:rect style="position:absolute;margin-left:56.692913pt;margin-top:9.077688pt;width:3.0pt;height:20.8pt;mso-position-horizontal-relative:page;mso-position-vertical-relative:paragraph;z-index:15731712" id="docshape6" filled="true" fillcolor="#444444" stroked="false">
                <v:fill type="solid"/>
                <w10:wrap type="none"/>
              </v:rect>
            </w:pict>
          </mc:Fallback>
        </mc:AlternateContent>
      </w:r>
      <w:bookmarkStart w:name="Preventative Measures" w:id="7"/>
      <w:bookmarkEnd w:id="7"/>
      <w:r>
        <w:rPr>
          <w:b w:val="0"/>
        </w:rPr>
      </w:r>
      <w:r>
        <w:rPr>
          <w:color w:val="212121"/>
        </w:rPr>
        <w:t>Preventative</w:t>
      </w:r>
      <w:r>
        <w:rPr>
          <w:color w:val="212121"/>
          <w:spacing w:val="-5"/>
        </w:rPr>
        <w:t> </w:t>
      </w:r>
      <w:r>
        <w:rPr>
          <w:color w:val="212121"/>
          <w:spacing w:val="-2"/>
        </w:rPr>
        <w:t>Measures</w:t>
      </w:r>
    </w:p>
    <w:p>
      <w:pPr>
        <w:pStyle w:val="BodyText"/>
        <w:spacing w:before="30"/>
        <w:rPr>
          <w:b/>
          <w:sz w:val="26"/>
        </w:rPr>
      </w:pPr>
    </w:p>
    <w:p>
      <w:pPr>
        <w:pStyle w:val="BodyText"/>
        <w:spacing w:line="333" w:lineRule="auto"/>
        <w:ind w:left="141" w:right="138"/>
        <w:jc w:val="both"/>
      </w:pPr>
      <w:r>
        <w:rPr>
          <w:color w:val="333333"/>
        </w:rPr>
        <w:t>To prevent a recurrence, several new protocols have been established. This includes the use of a standard (non-admin) user account for daily development tasks, the implementation of "3-2-1" backup strategy (including automated cloud syncing), and the activation of behavioral-based endpoint detection software </w:t>
      </w:r>
      <w:r>
        <w:rPr>
          <w:color w:val="333333"/>
        </w:rPr>
        <w:t>that can identify encryption patterns even if a specific virus signature is unknown.</w:t>
      </w:r>
    </w:p>
    <w:p>
      <w:pPr>
        <w:pStyle w:val="BodyText"/>
        <w:spacing w:before="2"/>
        <w:rPr>
          <w:sz w:val="20"/>
        </w:rPr>
      </w:pPr>
      <w:r>
        <w:rPr>
          <w:sz w:val="20"/>
        </w:rPr>
        <mc:AlternateContent>
          <mc:Choice Requires="wps">
            <w:drawing>
              <wp:anchor distT="0" distB="0" distL="0" distR="0" allowOverlap="1" layoutInCell="1" locked="0" behindDoc="1" simplePos="0" relativeHeight="487589888">
                <wp:simplePos x="0" y="0"/>
                <wp:positionH relativeFrom="page">
                  <wp:posOffset>724762</wp:posOffset>
                </wp:positionH>
                <wp:positionV relativeFrom="paragraph">
                  <wp:posOffset>167627</wp:posOffset>
                </wp:positionV>
                <wp:extent cx="6110605" cy="74231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110605" cy="742315"/>
                        </a:xfrm>
                        <a:prstGeom prst="rect">
                          <a:avLst/>
                        </a:prstGeom>
                        <a:solidFill>
                          <a:srgbClr val="F9F9F9"/>
                        </a:solidFill>
                        <a:ln w="9525">
                          <a:solidFill>
                            <a:srgbClr val="DDDDDD"/>
                          </a:solidFill>
                          <a:prstDash val="solid"/>
                        </a:ln>
                      </wps:spPr>
                      <wps:txbx>
                        <w:txbxContent>
                          <w:p>
                            <w:pPr>
                              <w:pStyle w:val="BodyText"/>
                              <w:spacing w:before="17"/>
                              <w:rPr>
                                <w:color w:val="000000"/>
                              </w:rPr>
                            </w:pPr>
                          </w:p>
                          <w:p>
                            <w:pPr>
                              <w:spacing w:line="333" w:lineRule="auto" w:before="0"/>
                              <w:ind w:left="224" w:right="224" w:firstLine="0"/>
                              <w:jc w:val="left"/>
                              <w:rPr>
                                <w:i/>
                                <w:color w:val="000000"/>
                                <w:sz w:val="22"/>
                              </w:rPr>
                            </w:pPr>
                            <w:r>
                              <w:rPr>
                                <w:i/>
                                <w:color w:val="333333"/>
                                <w:sz w:val="22"/>
                              </w:rPr>
                              <w:t>"This experience highlights the critical need for constant vigilance and the implementation of multiple layers of security, particularly when handling sensitive development environments."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7.067913pt;margin-top:13.199023pt;width:481.15pt;height:58.45pt;mso-position-horizontal-relative:page;mso-position-vertical-relative:paragraph;z-index:-15726592;mso-wrap-distance-left:0;mso-wrap-distance-right:0" type="#_x0000_t202" id="docshape7" filled="true" fillcolor="#f9f9f9" stroked="true" strokeweight=".75pt" strokecolor="#dddddd">
                <v:textbox inset="0,0,0,0">
                  <w:txbxContent>
                    <w:p>
                      <w:pPr>
                        <w:pStyle w:val="BodyText"/>
                        <w:spacing w:before="17"/>
                        <w:rPr>
                          <w:color w:val="000000"/>
                        </w:rPr>
                      </w:pPr>
                    </w:p>
                    <w:p>
                      <w:pPr>
                        <w:spacing w:line="333" w:lineRule="auto" w:before="0"/>
                        <w:ind w:left="224" w:right="224" w:firstLine="0"/>
                        <w:jc w:val="left"/>
                        <w:rPr>
                          <w:i/>
                          <w:color w:val="000000"/>
                          <w:sz w:val="22"/>
                        </w:rPr>
                      </w:pPr>
                      <w:r>
                        <w:rPr>
                          <w:i/>
                          <w:color w:val="333333"/>
                          <w:sz w:val="22"/>
                        </w:rPr>
                        <w:t>"This experience highlights the critical need for constant vigilance and the implementation of multiple layers of security, particularly when handling sensitive development environments."</w:t>
                      </w:r>
                    </w:p>
                  </w:txbxContent>
                </v:textbox>
                <v:fill type="solid"/>
                <v:stroke dashstyle="solid"/>
                <w10:wrap type="topAndBottom"/>
              </v:shape>
            </w:pict>
          </mc:Fallback>
        </mc:AlternateContent>
      </w:r>
    </w:p>
    <w:sectPr>
      <w:pgSz w:w="11910" w:h="16840"/>
      <w:pgMar w:top="110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234"/>
      <w:ind w:left="351"/>
      <w:outlineLvl w:val="1"/>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spacing w:before="1"/>
      <w:ind w:left="141"/>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60"/>
      <w:ind w:left="12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2026-05-12T17:01:03Z</dcterms:created>
  <dcterms:modified xsi:type="dcterms:W3CDTF">2026-05-12T17:01:03Z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Producer">
    <vt:lpwstr>WeasyPrint 62.3</vt:lpwstr>
  </property>
  <property fmtid="{D5CDD505-2E9C-101B-9397-08002B2CF9AE}" pid="4" name="LastSaved">
    <vt:filetime>2026-05-12T00:00:00Z</vt:filetime>
  </property>
</Properties>
</file>