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Lab 1 — Requirements Table</w:t>
      </w:r>
    </w:p>
    <w:p>
      <w:r>
        <w:rPr>
          <w:i/>
          <w:iCs/>
          <w:sz w:val="18"/>
          <w:szCs w:val="18"/>
        </w:rPr>
        <w:t xml:space="preserve">Problem Statement #52: Community Tool &amp; Equipment Library  |  Actors: Community Member, Library Custodian, Payment Gateway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5"/>
        <w:gridCol w:w="1190"/>
        <w:gridCol w:w="3112"/>
        <w:gridCol w:w="824"/>
        <w:gridCol w:w="3020"/>
        <w:gridCol w:w="1739"/>
      </w:tblGrid>
      <w:tr>
        <w:trPr>
          <w:tblHeader/>
        </w:trPr>
        <w:tc>
          <w:tcPr>
            <w:tcW w:type="dxa" w:w="915"/>
            <w:shd w:fill="2F549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1190"/>
            <w:shd w:fill="2F549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12"/>
            <w:shd w:fill="2F549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24"/>
            <w:shd w:fill="2F549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020"/>
            <w:shd w:fill="2F549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739"/>
            <w:shd w:fill="2F549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915"/>
            <w:shd w:fill="DCE6F1" w:color="auto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FR-001</w:t>
            </w:r>
          </w:p>
        </w:tc>
        <w:tc>
          <w:tcPr>
            <w:tcW w:type="dxa" w:w="1190"/>
            <w:shd w:fill="DCE6F1" w:color="auto" w:val="clear"/>
            <w:vAlign w:val="center"/>
          </w:tcPr>
          <w:p>
            <w:r>
              <w:rPr>
                <w:sz w:val="18"/>
                <w:szCs w:val="18"/>
              </w:rPr>
              <w:t xml:space="preserve">Functional</w:t>
            </w:r>
          </w:p>
        </w:tc>
        <w:tc>
          <w:tcPr>
            <w:tcW w:type="dxa" w:w="3112"/>
            <w:shd w:fill="DCE6F1" w:color="auto" w:val="clear"/>
            <w:vAlign w:val="center"/>
          </w:tcPr>
          <w:p>
            <w:r>
              <w:rPr>
                <w:sz w:val="18"/>
                <w:szCs w:val="18"/>
              </w:rPr>
              <w:t xml:space="preserve">The system shall calculate required security deposits based on tool category, enforce loan duration limits, and calculate late return fees.</w:t>
            </w:r>
          </w:p>
        </w:tc>
        <w:tc>
          <w:tcPr>
            <w:tcW w:type="dxa" w:w="824"/>
            <w:shd w:fill="DCE6F1" w:color="auto" w:val="clear"/>
            <w:vAlign w:val="center"/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3020"/>
            <w:shd w:fill="DCE6F1" w:color="auto" w:val="clear"/>
            <w:vAlign w:val="center"/>
          </w:tcPr>
          <w:p>
            <w:r>
              <w:rPr>
                <w:sz w:val="18"/>
                <w:szCs w:val="18"/>
              </w:rPr>
              <w:t xml:space="preserve">Pass: Tool reservation confirmed with deposit hold. Fail: Member with overdue tools borrows additional high-value equipment.</w:t>
            </w:r>
          </w:p>
        </w:tc>
        <w:tc>
          <w:tcPr>
            <w:tcW w:type="dxa" w:w="1739"/>
            <w:shd w:fill="DCE6F1" w:color="auto" w:val="clear"/>
            <w:vAlign w:val="center"/>
          </w:tcPr>
          <w:p>
            <w:r>
              <w:rPr>
                <w:sz w:val="18"/>
                <w:szCs w:val="18"/>
              </w:rPr>
              <w:t xml:space="preserve">Given in problem statement — protects inventory value and enforces fair rotation of high-demand items.</w:t>
            </w:r>
          </w:p>
        </w:tc>
      </w:tr>
      <w:tr>
        <w:tc>
          <w:tcPr>
            <w:tcW w:type="dxa" w:w="915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FR-002</w:t>
            </w:r>
          </w:p>
        </w:tc>
        <w:tc>
          <w:tcPr>
            <w:tcW w:type="dxa" w:w="1190"/>
            <w:vAlign w:val="center"/>
          </w:tcPr>
          <w:p>
            <w:r>
              <w:rPr>
                <w:sz w:val="18"/>
                <w:szCs w:val="18"/>
              </w:rPr>
              <w:t xml:space="preserve">Functional</w:t>
            </w:r>
          </w:p>
        </w:tc>
        <w:tc>
          <w:tcPr>
            <w:tcW w:type="dxa" w:w="3112"/>
            <w:vAlign w:val="center"/>
          </w:tcPr>
          <w:p>
            <w:r>
              <w:rPr>
                <w:sz w:val="18"/>
                <w:szCs w:val="18"/>
              </w:rPr>
              <w:t xml:space="preserve">The system shall allow a Community Member to search and filter the tool inventory by category, availability, and depot locker location before reserving an item.</w:t>
            </w:r>
          </w:p>
        </w:tc>
        <w:tc>
          <w:tcPr>
            <w:tcW w:type="dxa" w:w="824"/>
            <w:vAlign w:val="center"/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3020"/>
            <w:vAlign w:val="center"/>
          </w:tcPr>
          <w:p>
            <w:r>
              <w:rPr>
                <w:sz w:val="18"/>
                <w:szCs w:val="18"/>
              </w:rPr>
              <w:t xml:space="preserve">Pass: Searching "lawnmower" returns only units currently marked available at the member's selected depot within 2 seconds. Fail: Search returns items already checked out as available.</w:t>
            </w:r>
          </w:p>
        </w:tc>
        <w:tc>
          <w:tcPr>
            <w:tcW w:type="dxa" w:w="1739"/>
            <w:vAlign w:val="center"/>
          </w:tcPr>
          <w:p>
            <w:r>
              <w:rPr>
                <w:sz w:val="18"/>
                <w:szCs w:val="18"/>
              </w:rPr>
              <w:t xml:space="preserve">Members need accurate, real-time visibility of what can actually be borrowed to avoid wasted trips to a depot.</w:t>
            </w:r>
          </w:p>
        </w:tc>
      </w:tr>
      <w:tr>
        <w:tc>
          <w:tcPr>
            <w:tcW w:type="dxa" w:w="915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FR-003</w:t>
            </w:r>
          </w:p>
        </w:tc>
        <w:tc>
          <w:tcPr>
            <w:tcW w:type="dxa" w:w="1190"/>
            <w:vAlign w:val="center"/>
          </w:tcPr>
          <w:p>
            <w:r>
              <w:rPr>
                <w:sz w:val="18"/>
                <w:szCs w:val="18"/>
              </w:rPr>
              <w:t xml:space="preserve">Functional</w:t>
            </w:r>
          </w:p>
        </w:tc>
        <w:tc>
          <w:tcPr>
            <w:tcW w:type="dxa" w:w="3112"/>
            <w:vAlign w:val="center"/>
          </w:tcPr>
          <w:p>
            <w:r>
              <w:rPr>
                <w:sz w:val="18"/>
                <w:szCs w:val="18"/>
              </w:rPr>
              <w:t xml:space="preserve">The system shall allow a Library Custodian to check out a reserved tool to a Community Member only after the calculated deposit has been confirmed and the member has no overdue items.</w:t>
            </w:r>
          </w:p>
        </w:tc>
        <w:tc>
          <w:tcPr>
            <w:tcW w:type="dxa" w:w="824"/>
            <w:vAlign w:val="center"/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3020"/>
            <w:vAlign w:val="center"/>
          </w:tcPr>
          <w:p>
            <w:r>
              <w:rPr>
                <w:sz w:val="18"/>
                <w:szCs w:val="18"/>
              </w:rPr>
              <w:t xml:space="preserve">Pass: Checkout screen blocks confirmation until deposit status shows "Held" and overdue count = 0. Fail: A tool is marked checked-out with no deposit record attached.</w:t>
            </w:r>
          </w:p>
        </w:tc>
        <w:tc>
          <w:tcPr>
            <w:tcW w:type="dxa" w:w="1739"/>
            <w:vAlign w:val="center"/>
          </w:tcPr>
          <w:p>
            <w:r>
              <w:rPr>
                <w:sz w:val="18"/>
                <w:szCs w:val="18"/>
              </w:rPr>
              <w:t xml:space="preserve">Directly enforces FR-001's deposit/overdue rules at the point of handover, preventing loss exposure.</w:t>
            </w:r>
          </w:p>
        </w:tc>
      </w:tr>
      <w:tr>
        <w:tc>
          <w:tcPr>
            <w:tcW w:type="dxa" w:w="915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FR-004</w:t>
            </w:r>
          </w:p>
        </w:tc>
        <w:tc>
          <w:tcPr>
            <w:tcW w:type="dxa" w:w="1190"/>
            <w:vAlign w:val="center"/>
          </w:tcPr>
          <w:p>
            <w:r>
              <w:rPr>
                <w:sz w:val="18"/>
                <w:szCs w:val="18"/>
              </w:rPr>
              <w:t xml:space="preserve">Functional</w:t>
            </w:r>
          </w:p>
        </w:tc>
        <w:tc>
          <w:tcPr>
            <w:tcW w:type="dxa" w:w="3112"/>
            <w:vAlign w:val="center"/>
          </w:tcPr>
          <w:p>
            <w:r>
              <w:rPr>
                <w:sz w:val="18"/>
                <w:szCs w:val="18"/>
              </w:rPr>
              <w:t xml:space="preserve">The system shall allow a Library Custodian to log a return, record a damage assessment when applicable, and automatically calculate any late fee based on the return date versus the due date.</w:t>
            </w:r>
          </w:p>
        </w:tc>
        <w:tc>
          <w:tcPr>
            <w:tcW w:type="dxa" w:w="824"/>
            <w:vAlign w:val="center"/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3020"/>
            <w:vAlign w:val="center"/>
          </w:tcPr>
          <w:p>
            <w:r>
              <w:rPr>
                <w:sz w:val="18"/>
                <w:szCs w:val="18"/>
              </w:rPr>
              <w:t xml:space="preserve">Pass: Returning a lawnmower 3 days late generates a late fee matching the published per-day rate; a return with a documented crack triggers a damage charge line. Fail: A late return closes out with $0 fee.</w:t>
            </w:r>
          </w:p>
        </w:tc>
        <w:tc>
          <w:tcPr>
            <w:tcW w:type="dxa" w:w="1739"/>
            <w:vAlign w:val="center"/>
          </w:tcPr>
          <w:p>
            <w:r>
              <w:rPr>
                <w:sz w:val="18"/>
                <w:szCs w:val="18"/>
              </w:rPr>
              <w:t xml:space="preserve">Accurate return processing is what allows the deposit to be released or partially withheld and keeps the fee ledger correct.</w:t>
            </w:r>
          </w:p>
        </w:tc>
      </w:tr>
      <w:tr>
        <w:tc>
          <w:tcPr>
            <w:tcW w:type="dxa" w:w="915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FR-005</w:t>
            </w:r>
          </w:p>
        </w:tc>
        <w:tc>
          <w:tcPr>
            <w:tcW w:type="dxa" w:w="1190"/>
            <w:vAlign w:val="center"/>
          </w:tcPr>
          <w:p>
            <w:r>
              <w:rPr>
                <w:sz w:val="18"/>
                <w:szCs w:val="18"/>
              </w:rPr>
              <w:t xml:space="preserve">Functional</w:t>
            </w:r>
          </w:p>
        </w:tc>
        <w:tc>
          <w:tcPr>
            <w:tcW w:type="dxa" w:w="3112"/>
            <w:vAlign w:val="center"/>
          </w:tcPr>
          <w:p>
            <w:r>
              <w:rPr>
                <w:sz w:val="18"/>
                <w:szCs w:val="18"/>
              </w:rPr>
              <w:t xml:space="preserve">The system shall send an automated reminder notification to a Community Member 24 hours before a loan's due date and immediately flag the loan as overdue once the due date passes.</w:t>
            </w:r>
          </w:p>
        </w:tc>
        <w:tc>
          <w:tcPr>
            <w:tcW w:type="dxa" w:w="824"/>
            <w:vAlign w:val="center"/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3020"/>
            <w:vAlign w:val="center"/>
          </w:tcPr>
          <w:p>
            <w:r>
              <w:rPr>
                <w:sz w:val="18"/>
                <w:szCs w:val="18"/>
              </w:rPr>
              <w:t xml:space="preserve">Pass: A loan due tomorrow triggers exactly one reminder notification logged in the system; a loan past due date appears in the custodian's overdue queue within 5 minutes. Fail: An overdue loan is absent from the queue.</w:t>
            </w:r>
          </w:p>
        </w:tc>
        <w:tc>
          <w:tcPr>
            <w:tcW w:type="dxa" w:w="1739"/>
            <w:vAlign w:val="center"/>
          </w:tcPr>
          <w:p>
            <w:r>
              <w:rPr>
                <w:sz w:val="18"/>
                <w:szCs w:val="18"/>
              </w:rPr>
              <w:t xml:space="preserve">Reduces accidental late returns and gives custodians early visibility to protect equipment availability for other members.</w:t>
            </w:r>
          </w:p>
        </w:tc>
      </w:tr>
      <w:tr>
        <w:tc>
          <w:tcPr>
            <w:tcW w:type="dxa" w:w="915"/>
            <w:shd w:fill="DCE6F1" w:color="auto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NFR-001</w:t>
            </w:r>
          </w:p>
        </w:tc>
        <w:tc>
          <w:tcPr>
            <w:tcW w:type="dxa" w:w="1190"/>
            <w:shd w:fill="DCE6F1" w:color="auto" w:val="clear"/>
            <w:vAlign w:val="center"/>
          </w:tcPr>
          <w:p>
            <w:r>
              <w:rPr>
                <w:sz w:val="18"/>
                <w:szCs w:val="18"/>
              </w:rPr>
              <w:t xml:space="preserve">Nonfunctional</w:t>
            </w:r>
          </w:p>
        </w:tc>
        <w:tc>
          <w:tcPr>
            <w:tcW w:type="dxa" w:w="3112"/>
            <w:shd w:fill="DCE6F1" w:color="auto" w:val="clear"/>
            <w:vAlign w:val="center"/>
          </w:tcPr>
          <w:p>
            <w:r>
              <w:rPr>
                <w:sz w:val="18"/>
                <w:szCs w:val="18"/>
              </w:rPr>
              <w:t xml:space="preserve">The tool inventory search must display real-time physical availability across neighborhood depot lockers.</w:t>
            </w:r>
          </w:p>
        </w:tc>
        <w:tc>
          <w:tcPr>
            <w:tcW w:type="dxa" w:w="824"/>
            <w:shd w:fill="DCE6F1" w:color="auto" w:val="clear"/>
            <w:vAlign w:val="center"/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3020"/>
            <w:shd w:fill="DCE6F1" w:color="auto" w:val="clear"/>
            <w:vAlign w:val="center"/>
          </w:tcPr>
          <w:p>
            <w:r>
              <w:rPr>
                <w:sz w:val="18"/>
                <w:szCs w:val="18"/>
              </w:rPr>
              <w:t xml:space="preserve">Pass: Benchmarking tests confirm target latency and security standards under simulated peak load.</w:t>
            </w:r>
          </w:p>
        </w:tc>
        <w:tc>
          <w:tcPr>
            <w:tcW w:type="dxa" w:w="1739"/>
            <w:shd w:fill="DCE6F1" w:color="auto" w:val="clear"/>
            <w:vAlign w:val="center"/>
          </w:tcPr>
          <w:p>
            <w:r>
              <w:rPr>
                <w:sz w:val="18"/>
                <w:szCs w:val="18"/>
              </w:rPr>
              <w:t xml:space="preserve">Given in problem statement — stale availability data leads members to reserve tools that are not actually present.</w:t>
            </w:r>
          </w:p>
        </w:tc>
      </w:tr>
      <w:tr>
        <w:tc>
          <w:tcPr>
            <w:tcW w:type="dxa" w:w="915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NFR-002</w:t>
            </w:r>
          </w:p>
        </w:tc>
        <w:tc>
          <w:tcPr>
            <w:tcW w:type="dxa" w:w="1190"/>
            <w:vAlign w:val="center"/>
          </w:tcPr>
          <w:p>
            <w:r>
              <w:rPr>
                <w:sz w:val="18"/>
                <w:szCs w:val="18"/>
              </w:rPr>
              <w:t xml:space="preserve">Nonfunctional</w:t>
            </w:r>
          </w:p>
        </w:tc>
        <w:tc>
          <w:tcPr>
            <w:tcW w:type="dxa" w:w="3112"/>
            <w:vAlign w:val="center"/>
          </w:tcPr>
          <w:p>
            <w:r>
              <w:rPr>
                <w:sz w:val="18"/>
                <w:szCs w:val="18"/>
              </w:rPr>
              <w:t xml:space="preserve">The system shall encrypt all stored member personal data and payment/deposit information at rest and in transit, and restrict deposit-refund actions to authenticated Library Custodian accounts.</w:t>
            </w:r>
          </w:p>
        </w:tc>
        <w:tc>
          <w:tcPr>
            <w:tcW w:type="dxa" w:w="824"/>
            <w:vAlign w:val="center"/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3020"/>
            <w:vAlign w:val="center"/>
          </w:tcPr>
          <w:p>
            <w:r>
              <w:rPr>
                <w:sz w:val="18"/>
                <w:szCs w:val="18"/>
              </w:rPr>
              <w:t xml:space="preserve">Pass: A security scan confirms TLS 1.2+ on all endpoints and AES-256 at rest; an access-control test confirms a non-custodian account cannot trigger a refund. Fail: Any deposit or payment field is retrievable unencrypted.</w:t>
            </w:r>
          </w:p>
        </w:tc>
        <w:tc>
          <w:tcPr>
            <w:tcW w:type="dxa" w:w="1739"/>
            <w:vAlign w:val="center"/>
          </w:tcPr>
          <w:p>
            <w:r>
              <w:rPr>
                <w:sz w:val="18"/>
                <w:szCs w:val="18"/>
              </w:rPr>
              <w:t xml:space="preserve">The system stores financial and personal data (deposits, payment methods), so it must meet baseline confidentiality and access-control expectations for a community-facing app.</w:t>
            </w:r>
          </w:p>
        </w:tc>
      </w:tr>
    </w:tbl>
    <w:p/>
    <w:p>
      <w:r>
        <w:rPr>
          <w:i/>
          <w:iCs/>
          <w:color w:val="555555"/>
          <w:sz w:val="16"/>
          <w:szCs w:val="16"/>
        </w:rPr>
        <w:t xml:space="preserve">Shaded rows (FR-001, NFR-001) were provided in the problem statement handout; the remaining five requirements were authored for this submission.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2026-08-27T05:40:08.889Z</dcterms:created>
  <dcterms:modified xsi:type="dcterms:W3CDTF">2026-08-27T05:40:08.905Z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