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"/>
      </w:pPr>
      <w:r>
        <w:t xml:space="preserve">Lab 3 — Architectural Style Justification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Problem Statement #52: Community Tool &amp; Equipment Library  |  SRN: PES1UG24CS361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Architecture Selection</w:t>
      </w:r>
    </w:p>
    <w:p>
      <w:pPr>
        <w:spacing w:after="120"/>
      </w:pPr>
      <w:r>
        <w:rPr>
          <w:sz w:val="21"/>
          <w:szCs w:val="21"/>
        </w:rPr>
        <w:t xml:space="preserve">We chose Client-Server Architecture for the Community Tool &amp; Equipment Library System.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Reason 1: A single authoritative source for real-time inventory state</w:t>
      </w:r>
    </w:p>
    <w:p>
      <w:pPr>
        <w:spacing w:after="120"/>
      </w:pPr>
      <w:r>
        <w:rPr>
          <w:sz w:val="21"/>
          <w:szCs w:val="21"/>
        </w:rPr>
        <w:t xml:space="preserve">Tool availability must be shown consistently across every neighborhood depot locker (NFR-001: real-time physical availability). A Client-Server model routes every search, reservation, and checkout through one central server, so there is exactly one authoritative record of what is available. A Microservices approach would force us to reconcile inventory state across independently deployed services, risking the stale or conflicting availability data this system cannot afford.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Reason 2: Consistent enforcement of cross-cutting business rules</w:t>
      </w:r>
    </w:p>
    <w:p>
      <w:pPr>
        <w:spacing w:after="120"/>
      </w:pPr>
      <w:r>
        <w:rPr>
          <w:sz w:val="21"/>
          <w:szCs w:val="21"/>
        </w:rPr>
        <w:t xml:space="preserve">Rules such as blocking a member with overdue tools from reserving more equipment (FR-003), calculating category-based deposits (FR-001), and applying late fees (FR-004) must behave identically no matter which depot or client app a member uses. Centralizing this logic on the server means every client — the member-facing app and the custodian terminal — enforces the same rules automatically, instead of duplicating and risking drift in business logic across multiple independently deployed components.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Security Advantage</w:t>
      </w:r>
    </w:p>
    <w:p>
      <w:pPr>
        <w:spacing w:after="120"/>
      </w:pPr>
      <w:r>
        <w:rPr>
          <w:sz w:val="21"/>
          <w:szCs w:val="21"/>
        </w:rPr>
        <w:t xml:space="preserve">Member records, security deposits, and payment data are concentrated on a single, well-secured server component rather than spread across many independently deployed services. This shrinks the attack surface and lets us apply the encryption and access-control requirement in NFR-002 (encrypting deposit/payment data, restricting refunds to authenticated custodians) in one place, rather than re-implementing — and potentially misconfiguring — the same protections across several distributed nodes.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Performance Benefit</w:t>
      </w:r>
    </w:p>
    <w:p>
      <w:pPr>
        <w:spacing w:after="120"/>
      </w:pPr>
      <w:r>
        <w:rPr>
          <w:sz w:val="21"/>
          <w:szCs w:val="21"/>
        </w:rPr>
        <w:t xml:space="preserve">The bulk of read traffic in this system is inventory availability checks (Search Tool Inventory). A centralized server can cache and optimize this single, well-known query path to consistently meet the target latency required by NFR-001. This is harder to guarantee in a distributed architecture, where the same query would need to aggregate results across independently-scaled services before returning an answer.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2026-09-13T12:31:05.790Z</dcterms:created>
  <dcterms:modified xsi:type="dcterms:W3CDTF">2026-09-13T12:31:05.798Z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