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sz w:val="50"/>
        </w:rPr>
        <w:t>JiaXin Xing</w:t>
      </w:r>
    </w:p>
    <w:p>
      <w:pPr>
        <w:spacing w:after="40"/>
      </w:pPr>
      <w:r>
        <w:rPr>
          <w:b/>
          <w:sz w:val="20"/>
        </w:rPr>
        <w:t>PROJECT-BASED PROFESSIONAL PORTFOLIO</w:t>
      </w:r>
    </w:p>
    <w:p>
      <w:pPr>
        <w:spacing w:after="200"/>
      </w:pPr>
      <w:r>
        <w:rPr>
          <w:sz w:val="19"/>
        </w:rPr>
        <w:t>Risk &amp; Compliance  ·  Data Governance  ·  Digital Transformation  ·  Corporate Banking</w:t>
      </w:r>
    </w:p>
    <w:p>
      <w:pPr>
        <w:spacing w:after="80" w:line="259" w:lineRule="auto"/>
      </w:pPr>
      <w:r>
        <w:t>Career narrative: Human–Environment Research → Risk &amp; Compliance → Risk Management → Corporate Banking → Data Governance → Digital Transformation</w:t>
      </w:r>
    </w:p>
    <w:p>
      <w:pPr>
        <w:pStyle w:val="Heading1"/>
        <w:spacing w:before="240" w:after="80"/>
        <w:pBdr>
          <w:bottom w:val="single" w:sz="6" w:space="1" w:color="B7B7B7"/>
        </w:pBdr>
      </w:pPr>
      <w:r>
        <w:t>01 / PROFESSIONAL PROFILE</w:t>
      </w:r>
    </w:p>
    <w:p>
      <w:pPr>
        <w:spacing w:after="80" w:line="259" w:lineRule="auto"/>
      </w:pPr>
      <w:r>
        <w:t>Professional experience in corporate banking, risk and compliance, customer governance and digital transformation at China Merchants Bank. Experienced in translating business risks and organisational needs into risk-control rules, customer lifecycle frameworks, relationship-screening models and digital management tools.</w:t>
      </w:r>
    </w:p>
    <w:p>
      <w:pPr>
        <w:spacing w:after="80" w:line="259" w:lineRule="auto"/>
      </w:pPr>
      <w:r>
        <w:t>Academic background in Landscape Architecture and Horticulture, with postgraduate research in Environmental Psychology and restorative environments. This interdisciplinary background informs a human-centred perspective on systems, decision-making and governance.</w:t>
      </w:r>
    </w:p>
    <w:p>
      <w:pPr>
        <w:pStyle w:val="Heading1"/>
        <w:spacing w:before="240" w:after="80"/>
        <w:pBdr>
          <w:bottom w:val="single" w:sz="6" w:space="1" w:color="B7B7B7"/>
        </w:pBdr>
      </w:pPr>
      <w:r>
        <w:t>02 / CORE CAPABILITIES</w:t>
      </w:r>
    </w:p>
    <w:p>
      <w:pPr>
        <w:spacing w:after="80"/>
      </w:pPr>
      <w:r>
        <w:rPr>
          <w:b/>
        </w:rPr>
        <w:t>01 — Risk &amp; Compliance</w:t>
        <w:br/>
      </w:r>
      <w:r>
        <w:t>Risk identification · Internal control · AML · Regulatory compliance · Audit &amp; remediation</w:t>
      </w:r>
    </w:p>
    <w:p>
      <w:pPr>
        <w:spacing w:after="80"/>
      </w:pPr>
      <w:r>
        <w:rPr>
          <w:b/>
        </w:rPr>
        <w:t>02 — Data &amp; Decision Governance</w:t>
        <w:br/>
      </w:r>
      <w:r>
        <w:t>Data governance · Relationship analysis · Risk-screening models · Decision support · Customer lifecycle management</w:t>
      </w:r>
    </w:p>
    <w:p>
      <w:pPr>
        <w:spacing w:after="80"/>
      </w:pPr>
      <w:r>
        <w:rPr>
          <w:b/>
        </w:rPr>
        <w:t>03 — Digital Transformation</w:t>
        <w:br/>
      </w:r>
      <w:r>
        <w:t>Business–IT collaboration · Digital management tools · Performance dashboards · Digital adoption</w:t>
      </w:r>
    </w:p>
    <w:p>
      <w:pPr>
        <w:spacing w:after="80"/>
      </w:pPr>
      <w:r>
        <w:rPr>
          <w:b/>
        </w:rPr>
        <w:t>04 — Corporate Banking</w:t>
        <w:br/>
      </w:r>
      <w:r>
        <w:t>Corporate clients · Customer segmentation · Market analysis · Transaction behaviour · Product development</w:t>
      </w:r>
    </w:p>
    <w:p>
      <w:pPr>
        <w:spacing w:after="80"/>
      </w:pPr>
      <w:r>
        <w:rPr>
          <w:b/>
        </w:rPr>
        <w:t>05 — Human-Centred Research</w:t>
        <w:br/>
      </w:r>
      <w:r>
        <w:t>Environmental Psychology · Restorative Environments · User perception · Environmental evaluation · Data analysis</w:t>
      </w:r>
    </w:p>
    <w:p>
      <w:pPr>
        <w:pStyle w:val="Heading1"/>
        <w:spacing w:before="240" w:after="80"/>
        <w:pBdr>
          <w:bottom w:val="single" w:sz="6" w:space="1" w:color="B7B7B7"/>
        </w:pBdr>
      </w:pPr>
      <w:r>
        <w:t>03 / PROFESSIONAL EXPERIENCE</w:t>
      </w:r>
    </w:p>
    <w:p>
      <w:r>
        <w:rPr>
          <w:b/>
        </w:rPr>
        <w:t>China Merchants Bank</w:t>
      </w:r>
      <w:r>
        <w:br/>
        <w:t>大连分行 · China  |  2019–2025</w:t>
      </w:r>
    </w:p>
    <w:p>
      <w:pPr>
        <w:spacing w:after="80" w:line="259" w:lineRule="auto"/>
      </w:pPr>
      <w:r>
        <w:t>China Merchants Bank is one of China's major commercial banks, with a nationwide banking network and a strong focus on retail and corporate financial services, risk management and digital transformation.</w:t>
      </w:r>
    </w:p>
    <w:p>
      <w:pPr>
        <w:spacing w:after="80" w:line="259" w:lineRule="auto"/>
      </w:pPr>
      <w:r>
        <w:t>Professional Platform</w:t>
      </w:r>
    </w:p>
    <w:p>
      <w:pPr>
        <w:pStyle w:val="ListBullet"/>
        <w:spacing w:after="40"/>
        <w:ind w:left="255"/>
      </w:pPr>
      <w:r>
        <w:t>综合管理岗｜公司金融内控合规、反洗钱  ·  2019–2023</w:t>
      </w:r>
    </w:p>
    <w:p>
      <w:pPr>
        <w:pStyle w:val="ListBullet"/>
        <w:spacing w:after="40"/>
        <w:ind w:left="255"/>
      </w:pPr>
      <w:r>
        <w:t>客群管理岗｜公司客户与线上业务营销推动  ·  2023–2025</w:t>
      </w:r>
    </w:p>
    <w:p>
      <w:pPr>
        <w:spacing w:after="80" w:line="259" w:lineRule="auto"/>
      </w:pPr>
      <w:r>
        <w:t>Rather than presenting these as conventional job descriptions, the following projects demonstrate how my role evolved from risk and compliance → decision support → customer governance → digital transformation.</w:t>
      </w:r>
    </w:p>
    <w:p>
      <w:pPr>
        <w:pStyle w:val="Heading2"/>
        <w:spacing w:before="140" w:after="80"/>
      </w:pPr>
      <w:r>
        <w:t>SELECTED PROJECTS</w:t>
      </w:r>
    </w:p>
    <w:p>
      <w:pPr>
        <w:spacing w:before="180" w:after="40"/>
      </w:pPr>
      <w:r>
        <w:rPr>
          <w:b/>
          <w:sz w:val="16"/>
        </w:rPr>
        <w:t xml:space="preserve">01  </w:t>
      </w:r>
      <w:r>
        <w:rPr>
          <w:b/>
          <w:sz w:val="24"/>
        </w:rPr>
        <w:t>Telecommunications Fraud Risk Governance</w:t>
      </w:r>
      <w:r>
        <w:t xml:space="preserve">  |  2020</w:t>
      </w:r>
    </w:p>
    <w:p>
      <w:pPr>
        <w:spacing w:after="60"/>
      </w:pPr>
      <w:r>
        <w:rPr>
          <w:i/>
        </w:rPr>
        <w:t>对公账户电信网络诈骗治理</w:t>
      </w:r>
    </w:p>
    <w:p>
      <w:pPr>
        <w:spacing w:after="40"/>
      </w:pPr>
      <w:r>
        <w:rPr>
          <w:b/>
        </w:rPr>
        <w:t>Challenge</w:t>
        <w:br/>
      </w:r>
      <w:r>
        <w:t>Emerging telecommunications and online fraud created new risks for corporate settlement accounts and required stronger identification of potentially high-risk accounts.</w:t>
      </w:r>
    </w:p>
    <w:p>
      <w:pPr>
        <w:spacing w:after="40"/>
      </w:pPr>
      <w:r>
        <w:rPr>
          <w:b/>
        </w:rPr>
        <w:t>Role</w:t>
        <w:br/>
      </w:r>
      <w:r>
        <w:t>Risk &amp; Compliance · Account Risk Assessment</w:t>
      </w:r>
    </w:p>
    <w:p>
      <w:pPr>
        <w:spacing w:after="40"/>
      </w:pPr>
      <w:r>
        <w:rPr>
          <w:b/>
        </w:rPr>
        <w:t>Work</w:t>
        <w:br/>
      </w:r>
    </w:p>
    <w:p>
      <w:pPr>
        <w:pStyle w:val="ListBullet"/>
        <w:spacing w:after="40"/>
        <w:ind w:left="255"/>
      </w:pPr>
      <w:r>
        <w:t>Conducted risk screening of existing corporate settlement accounts.</w:t>
      </w:r>
    </w:p>
    <w:p>
      <w:pPr>
        <w:pStyle w:val="ListBullet"/>
        <w:spacing w:after="40"/>
        <w:ind w:left="255"/>
      </w:pPr>
      <w:r>
        <w:t>Assessed potentially risky accounts and conducted retrospective reviews of customer onboarding.</w:t>
      </w:r>
    </w:p>
    <w:p>
      <w:pPr>
        <w:pStyle w:val="ListBullet"/>
        <w:spacing w:after="40"/>
        <w:ind w:left="255"/>
      </w:pPr>
      <w:r>
        <w:t>Worked across business functions to strengthen account-level risk identification.</w:t>
      </w:r>
    </w:p>
    <w:p>
      <w:pPr>
        <w:spacing w:after="40"/>
      </w:pPr>
      <w:r>
        <w:rPr>
          <w:b/>
        </w:rPr>
        <w:t>Outcome</w:t>
        <w:br/>
      </w:r>
      <w:r>
        <w:t>0 new fraud-related accounts during the management period</w:t>
      </w:r>
    </w:p>
    <w:p>
      <w:pPr>
        <w:spacing w:after="120"/>
      </w:pPr>
      <w:r>
        <w:rPr>
          <w:b/>
        </w:rPr>
        <w:t xml:space="preserve">Capability  </w:t>
      </w:r>
      <w:r>
        <w:t>Risk Identification · AML · Account Governance · Cross-functional Coordination</w:t>
      </w:r>
    </w:p>
    <w:p>
      <w:pPr>
        <w:spacing w:before="180" w:after="40"/>
      </w:pPr>
      <w:r>
        <w:rPr>
          <w:b/>
          <w:sz w:val="16"/>
        </w:rPr>
        <w:t xml:space="preserve">02  </w:t>
      </w:r>
      <w:r>
        <w:rPr>
          <w:b/>
          <w:sz w:val="24"/>
        </w:rPr>
        <w:t>Customer Onboarding &amp; Account Lifecycle Governance</w:t>
      </w:r>
      <w:r>
        <w:t xml:space="preserve">  |  2020–2023</w:t>
      </w:r>
    </w:p>
    <w:p>
      <w:pPr>
        <w:spacing w:after="60"/>
      </w:pPr>
      <w:r>
        <w:rPr>
          <w:i/>
        </w:rPr>
        <w:t>客户准入及账户全生命周期管理</w:t>
      </w:r>
    </w:p>
    <w:p>
      <w:pPr>
        <w:spacing w:after="40"/>
      </w:pPr>
      <w:r>
        <w:rPr>
          <w:b/>
        </w:rPr>
        <w:t>Challenge</w:t>
        <w:br/>
      </w:r>
      <w:r>
        <w:t>Risk management required a shift from isolated account reviews toward continuous governance across the customer lifecycle.</w:t>
      </w:r>
    </w:p>
    <w:p>
      <w:pPr>
        <w:spacing w:after="40"/>
      </w:pPr>
      <w:r>
        <w:rPr>
          <w:b/>
        </w:rPr>
        <w:t>Role</w:t>
        <w:br/>
      </w:r>
      <w:r>
        <w:t>Risk Management · Governance Framework</w:t>
      </w:r>
    </w:p>
    <w:p>
      <w:pPr>
        <w:spacing w:after="40"/>
      </w:pPr>
      <w:r>
        <w:rPr>
          <w:b/>
        </w:rPr>
        <w:t>Work</w:t>
        <w:br/>
      </w:r>
    </w:p>
    <w:p>
      <w:pPr>
        <w:pStyle w:val="ListBullet"/>
        <w:spacing w:after="40"/>
        <w:ind w:left="255"/>
      </w:pPr>
      <w:r>
        <w:t>Participated in establishing customer onboarding review mechanisms.</w:t>
      </w:r>
    </w:p>
    <w:p>
      <w:pPr>
        <w:pStyle w:val="ListBullet"/>
        <w:spacing w:after="40"/>
        <w:ind w:left="255"/>
      </w:pPr>
      <w:r>
        <w:t>Worked with multiple business departments to develop account lifecycle transaction-management rules.</w:t>
      </w:r>
    </w:p>
    <w:p>
      <w:pPr>
        <w:pStyle w:val="ListBullet"/>
        <w:spacing w:after="40"/>
        <w:ind w:left="255"/>
      </w:pPr>
      <w:r>
        <w:t>Strengthened the connection between customer admission, ongoing monitoring and account behaviour.</w:t>
      </w:r>
    </w:p>
    <w:p>
      <w:pPr>
        <w:spacing w:after="40"/>
      </w:pPr>
      <w:r>
        <w:rPr>
          <w:b/>
        </w:rPr>
        <w:t>Outcome</w:t>
        <w:br/>
      </w:r>
      <w:r>
        <w:t>Established a more systematic framework for customer admission and lifecycle account governance.</w:t>
      </w:r>
    </w:p>
    <w:p>
      <w:pPr>
        <w:spacing w:after="120"/>
      </w:pPr>
      <w:r>
        <w:rPr>
          <w:b/>
        </w:rPr>
        <w:t xml:space="preserve">Capability  </w:t>
      </w:r>
      <w:r>
        <w:t>Customer Governance · Lifecycle Management · Risk Control · Policy Design</w:t>
      </w:r>
    </w:p>
    <w:p>
      <w:pPr>
        <w:spacing w:before="180" w:after="40"/>
      </w:pPr>
      <w:r>
        <w:rPr>
          <w:b/>
          <w:sz w:val="16"/>
        </w:rPr>
        <w:t xml:space="preserve">03  </w:t>
      </w:r>
      <w:r>
        <w:rPr>
          <w:b/>
          <w:sz w:val="24"/>
        </w:rPr>
        <w:t>Financial Regulatory Data Governance</w:t>
      </w:r>
      <w:r>
        <w:t xml:space="preserve">  |  2021</w:t>
      </w:r>
    </w:p>
    <w:p>
      <w:pPr>
        <w:spacing w:after="60"/>
      </w:pPr>
      <w:r>
        <w:rPr>
          <w:i/>
        </w:rPr>
        <w:t>金融监管机构 EAST 数据治理</w:t>
      </w:r>
    </w:p>
    <w:p>
      <w:pPr>
        <w:spacing w:after="40"/>
      </w:pPr>
      <w:r>
        <w:rPr>
          <w:b/>
        </w:rPr>
        <w:t>Challenge</w:t>
        <w:br/>
      </w:r>
      <w:r>
        <w:t>—</w:t>
      </w:r>
    </w:p>
    <w:p>
      <w:pPr>
        <w:spacing w:after="40"/>
      </w:pPr>
      <w:r>
        <w:rPr>
          <w:b/>
        </w:rPr>
        <w:t>Role</w:t>
        <w:br/>
      </w:r>
      <w:r>
        <w:t>Data Governance · Regulatory Reporting · Data Quality</w:t>
      </w:r>
    </w:p>
    <w:p>
      <w:pPr>
        <w:spacing w:after="40"/>
      </w:pPr>
      <w:r>
        <w:rPr>
          <w:b/>
        </w:rPr>
        <w:t>Work</w:t>
        <w:br/>
      </w:r>
    </w:p>
    <w:p>
      <w:pPr>
        <w:pStyle w:val="ListBullet"/>
        <w:spacing w:after="40"/>
        <w:ind w:left="255"/>
      </w:pPr>
      <w:r>
        <w:t>Participated in the governance and review of regulatory data.</w:t>
      </w:r>
    </w:p>
    <w:p>
      <w:pPr>
        <w:pStyle w:val="ListBullet"/>
        <w:spacing w:after="40"/>
        <w:ind w:left="255"/>
      </w:pPr>
      <w:r>
        <w:t>Supported data quality management and consistency across business information.</w:t>
      </w:r>
    </w:p>
    <w:p>
      <w:pPr>
        <w:pStyle w:val="ListBullet"/>
        <w:spacing w:after="40"/>
        <w:ind w:left="255"/>
      </w:pPr>
      <w:r>
        <w:t>Worked within internal control and regulatory requirements to improve the reliability of reported data.</w:t>
      </w:r>
    </w:p>
    <w:p>
      <w:pPr>
        <w:spacing w:after="120"/>
      </w:pPr>
      <w:r>
        <w:rPr>
          <w:b/>
        </w:rPr>
        <w:t xml:space="preserve">Capability  </w:t>
      </w:r>
      <w:r>
        <w:t>Data Governance · Regulatory Data · Data Quality · Compliance</w:t>
      </w:r>
    </w:p>
    <w:p>
      <w:pPr>
        <w:spacing w:before="180" w:after="40"/>
      </w:pPr>
      <w:r>
        <w:rPr>
          <w:b/>
          <w:sz w:val="16"/>
        </w:rPr>
        <w:t xml:space="preserve">04  </w:t>
      </w:r>
      <w:r>
        <w:rPr>
          <w:b/>
          <w:sz w:val="24"/>
        </w:rPr>
        <w:t>Credit Relationship &amp; Corporate Group Mapping</w:t>
      </w:r>
      <w:r>
        <w:t xml:space="preserve">  |  2021–2023</w:t>
      </w:r>
    </w:p>
    <w:p>
      <w:pPr>
        <w:spacing w:after="60"/>
      </w:pPr>
      <w:r>
        <w:rPr>
          <w:i/>
        </w:rPr>
        <w:t>授信客户集团家谱项目</w:t>
      </w:r>
    </w:p>
    <w:p>
      <w:pPr>
        <w:spacing w:after="40"/>
      </w:pPr>
      <w:r>
        <w:rPr>
          <w:b/>
        </w:rPr>
        <w:t>Challenge</w:t>
        <w:br/>
      </w:r>
      <w:r>
        <w:t>The real-estate sector crisis increased the need to identify relationships among corporate borrowers and assess potential concentration and related-party risks.</w:t>
      </w:r>
    </w:p>
    <w:p>
      <w:pPr>
        <w:spacing w:after="40"/>
      </w:pPr>
      <w:r>
        <w:rPr>
          <w:b/>
        </w:rPr>
        <w:t>Role</w:t>
        <w:br/>
      </w:r>
      <w:r>
        <w:t>Risk Analysis · Relationship Intelligence</w:t>
      </w:r>
    </w:p>
    <w:p>
      <w:pPr>
        <w:spacing w:after="40"/>
      </w:pPr>
      <w:r>
        <w:rPr>
          <w:b/>
        </w:rPr>
        <w:t>Work</w:t>
        <w:br/>
      </w:r>
    </w:p>
    <w:p>
      <w:pPr>
        <w:pStyle w:val="ListBullet"/>
        <w:spacing w:after="40"/>
        <w:ind w:left="255"/>
      </w:pPr>
      <w:r>
        <w:t>Participated in building relationship maps among credit customers and related individuals/entities.</w:t>
      </w:r>
    </w:p>
    <w:p>
      <w:pPr>
        <w:pStyle w:val="ListBullet"/>
        <w:spacing w:after="40"/>
        <w:ind w:left="255"/>
      </w:pPr>
      <w:r>
        <w:t>Developed screening logic for customer relationships and suspicious transaction analysis.</w:t>
      </w:r>
    </w:p>
    <w:p>
      <w:pPr>
        <w:pStyle w:val="ListBullet"/>
        <w:spacing w:after="40"/>
        <w:ind w:left="255"/>
      </w:pPr>
      <w:r>
        <w:t>Supported identification of potential connected-party and multiple-credit risks.</w:t>
      </w:r>
    </w:p>
    <w:p>
      <w:pPr>
        <w:spacing w:after="40"/>
      </w:pPr>
      <w:r>
        <w:rPr>
          <w:b/>
        </w:rPr>
        <w:t>Outcome</w:t>
        <w:br/>
      </w:r>
      <w:r>
        <w:t>Relevant relationship-screening rules were subsequently adopted across China Merchants Bank.</w:t>
      </w:r>
    </w:p>
    <w:p>
      <w:pPr>
        <w:spacing w:after="120"/>
      </w:pPr>
      <w:r>
        <w:rPr>
          <w:b/>
        </w:rPr>
        <w:t xml:space="preserve">Capability  </w:t>
      </w:r>
      <w:r>
        <w:t>Relationship Intelligence · Risk Analysis · Data Mapping · Decision Support</w:t>
      </w:r>
    </w:p>
    <w:p>
      <w:pPr>
        <w:spacing w:before="180" w:after="40"/>
      </w:pPr>
      <w:r>
        <w:rPr>
          <w:b/>
          <w:sz w:val="16"/>
        </w:rPr>
        <w:t xml:space="preserve">05  </w:t>
      </w:r>
      <w:r>
        <w:rPr>
          <w:b/>
          <w:sz w:val="24"/>
        </w:rPr>
        <w:t>Corporate Classification &amp; Fee Compliance</w:t>
      </w:r>
      <w:r>
        <w:t xml:space="preserve">  |  2022</w:t>
      </w:r>
    </w:p>
    <w:p>
      <w:pPr>
        <w:spacing w:after="60"/>
      </w:pPr>
      <w:r>
        <w:rPr>
          <w:i/>
        </w:rPr>
        <w:t>企业划型维护与不合理收费整改</w:t>
      </w:r>
    </w:p>
    <w:p>
      <w:pPr>
        <w:spacing w:after="40"/>
      </w:pPr>
      <w:r>
        <w:rPr>
          <w:b/>
        </w:rPr>
        <w:t>Challenge</w:t>
        <w:br/>
      </w:r>
      <w:r>
        <w:t>—</w:t>
      </w:r>
    </w:p>
    <w:p>
      <w:pPr>
        <w:spacing w:after="40"/>
      </w:pPr>
      <w:r>
        <w:rPr>
          <w:b/>
        </w:rPr>
        <w:t>Role</w:t>
        <w:br/>
      </w:r>
      <w:r>
        <w:t>Corporate Banking · Compliance · Process Governance</w:t>
      </w:r>
    </w:p>
    <w:p>
      <w:pPr>
        <w:spacing w:after="40"/>
      </w:pPr>
      <w:r>
        <w:rPr>
          <w:b/>
        </w:rPr>
        <w:t>Work</w:t>
        <w:br/>
      </w:r>
    </w:p>
    <w:p>
      <w:pPr>
        <w:pStyle w:val="ListBullet"/>
        <w:spacing w:after="40"/>
        <w:ind w:left="255"/>
      </w:pPr>
      <w:r>
        <w:t>Supported maintenance and review of corporate customer classification.</w:t>
      </w:r>
    </w:p>
    <w:p>
      <w:pPr>
        <w:pStyle w:val="ListBullet"/>
        <w:spacing w:after="40"/>
        <w:ind w:left="255"/>
      </w:pPr>
      <w:r>
        <w:t>Participated in the identification and remediation of inappropriate charging practices.</w:t>
      </w:r>
    </w:p>
    <w:p>
      <w:pPr>
        <w:pStyle w:val="ListBullet"/>
        <w:spacing w:after="40"/>
        <w:ind w:left="255"/>
      </w:pPr>
      <w:r>
        <w:t>Coordinated business processes with internal control and compliance requirements.</w:t>
      </w:r>
    </w:p>
    <w:p>
      <w:pPr>
        <w:spacing w:after="120"/>
      </w:pPr>
      <w:r>
        <w:rPr>
          <w:b/>
        </w:rPr>
        <w:t xml:space="preserve">Capability  </w:t>
      </w:r>
      <w:r>
        <w:t>Corporate Governance · Compliance · Process Management</w:t>
      </w:r>
    </w:p>
    <w:p>
      <w:pPr>
        <w:spacing w:before="180" w:after="40"/>
      </w:pPr>
      <w:r>
        <w:rPr>
          <w:b/>
          <w:sz w:val="16"/>
        </w:rPr>
        <w:t xml:space="preserve">06  </w:t>
      </w:r>
      <w:r>
        <w:rPr>
          <w:b/>
          <w:sz w:val="24"/>
        </w:rPr>
        <w:t>Audit, Remediation &amp; Accountability</w:t>
      </w:r>
      <w:r>
        <w:t xml:space="preserve">  |  2020–2023</w:t>
      </w:r>
    </w:p>
    <w:p>
      <w:pPr>
        <w:spacing w:after="60"/>
      </w:pPr>
      <w:r>
        <w:rPr>
          <w:i/>
        </w:rPr>
        <w:t>内外部审计对接、整改与问责</w:t>
      </w:r>
    </w:p>
    <w:p>
      <w:pPr>
        <w:spacing w:after="40"/>
      </w:pPr>
      <w:r>
        <w:rPr>
          <w:b/>
        </w:rPr>
        <w:t>Challenge</w:t>
        <w:br/>
      </w:r>
      <w:r>
        <w:t>—</w:t>
      </w:r>
    </w:p>
    <w:p>
      <w:pPr>
        <w:spacing w:after="40"/>
      </w:pPr>
      <w:r>
        <w:rPr>
          <w:b/>
        </w:rPr>
        <w:t>Role</w:t>
        <w:br/>
      </w:r>
      <w:r>
        <w:t>Internal Control · Audit Coordination · Remediation</w:t>
      </w:r>
    </w:p>
    <w:p>
      <w:pPr>
        <w:spacing w:after="40"/>
      </w:pPr>
      <w:r>
        <w:rPr>
          <w:b/>
        </w:rPr>
        <w:t>Work</w:t>
        <w:br/>
      </w:r>
    </w:p>
    <w:p>
      <w:pPr>
        <w:pStyle w:val="ListBullet"/>
        <w:spacing w:after="40"/>
        <w:ind w:left="255"/>
      </w:pPr>
      <w:r>
        <w:t>Coordinated internal and external audit requirements.</w:t>
      </w:r>
    </w:p>
    <w:p>
      <w:pPr>
        <w:pStyle w:val="ListBullet"/>
        <w:spacing w:after="40"/>
        <w:ind w:left="255"/>
      </w:pPr>
      <w:r>
        <w:t>Followed up on identified issues and remediation measures.</w:t>
      </w:r>
    </w:p>
    <w:p>
      <w:pPr>
        <w:pStyle w:val="ListBullet"/>
        <w:spacing w:after="40"/>
        <w:ind w:left="255"/>
      </w:pPr>
      <w:r>
        <w:t>Supported accountability and implementation of corrective actions across relevant business functions.</w:t>
      </w:r>
    </w:p>
    <w:p>
      <w:pPr>
        <w:spacing w:after="120"/>
      </w:pPr>
      <w:r>
        <w:rPr>
          <w:b/>
        </w:rPr>
        <w:t xml:space="preserve">Capability  </w:t>
      </w:r>
      <w:r>
        <w:t>Internal Control · Audit · Remediation · Accountability</w:t>
      </w:r>
    </w:p>
    <w:p>
      <w:pPr>
        <w:pStyle w:val="Heading1"/>
        <w:spacing w:before="240" w:after="80"/>
        <w:pBdr>
          <w:bottom w:val="single" w:sz="6" w:space="1" w:color="B7B7B7"/>
        </w:pBdr>
      </w:pPr>
      <w:r>
        <w:t>04 / CORPORATE CLIENT &amp; DIGITAL TRANSFORMATION</w:t>
      </w:r>
    </w:p>
    <w:p>
      <w:pPr>
        <w:spacing w:before="180" w:after="40"/>
      </w:pPr>
      <w:r>
        <w:rPr>
          <w:b/>
          <w:sz w:val="16"/>
        </w:rPr>
        <w:t xml:space="preserve">07  </w:t>
      </w:r>
      <w:r>
        <w:rPr>
          <w:b/>
          <w:sz w:val="24"/>
        </w:rPr>
        <w:t>Customer Segment &amp; Product Configuration</w:t>
      </w:r>
      <w:r>
        <w:t xml:space="preserve">  |  2023–2025</w:t>
      </w:r>
    </w:p>
    <w:p>
      <w:pPr>
        <w:spacing w:after="60"/>
      </w:pPr>
      <w:r>
        <w:rPr>
          <w:i/>
        </w:rPr>
        <w:t>客群与产品配置率推动</w:t>
      </w:r>
    </w:p>
    <w:p>
      <w:pPr>
        <w:spacing w:after="40"/>
      </w:pPr>
      <w:r>
        <w:rPr>
          <w:b/>
        </w:rPr>
        <w:t>Challenge</w:t>
        <w:br/>
      </w:r>
      <w:r>
        <w:t>—</w:t>
      </w:r>
    </w:p>
    <w:p>
      <w:pPr>
        <w:spacing w:after="40"/>
      </w:pPr>
      <w:r>
        <w:rPr>
          <w:b/>
        </w:rPr>
        <w:t>Role</w:t>
        <w:br/>
      </w:r>
      <w:r>
        <w:t>Corporate Client Development · Market Analysis</w:t>
      </w:r>
    </w:p>
    <w:p>
      <w:pPr>
        <w:spacing w:after="40"/>
      </w:pPr>
      <w:r>
        <w:rPr>
          <w:b/>
        </w:rPr>
        <w:t>Work</w:t>
        <w:br/>
      </w:r>
    </w:p>
    <w:p>
      <w:pPr>
        <w:pStyle w:val="ListBullet"/>
        <w:spacing w:after="40"/>
        <w:ind w:left="255"/>
      </w:pPr>
      <w:r>
        <w:t>Analysed regional market conditions and corporate customer segments.</w:t>
      </w:r>
    </w:p>
    <w:p>
      <w:pPr>
        <w:pStyle w:val="ListBullet"/>
        <w:spacing w:after="40"/>
        <w:ind w:left="255"/>
      </w:pPr>
      <w:r>
        <w:t>Examined existing customer transaction behaviour and business relationships.</w:t>
      </w:r>
    </w:p>
    <w:p>
      <w:pPr>
        <w:pStyle w:val="ListBullet"/>
        <w:spacing w:after="40"/>
        <w:ind w:left="255"/>
      </w:pPr>
      <w:r>
        <w:t>Supported frontline teams in identifying customer needs and matching financial products.</w:t>
      </w:r>
    </w:p>
    <w:p>
      <w:pPr>
        <w:spacing w:after="120"/>
      </w:pPr>
      <w:r>
        <w:rPr>
          <w:b/>
        </w:rPr>
        <w:t xml:space="preserve">Capability  </w:t>
      </w:r>
      <w:r>
        <w:t>Customer Analytics · Market Analysis · Corporate Banking · Business Strategy</w:t>
      </w:r>
    </w:p>
    <w:p>
      <w:pPr>
        <w:spacing w:before="180" w:after="40"/>
      </w:pPr>
      <w:r>
        <w:rPr>
          <w:b/>
          <w:sz w:val="16"/>
        </w:rPr>
        <w:t xml:space="preserve">08  </w:t>
      </w:r>
      <w:r>
        <w:rPr>
          <w:b/>
          <w:sz w:val="24"/>
        </w:rPr>
        <w:t>Digital Customer Development &amp; Relationship Management</w:t>
      </w:r>
      <w:r>
        <w:t xml:space="preserve">  |  2024–2025</w:t>
      </w:r>
    </w:p>
    <w:p>
      <w:pPr>
        <w:spacing w:after="60"/>
      </w:pPr>
      <w:r>
        <w:rPr>
          <w:i/>
        </w:rPr>
        <w:t>客户经营营销拓客工具数字化推广</w:t>
      </w:r>
    </w:p>
    <w:p>
      <w:pPr>
        <w:spacing w:after="40"/>
      </w:pPr>
      <w:r>
        <w:rPr>
          <w:b/>
        </w:rPr>
        <w:t>Challenge</w:t>
        <w:br/>
      </w:r>
      <w:r>
        <w:t>—</w:t>
      </w:r>
    </w:p>
    <w:p>
      <w:pPr>
        <w:spacing w:after="40"/>
      </w:pPr>
      <w:r>
        <w:rPr>
          <w:b/>
        </w:rPr>
        <w:t>Role</w:t>
        <w:br/>
      </w:r>
      <w:r>
        <w:t>Digital Adoption · Business Transformation</w:t>
      </w:r>
    </w:p>
    <w:p>
      <w:pPr>
        <w:spacing w:after="40"/>
      </w:pPr>
      <w:r>
        <w:rPr>
          <w:b/>
        </w:rPr>
        <w:t>Work</w:t>
        <w:br/>
      </w:r>
    </w:p>
    <w:p>
      <w:pPr>
        <w:pStyle w:val="ListBullet"/>
        <w:spacing w:after="40"/>
        <w:ind w:left="255"/>
      </w:pPr>
      <w:r>
        <w:t>Promoted digital tools supporting customer acquisition and relationship management.</w:t>
      </w:r>
    </w:p>
    <w:p>
      <w:pPr>
        <w:pStyle w:val="ListBullet"/>
        <w:spacing w:after="40"/>
        <w:ind w:left="255"/>
      </w:pPr>
      <w:r>
        <w:t>Translated frontline business needs into practical digital workflows.</w:t>
      </w:r>
    </w:p>
    <w:p>
      <w:pPr>
        <w:pStyle w:val="ListBullet"/>
        <w:spacing w:after="40"/>
        <w:ind w:left="255"/>
      </w:pPr>
      <w:r>
        <w:t>Supported adoption of digital tools within corporate banking teams.</w:t>
      </w:r>
    </w:p>
    <w:p>
      <w:pPr>
        <w:spacing w:after="120"/>
      </w:pPr>
      <w:r>
        <w:rPr>
          <w:b/>
        </w:rPr>
        <w:t xml:space="preserve">Capability  </w:t>
      </w:r>
      <w:r>
        <w:t>Digital Transformation · Business–Technology Translation · Digital Adoption</w:t>
      </w:r>
    </w:p>
    <w:p>
      <w:pPr>
        <w:spacing w:before="180" w:after="40"/>
      </w:pPr>
      <w:r>
        <w:rPr>
          <w:b/>
          <w:sz w:val="16"/>
        </w:rPr>
        <w:t xml:space="preserve">09  </w:t>
      </w:r>
      <w:r>
        <w:rPr>
          <w:b/>
          <w:sz w:val="24"/>
        </w:rPr>
        <w:t>Digital Performance Management Dashboard</w:t>
      </w:r>
      <w:r>
        <w:t xml:space="preserve">  |  2025</w:t>
      </w:r>
    </w:p>
    <w:p>
      <w:pPr>
        <w:spacing w:after="60"/>
      </w:pPr>
      <w:r>
        <w:rPr>
          <w:i/>
        </w:rPr>
        <w:t>经营业绩指标数字化看板</w:t>
      </w:r>
    </w:p>
    <w:p>
      <w:pPr>
        <w:spacing w:after="40"/>
      </w:pPr>
      <w:r>
        <w:rPr>
          <w:b/>
        </w:rPr>
        <w:t>Challenge</w:t>
        <w:br/>
      </w:r>
      <w:r>
        <w:t>—</w:t>
      </w:r>
    </w:p>
    <w:p>
      <w:pPr>
        <w:spacing w:after="40"/>
      </w:pPr>
      <w:r>
        <w:rPr>
          <w:b/>
        </w:rPr>
        <w:t>Role</w:t>
        <w:br/>
      </w:r>
      <w:r>
        <w:t>Business–IT Collaboration · Digital Management</w:t>
      </w:r>
    </w:p>
    <w:p>
      <w:pPr>
        <w:spacing w:after="40"/>
      </w:pPr>
      <w:r>
        <w:rPr>
          <w:b/>
        </w:rPr>
        <w:t>Work</w:t>
        <w:br/>
      </w:r>
    </w:p>
    <w:p>
      <w:pPr>
        <w:pStyle w:val="ListBullet"/>
        <w:spacing w:after="40"/>
        <w:ind w:left="255"/>
      </w:pPr>
      <w:r>
        <w:t>Collaborated with the Information Technology Department to develop a digital dashboard.</w:t>
      </w:r>
    </w:p>
    <w:p>
      <w:pPr>
        <w:pStyle w:val="ListBullet"/>
        <w:spacing w:after="40"/>
        <w:ind w:left="255"/>
      </w:pPr>
      <w:r>
        <w:t>Connected customer acquisition, customer relationship management and business performance indicators.</w:t>
      </w:r>
    </w:p>
    <w:p>
      <w:pPr>
        <w:pStyle w:val="ListBullet"/>
        <w:spacing w:after="40"/>
        <w:ind w:left="255"/>
      </w:pPr>
      <w:r>
        <w:t>Supported more structured monitoring of frontline corporate banking activities.</w:t>
      </w:r>
    </w:p>
    <w:p>
      <w:pPr>
        <w:spacing w:after="40"/>
      </w:pPr>
      <w:r>
        <w:rPr>
          <w:b/>
        </w:rPr>
        <w:t>Outcome</w:t>
        <w:br/>
      </w:r>
      <w:r>
        <w:t>Special Award — Digital Transformation Innovation Competition, China Merchants Bank Headquarters</w:t>
      </w:r>
    </w:p>
    <w:p>
      <w:pPr>
        <w:spacing w:after="120"/>
      </w:pPr>
      <w:r>
        <w:rPr>
          <w:b/>
        </w:rPr>
        <w:t xml:space="preserve">Capability  </w:t>
      </w:r>
      <w:r>
        <w:t>Digital Transformation · Business–IT Collaboration · Performance Management · Decision Support</w:t>
      </w:r>
    </w:p>
    <w:p>
      <w:pPr>
        <w:pStyle w:val="Heading1"/>
        <w:spacing w:before="240" w:after="80"/>
        <w:pBdr>
          <w:bottom w:val="single" w:sz="6" w:space="1" w:color="B7B7B7"/>
        </w:pBdr>
      </w:pPr>
      <w:r>
        <w:t>05 / ACADEMIC BACKGROUND</w:t>
      </w:r>
    </w:p>
    <w:p>
      <w:r>
        <w:rPr>
          <w:b/>
        </w:rPr>
        <w:t>Northeast Agricultural University</w:t>
      </w:r>
      <w:r>
        <w:br/>
        <w:t>Master of Horticulture</w:t>
      </w:r>
      <w:r>
        <w:t xml:space="preserve">  |  Landscape Design · Environmental Psychology</w:t>
      </w:r>
    </w:p>
    <w:p>
      <w:pPr>
        <w:spacing w:after="80" w:line="259" w:lineRule="auto"/>
      </w:pPr>
      <w:r>
        <w:t>Research: Restorative Environments · Environmental Psychology · Plant &amp; Landscape Design</w:t>
      </w:r>
    </w:p>
    <w:p>
      <w:pPr>
        <w:spacing w:after="80" w:line="259" w:lineRule="auto"/>
      </w:pPr>
      <w:r>
        <w:t>Research focused on how environmental and visual factors influence psychological restoration in healthcare environments.</w:t>
      </w:r>
    </w:p>
    <w:p>
      <w:pPr>
        <w:spacing w:after="80" w:line="259" w:lineRule="auto"/>
      </w:pPr>
      <w:r>
        <w:t>Using healthcare environments in northern China as a research context, the study combined literature review, environmental assessment and data analysis to examine how different groups respond to plant-colour configurations and restorative environments.</w:t>
      </w:r>
    </w:p>
    <w:p>
      <w:pPr>
        <w:spacing w:after="80" w:line="259" w:lineRule="auto"/>
      </w:pPr>
      <w:r>
        <w:t>Research perspective: Human perception → Environmental factors → Evaluation → Data → Design response</w:t>
      </w:r>
    </w:p>
    <w:p>
      <w:r>
        <w:rPr>
          <w:b/>
        </w:rPr>
        <w:t>Bachelor of Landscape Architecture</w:t>
      </w:r>
    </w:p>
    <w:p>
      <w:pPr>
        <w:spacing w:after="80" w:line="259" w:lineRule="auto"/>
      </w:pPr>
      <w:r>
        <w:t>Research / Focus: Outdoor Environmental Planning &amp; Landscape Design</w:t>
      </w:r>
    </w:p>
    <w:p>
      <w:pPr>
        <w:spacing w:after="80" w:line="259" w:lineRule="auto"/>
      </w:pPr>
      <w:r>
        <w:t>Developed foundational knowledge in spatial planning, landscape design, environmental perception and the relationship between people and physical environments.</w:t>
      </w:r>
    </w:p>
    <w:p>
      <w:pPr>
        <w:pStyle w:val="Heading1"/>
        <w:spacing w:before="240" w:after="80"/>
        <w:pBdr>
          <w:bottom w:val="single" w:sz="6" w:space="1" w:color="B7B7B7"/>
        </w:pBdr>
      </w:pPr>
      <w:r>
        <w:t>06 / INDEPENDENT CREATIVE PROJECTS</w:t>
      </w:r>
    </w:p>
    <w:p>
      <w:pPr>
        <w:spacing w:before="140"/>
      </w:pPr>
      <w:r>
        <w:rPr>
          <w:b/>
        </w:rPr>
        <w:t>Brand Identity &amp; Visual Design</w:t>
      </w:r>
      <w:r>
        <w:br/>
        <w:t>品牌视觉设计</w:t>
        <w:br/>
        <w:t>Independent creative practice exploring the relationship between identity, visual systems, spatial experience and communication.</w:t>
        <w:br/>
        <w:t>→ View Project</w:t>
      </w:r>
    </w:p>
    <w:p>
      <w:pPr>
        <w:spacing w:before="140"/>
      </w:pPr>
      <w:r>
        <w:rPr>
          <w:b/>
        </w:rPr>
        <w:t>Shanlihong — Botanical Gin</w:t>
      </w:r>
      <w:r>
        <w:br/>
        <w:t>山里红风味金酒</w:t>
        <w:br/>
        <w:t>Brand concept and visual identity exploring botanical ingredients, regional character and contemporary visual language.</w:t>
        <w:br/>
        <w:t>→ View Project</w:t>
      </w:r>
    </w:p>
    <w:p>
      <w:pPr>
        <w:spacing w:before="140"/>
      </w:pPr>
      <w:r>
        <w:rPr>
          <w:b/>
        </w:rPr>
        <w:t>Plant Orchestra × Hailang Four Seasons Hotel</w:t>
      </w:r>
      <w:r>
        <w:br/>
        <w:t>植物乐团 × 海廊·四季酒店，大连</w:t>
        <w:br/>
        <w:t>A visual and spatial concept connecting plants, seasonal change, hospitality experience and cultural storytelling.</w:t>
        <w:br/>
        <w:t>→ View Project</w:t>
      </w:r>
    </w:p>
    <w:p>
      <w:pPr>
        <w:pStyle w:val="Heading1"/>
        <w:spacing w:before="240" w:after="80"/>
        <w:pBdr>
          <w:bottom w:val="single" w:sz="6" w:space="1" w:color="B7B7B7"/>
        </w:pBdr>
      </w:pPr>
      <w:r>
        <w:t>07 / TRANSITION TO TECHNOLOGY GOVERNANCE</w:t>
      </w:r>
    </w:p>
    <w:p>
      <w:r>
        <w:rPr>
          <w:b/>
        </w:rPr>
        <w:t>From Systems to Governance</w:t>
      </w:r>
    </w:p>
    <w:p>
      <w:pPr>
        <w:spacing w:after="80" w:line="259" w:lineRule="auto"/>
      </w:pPr>
      <w:r>
        <w:t>My academic and professional experiences have consistently involved a similar question:</w:t>
      </w:r>
    </w:p>
    <w:p>
      <w:pPr>
        <w:jc w:val="center"/>
      </w:pPr>
      <w:r>
        <w:rPr>
          <w:i/>
        </w:rPr>
        <w:t>“When different people and stakeholders have different needs, perceptions and interests, how can systems, rules and design help create better decisions?”</w:t>
      </w:r>
    </w:p>
    <w:p>
      <w:pPr>
        <w:spacing w:after="80" w:line="259" w:lineRule="auto"/>
      </w:pPr>
      <w:r>
        <w:t>My academic research approached this question through human perception and environmental experience.</w:t>
      </w:r>
    </w:p>
    <w:p>
      <w:pPr>
        <w:spacing w:after="80" w:line="259" w:lineRule="auto"/>
      </w:pPr>
      <w:r>
        <w:t>My professional work approached it through risk, compliance, data, organisational processes and decision-making.</w:t>
      </w:r>
    </w:p>
    <w:p>
      <w:pPr>
        <w:spacing w:after="80" w:line="259" w:lineRule="auto"/>
      </w:pPr>
      <w:r>
        <w:t>As AI increasingly becomes part of organisational decision-making, I am now interested in extending this question to technology governance:</w:t>
      </w:r>
    </w:p>
    <w:p>
      <w:pPr>
        <w:jc w:val="center"/>
      </w:pPr>
      <w:r>
        <w:rPr>
          <w:b/>
        </w:rPr>
        <w:t>How should emerging technologies be designed, implemented and governed while balancing innovation, efficiency, accountability and human judgment?</w:t>
      </w:r>
    </w:p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5"/>
      </w:rPr>
      <w:t>JiaXin Xing  ·  Project-Based Professional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微软雅黑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微软雅黑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