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0EDF6">
      <w:pPr>
        <w:spacing w:after="40"/>
        <w:jc w:val="left"/>
        <w:rPr>
          <w:b/>
          <w:sz w:val="50"/>
        </w:rPr>
      </w:pPr>
      <w:r>
        <w:rPr>
          <w:b/>
          <w:sz w:val="50"/>
        </w:rPr>
        <w:t>JiaXin Xing</w:t>
      </w:r>
    </w:p>
    <w:tbl>
      <w:tblPr>
        <w:tblStyle w:val="32"/>
        <w:tblW w:w="0" w:type="auto"/>
        <w:tblCellSpacing w:w="15" w:type="dxa"/>
        <w:tblInd w:w="-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92"/>
      </w:tblGrid>
      <w:tr w14:paraId="089C6909">
        <w:trPr>
          <w:trHeight w:val="552" w:hRule="atLeast"/>
          <w:tblCellSpacing w:w="15" w:type="dxa"/>
        </w:trPr>
        <w:tc>
          <w:tcPr>
            <w:tcW w:w="3132" w:type="dxa"/>
            <w:shd w:val="clear" w:color="auto" w:fill="FFFFFF"/>
            <w:tcMar>
              <w:top w:w="30" w:type="dxa"/>
              <w:bottom w:w="30" w:type="dxa"/>
            </w:tcMar>
            <w:vAlign w:val="top"/>
          </w:tcPr>
          <w:p w14:paraId="57A619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00" w:lineRule="atLeast"/>
              <w:ind w:left="-360" w:leftChars="0" w:right="0" w:rightChars="0"/>
              <w:jc w:val="center"/>
              <w:rPr>
                <w:rFonts w:hint="default" w:ascii="Helvetica Bold" w:hAnsi="Helvetica Bold" w:cs="Helvetica Bold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hint="default" w:ascii="Helvetica Bold" w:hAnsi="Helvetica Bold" w:eastAsia="Helvetica" w:cs="Helvetica Bold"/>
                <w:b/>
                <w:bCs/>
                <w:i w:val="0"/>
                <w:iCs w:val="0"/>
                <w:caps w:val="0"/>
                <w:color w:val="8F7EF7"/>
                <w:spacing w:val="0"/>
                <w:sz w:val="24"/>
                <w:szCs w:val="24"/>
                <w:highlight w:val="none"/>
              </w:rPr>
              <w:t>xjxjiaxinxing@gmail.com</w:t>
            </w:r>
          </w:p>
        </w:tc>
      </w:tr>
    </w:tbl>
    <w:p w14:paraId="79BB4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/>
          <w:b/>
          <w:color w:val="F2F2F2" w:themeColor="background1" w:themeShade="F2"/>
          <w:sz w:val="18"/>
          <w:szCs w:val="18"/>
        </w:rPr>
      </w:pPr>
      <w:r>
        <w:rPr>
          <w:rFonts w:hint="eastAsia"/>
          <w:b/>
          <w:color w:val="F2F2F2" w:themeColor="background1" w:themeShade="F2"/>
          <w:sz w:val="18"/>
          <w:szCs w:val="18"/>
          <w:highlight w:val="darkGray"/>
          <w:lang w:val="en-US" w:eastAsia="zh-CN"/>
        </w:rPr>
        <w:t xml:space="preserve"> C</w:t>
      </w:r>
      <w:r>
        <w:rPr>
          <w:rFonts w:hint="eastAsia"/>
          <w:b/>
          <w:color w:val="F2F2F2" w:themeColor="background1" w:themeShade="F2"/>
          <w:sz w:val="18"/>
          <w:szCs w:val="18"/>
          <w:highlight w:val="darkGray"/>
        </w:rPr>
        <w:t>orporate Banking</w:t>
      </w:r>
      <w:r>
        <w:rPr>
          <w:rFonts w:hint="eastAsia"/>
          <w:b/>
          <w:color w:val="F2F2F2" w:themeColor="background1" w:themeShade="F2"/>
          <w:sz w:val="18"/>
          <w:szCs w:val="18"/>
          <w:highlight w:val="darkGray"/>
          <w:lang w:val="en-US" w:eastAsia="zh-CN"/>
        </w:rPr>
        <w:t xml:space="preserve"> </w:t>
      </w:r>
      <w:r>
        <w:rPr>
          <w:rFonts w:hint="eastAsia"/>
          <w:b/>
          <w:color w:val="F2F2F2" w:themeColor="background1" w:themeShade="F2"/>
          <w:sz w:val="18"/>
          <w:szCs w:val="18"/>
          <w:highlight w:val="none"/>
        </w:rPr>
        <w:t xml:space="preserve"> </w:t>
      </w:r>
      <w:r>
        <w:rPr>
          <w:rFonts w:hint="default"/>
          <w:b/>
          <w:color w:val="F2F2F2" w:themeColor="background1" w:themeShade="F2"/>
          <w:sz w:val="18"/>
          <w:szCs w:val="18"/>
          <w:highlight w:val="none"/>
          <w:lang w:val="en-US"/>
        </w:rPr>
        <w:t xml:space="preserve"> </w:t>
      </w:r>
      <w:r>
        <w:rPr>
          <w:rFonts w:hint="eastAsia"/>
          <w:b/>
          <w:color w:val="F2F2F2" w:themeColor="background1" w:themeShade="F2"/>
          <w:sz w:val="18"/>
          <w:szCs w:val="18"/>
        </w:rPr>
        <w:t xml:space="preserve"> </w:t>
      </w:r>
      <w:r>
        <w:rPr>
          <w:rFonts w:hint="eastAsia"/>
          <w:b/>
          <w:color w:val="F2F2F2" w:themeColor="background1" w:themeShade="F2"/>
          <w:sz w:val="18"/>
          <w:szCs w:val="18"/>
          <w:highlight w:val="darkGray"/>
          <w:lang w:val="en-US" w:eastAsia="zh-CN"/>
        </w:rPr>
        <w:t xml:space="preserve"> R</w:t>
      </w:r>
      <w:r>
        <w:rPr>
          <w:rFonts w:hint="eastAsia"/>
          <w:b/>
          <w:color w:val="F2F2F2" w:themeColor="background1" w:themeShade="F2"/>
          <w:sz w:val="18"/>
          <w:szCs w:val="18"/>
          <w:highlight w:val="darkGray"/>
        </w:rPr>
        <w:t>isk &amp; Compliance</w:t>
      </w:r>
      <w:r>
        <w:rPr>
          <w:rFonts w:hint="default"/>
          <w:b/>
          <w:color w:val="F2F2F2" w:themeColor="background1" w:themeShade="F2"/>
          <w:sz w:val="18"/>
          <w:szCs w:val="18"/>
          <w:highlight w:val="darkGray"/>
          <w:lang w:val="en-US"/>
        </w:rPr>
        <w:t xml:space="preserve"> </w:t>
      </w:r>
      <w:r>
        <w:rPr>
          <w:rFonts w:hint="eastAsia"/>
          <w:b/>
          <w:color w:val="F2F2F2" w:themeColor="background1" w:themeShade="F2"/>
          <w:sz w:val="18"/>
          <w:szCs w:val="18"/>
          <w:highlight w:val="none"/>
        </w:rPr>
        <w:t xml:space="preserve"> </w:t>
      </w:r>
      <w:r>
        <w:rPr>
          <w:rFonts w:hint="eastAsia"/>
          <w:b/>
          <w:color w:val="F2F2F2" w:themeColor="background1" w:themeShade="F2"/>
          <w:sz w:val="18"/>
          <w:szCs w:val="18"/>
        </w:rPr>
        <w:t xml:space="preserve"> </w:t>
      </w:r>
      <w:r>
        <w:rPr>
          <w:rFonts w:hint="default"/>
          <w:b/>
          <w:color w:val="F2F2F2" w:themeColor="background1" w:themeShade="F2"/>
          <w:sz w:val="18"/>
          <w:szCs w:val="18"/>
          <w:lang w:val="en-US"/>
        </w:rPr>
        <w:t xml:space="preserve"> </w:t>
      </w:r>
      <w:r>
        <w:rPr>
          <w:rFonts w:hint="default"/>
          <w:b/>
          <w:color w:val="F2F2F2" w:themeColor="background1" w:themeShade="F2"/>
          <w:sz w:val="18"/>
          <w:szCs w:val="18"/>
          <w:highlight w:val="darkGray"/>
          <w:lang w:val="en-US"/>
        </w:rPr>
        <w:t xml:space="preserve"> D</w:t>
      </w:r>
      <w:r>
        <w:rPr>
          <w:rFonts w:hint="eastAsia"/>
          <w:b/>
          <w:color w:val="F2F2F2" w:themeColor="background1" w:themeShade="F2"/>
          <w:sz w:val="18"/>
          <w:szCs w:val="18"/>
          <w:highlight w:val="darkGray"/>
        </w:rPr>
        <w:t>ata Governance</w:t>
      </w:r>
      <w:r>
        <w:rPr>
          <w:rFonts w:hint="default"/>
          <w:b/>
          <w:color w:val="F2F2F2" w:themeColor="background1" w:themeShade="F2"/>
          <w:sz w:val="18"/>
          <w:szCs w:val="18"/>
          <w:highlight w:val="darkGray"/>
          <w:lang w:val="en-US"/>
        </w:rPr>
        <w:t xml:space="preserve"> </w:t>
      </w:r>
      <w:r>
        <w:rPr>
          <w:rFonts w:hint="eastAsia"/>
          <w:b/>
          <w:color w:val="F2F2F2" w:themeColor="background1" w:themeShade="F2"/>
          <w:sz w:val="18"/>
          <w:szCs w:val="18"/>
          <w:highlight w:val="none"/>
        </w:rPr>
        <w:t xml:space="preserve"> </w:t>
      </w:r>
      <w:r>
        <w:rPr>
          <w:rFonts w:hint="eastAsia"/>
          <w:b/>
          <w:color w:val="F2F2F2" w:themeColor="background1" w:themeShade="F2"/>
          <w:sz w:val="18"/>
          <w:szCs w:val="18"/>
        </w:rPr>
        <w:t xml:space="preserve"> </w:t>
      </w:r>
      <w:r>
        <w:rPr>
          <w:rFonts w:hint="default"/>
          <w:b/>
          <w:color w:val="F2F2F2" w:themeColor="background1" w:themeShade="F2"/>
          <w:sz w:val="18"/>
          <w:szCs w:val="18"/>
          <w:lang w:val="en-US"/>
        </w:rPr>
        <w:t xml:space="preserve"> </w:t>
      </w:r>
      <w:r>
        <w:rPr>
          <w:rFonts w:hint="default"/>
          <w:b/>
          <w:color w:val="F2F2F2" w:themeColor="background1" w:themeShade="F2"/>
          <w:sz w:val="18"/>
          <w:szCs w:val="18"/>
          <w:highlight w:val="darkGray"/>
          <w:lang w:val="en-US"/>
        </w:rPr>
        <w:t xml:space="preserve"> D</w:t>
      </w:r>
      <w:r>
        <w:rPr>
          <w:rFonts w:hint="eastAsia"/>
          <w:b/>
          <w:color w:val="F2F2F2" w:themeColor="background1" w:themeShade="F2"/>
          <w:sz w:val="18"/>
          <w:szCs w:val="18"/>
          <w:highlight w:val="darkGray"/>
        </w:rPr>
        <w:t>igital Transformation</w:t>
      </w:r>
      <w:r>
        <w:rPr>
          <w:rFonts w:hint="default"/>
          <w:b/>
          <w:color w:val="F2F2F2" w:themeColor="background1" w:themeShade="F2"/>
          <w:sz w:val="18"/>
          <w:szCs w:val="18"/>
          <w:highlight w:val="darkGray"/>
          <w:lang w:val="en-US"/>
        </w:rPr>
        <w:t xml:space="preserve"> </w:t>
      </w:r>
      <w:r>
        <w:rPr>
          <w:rFonts w:hint="eastAsia"/>
          <w:b/>
          <w:color w:val="F2F2F2" w:themeColor="background1" w:themeShade="F2"/>
          <w:sz w:val="18"/>
          <w:szCs w:val="18"/>
          <w:highlight w:val="none"/>
        </w:rPr>
        <w:t xml:space="preserve"> </w:t>
      </w:r>
      <w:r>
        <w:rPr>
          <w:rFonts w:hint="default"/>
          <w:b/>
          <w:color w:val="F2F2F2" w:themeColor="background1" w:themeShade="F2"/>
          <w:sz w:val="18"/>
          <w:szCs w:val="18"/>
          <w:highlight w:val="none"/>
          <w:lang w:val="en-US"/>
        </w:rPr>
        <w:t xml:space="preserve"> </w:t>
      </w:r>
      <w:r>
        <w:rPr>
          <w:rFonts w:hint="eastAsia"/>
          <w:b/>
          <w:color w:val="F2F2F2" w:themeColor="background1" w:themeShade="F2"/>
          <w:sz w:val="18"/>
          <w:szCs w:val="18"/>
        </w:rPr>
        <w:t xml:space="preserve"> </w:t>
      </w:r>
      <w:r>
        <w:rPr>
          <w:rFonts w:hint="default"/>
          <w:b/>
          <w:color w:val="F2F2F2" w:themeColor="background1" w:themeShade="F2"/>
          <w:sz w:val="18"/>
          <w:szCs w:val="18"/>
          <w:highlight w:val="darkGray"/>
          <w:lang w:val="en-US"/>
        </w:rPr>
        <w:t xml:space="preserve"> L</w:t>
      </w:r>
      <w:r>
        <w:rPr>
          <w:rFonts w:hint="eastAsia"/>
          <w:b/>
          <w:color w:val="F2F2F2" w:themeColor="background1" w:themeShade="F2"/>
          <w:sz w:val="18"/>
          <w:szCs w:val="18"/>
          <w:highlight w:val="darkGray"/>
        </w:rPr>
        <w:t>andscape Architecture</w:t>
      </w:r>
      <w:r>
        <w:rPr>
          <w:rFonts w:hint="default"/>
          <w:b/>
          <w:color w:val="F2F2F2" w:themeColor="background1" w:themeShade="F2"/>
          <w:sz w:val="18"/>
          <w:szCs w:val="18"/>
          <w:highlight w:val="darkGray"/>
          <w:lang w:val="en-US"/>
        </w:rPr>
        <w:t xml:space="preserve"> </w:t>
      </w:r>
      <w:r>
        <w:rPr>
          <w:rFonts w:hint="eastAsia"/>
          <w:b/>
          <w:color w:val="F2F2F2" w:themeColor="background1" w:themeShade="F2"/>
          <w:sz w:val="18"/>
          <w:szCs w:val="18"/>
        </w:rPr>
        <w:t xml:space="preserve"> </w:t>
      </w:r>
    </w:p>
    <w:p w14:paraId="69A194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sz w:val="19"/>
          <w:szCs w:val="19"/>
        </w:rPr>
      </w:pPr>
      <w:r>
        <w:rPr>
          <w:rFonts w:hint="default"/>
          <w:b/>
          <w:color w:val="F2F2F2" w:themeColor="background1" w:themeShade="F2"/>
          <w:sz w:val="18"/>
          <w:szCs w:val="18"/>
          <w:highlight w:val="darkGray"/>
          <w:lang w:val="en-US"/>
        </w:rPr>
        <w:t xml:space="preserve"> E</w:t>
      </w:r>
      <w:r>
        <w:rPr>
          <w:rFonts w:hint="eastAsia"/>
          <w:b/>
          <w:color w:val="F2F2F2" w:themeColor="background1" w:themeShade="F2"/>
          <w:sz w:val="18"/>
          <w:szCs w:val="18"/>
          <w:highlight w:val="darkGray"/>
        </w:rPr>
        <w:t xml:space="preserve">nvironmental Psychology </w:t>
      </w:r>
      <w:r>
        <w:rPr>
          <w:rFonts w:hint="default"/>
          <w:b/>
          <w:color w:val="F2F2F2" w:themeColor="background1" w:themeShade="F2"/>
          <w:sz w:val="18"/>
          <w:szCs w:val="18"/>
          <w:highlight w:val="none"/>
          <w:lang w:val="en-US"/>
        </w:rPr>
        <w:t xml:space="preserve">  </w:t>
      </w:r>
      <w:r>
        <w:rPr>
          <w:rFonts w:hint="eastAsia"/>
          <w:b/>
          <w:color w:val="F2F2F2" w:themeColor="background1" w:themeShade="F2"/>
          <w:sz w:val="18"/>
          <w:szCs w:val="18"/>
        </w:rPr>
        <w:t xml:space="preserve"> </w:t>
      </w:r>
      <w:r>
        <w:rPr>
          <w:rFonts w:hint="default"/>
          <w:b/>
          <w:color w:val="F2F2F2" w:themeColor="background1" w:themeShade="F2"/>
          <w:sz w:val="18"/>
          <w:szCs w:val="18"/>
          <w:highlight w:val="darkGray"/>
          <w:lang w:val="en-US"/>
        </w:rPr>
        <w:t xml:space="preserve"> H</w:t>
      </w:r>
      <w:r>
        <w:rPr>
          <w:rFonts w:hint="eastAsia"/>
          <w:b/>
          <w:color w:val="F2F2F2" w:themeColor="background1" w:themeShade="F2"/>
          <w:sz w:val="18"/>
          <w:szCs w:val="18"/>
          <w:highlight w:val="darkGray"/>
        </w:rPr>
        <w:t>ealing Landscape</w:t>
      </w:r>
      <w:r>
        <w:rPr>
          <w:rFonts w:hint="default"/>
          <w:b/>
          <w:color w:val="F2F2F2" w:themeColor="background1" w:themeShade="F2"/>
          <w:sz w:val="18"/>
          <w:szCs w:val="18"/>
          <w:highlight w:val="darkGray"/>
          <w:lang w:val="en-US"/>
        </w:rPr>
        <w:t xml:space="preserve"> </w:t>
      </w:r>
      <w:r>
        <w:rPr>
          <w:rFonts w:hint="eastAsia"/>
          <w:b/>
          <w:sz w:val="19"/>
          <w:szCs w:val="19"/>
        </w:rPr>
        <w:t xml:space="preserve"> </w:t>
      </w:r>
    </w:p>
    <w:p w14:paraId="14898F14">
      <w:pPr>
        <w:pStyle w:val="3"/>
        <w:keepNext/>
        <w:keepLines/>
        <w:pageBreakBefore w:val="0"/>
        <w:widowControl/>
        <w:pBdr>
          <w:bottom w:val="single" w:color="B7B7B7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/>
        <w:textAlignment w:val="auto"/>
        <w:rPr>
          <w:sz w:val="30"/>
          <w:szCs w:val="30"/>
        </w:rPr>
      </w:pPr>
      <w:r>
        <w:rPr>
          <w:sz w:val="30"/>
          <w:szCs w:val="30"/>
        </w:rPr>
        <w:t>P</w:t>
      </w:r>
      <w:r>
        <w:rPr>
          <w:rFonts w:hint="eastAsia"/>
          <w:sz w:val="30"/>
          <w:szCs w:val="30"/>
          <w:lang w:val="en-US" w:eastAsia="zh-CN"/>
        </w:rPr>
        <w:t>ERSONAL</w:t>
      </w:r>
      <w:r>
        <w:rPr>
          <w:sz w:val="30"/>
          <w:szCs w:val="30"/>
        </w:rPr>
        <w:t xml:space="preserve"> PROFILE</w:t>
      </w:r>
    </w:p>
    <w:p w14:paraId="52858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right="190" w:rightChars="100"/>
        <w:textAlignment w:val="auto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Professional experience spanning corporate banking, risk &amp; compliance, client governance, and digital transformation at China Merchants Bank. Specialize in architecting risk-control frameworks, client lifecycle governance models, relationship-screening algorithms, and digital management dashboards</w:t>
      </w:r>
      <w:r>
        <w:rPr>
          <w:rFonts w:hint="default"/>
          <w:sz w:val="18"/>
          <w:szCs w:val="18"/>
          <w:lang w:val="en-US"/>
        </w:rPr>
        <w:t>-</w:t>
      </w:r>
      <w:r>
        <w:rPr>
          <w:rFonts w:hint="eastAsia"/>
          <w:sz w:val="18"/>
          <w:szCs w:val="18"/>
        </w:rPr>
        <w:t>translating complex business risks and organizational needs into operational controls.</w:t>
      </w:r>
    </w:p>
    <w:p w14:paraId="1274E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right="190" w:rightChars="100"/>
        <w:textAlignment w:val="auto"/>
        <w:rPr>
          <w:rFonts w:hint="default" w:ascii="Aptos" w:hAnsi="Aptos" w:eastAsia="微软雅黑" w:cstheme="minorBidi"/>
          <w:b w:val="0"/>
          <w:bCs w:val="0"/>
          <w:color w:val="auto"/>
          <w:sz w:val="18"/>
          <w:szCs w:val="18"/>
          <w:lang w:val="en-US" w:eastAsia="zh-CN" w:bidi="ar-SA"/>
        </w:rPr>
      </w:pPr>
      <w:r>
        <w:rPr>
          <w:rFonts w:hint="eastAsia" w:ascii="Aptos" w:hAnsi="Aptos" w:eastAsia="微软雅黑" w:cstheme="minorBidi"/>
          <w:b w:val="0"/>
          <w:bCs w:val="0"/>
          <w:color w:val="auto"/>
          <w:sz w:val="18"/>
          <w:szCs w:val="18"/>
          <w:lang w:val="en-US" w:eastAsia="en-US" w:bidi="ar-SA"/>
        </w:rPr>
        <w:t>Academic training in Landscape Architecture and Horticulture, with postgraduate research in Environmental Psychology and restorative environmental design. This interdisciplinary lens strengthens a human-centred approach to institutional governance, decision-making systems, and regulatory design</w:t>
      </w:r>
      <w:r>
        <w:rPr>
          <w:rFonts w:hint="default" w:ascii="Aptos" w:hAnsi="Aptos" w:eastAsia="微软雅黑" w:cstheme="minorBidi"/>
          <w:b w:val="0"/>
          <w:bCs w:val="0"/>
          <w:color w:val="auto"/>
          <w:sz w:val="18"/>
          <w:szCs w:val="18"/>
          <w:lang w:val="en-US" w:eastAsia="en-US" w:bidi="ar-SA"/>
        </w:rPr>
        <w:t>.</w:t>
      </w:r>
    </w:p>
    <w:p w14:paraId="1E7D314D">
      <w:pPr>
        <w:pStyle w:val="3"/>
        <w:keepNext/>
        <w:keepLines/>
        <w:pageBreakBefore w:val="0"/>
        <w:widowControl/>
        <w:pBdr>
          <w:bottom w:val="single" w:color="B7B7B7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/>
        <w:textAlignment w:val="auto"/>
        <w:rPr>
          <w:rFonts w:hint="default" w:eastAsiaTheme="majorEastAsia"/>
          <w:sz w:val="30"/>
          <w:szCs w:val="30"/>
          <w:u w:val="single"/>
          <w:lang w:val="en-US" w:eastAsia="zh-CN"/>
        </w:rPr>
      </w:pPr>
      <w:r>
        <w:rPr>
          <w:sz w:val="30"/>
          <w:szCs w:val="30"/>
          <w:u w:val="none"/>
        </w:rPr>
        <w:t>PROFESSIONAL EXPERIENCE</w:t>
      </w:r>
      <w:r>
        <w:rPr>
          <w:rFonts w:hint="eastAsia"/>
          <w:sz w:val="30"/>
          <w:szCs w:val="30"/>
          <w:u w:val="none"/>
          <w:lang w:val="en-US" w:eastAsia="zh-CN"/>
        </w:rPr>
        <w:t xml:space="preserve">                                     </w:t>
      </w:r>
      <w:r>
        <w:rPr>
          <w:rFonts w:hint="default"/>
          <w:sz w:val="30"/>
          <w:szCs w:val="30"/>
          <w:u w:val="none"/>
          <w:lang w:val="en-US" w:eastAsia="zh-CN"/>
        </w:rPr>
        <w:t xml:space="preserve">  </w:t>
      </w: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2"/>
        <w:gridCol w:w="2568"/>
      </w:tblGrid>
      <w:tr w14:paraId="1EC5B416">
        <w:trPr>
          <w:trHeight w:val="90" w:hRule="atLeast"/>
        </w:trPr>
        <w:tc>
          <w:tcPr>
            <w:tcW w:w="7662" w:type="dxa"/>
            <w:tcBorders>
              <w:tl2br w:val="nil"/>
              <w:tr2bl w:val="nil"/>
            </w:tcBorders>
            <w:vAlign w:val="center"/>
          </w:tcPr>
          <w:p w14:paraId="39591C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b/>
                <w:bCs w:val="0"/>
                <w:sz w:val="26"/>
                <w:szCs w:val="26"/>
              </w:rPr>
              <w:t>China Merchants Bank</w:t>
            </w:r>
            <w:r>
              <w:rPr>
                <w:rFonts w:hint="eastAsia"/>
                <w:b/>
                <w:bCs w:val="0"/>
                <w:sz w:val="26"/>
                <w:szCs w:val="26"/>
                <w:lang w:val="en-US" w:eastAsia="zh-CN"/>
              </w:rPr>
              <w:t xml:space="preserve"> Dalian Branch 2009-2015</w:t>
            </w:r>
            <w:r>
              <w:rPr>
                <w:b/>
                <w:bCs w:val="0"/>
                <w:sz w:val="26"/>
                <w:szCs w:val="26"/>
              </w:rPr>
              <w:t xml:space="preserve">  </w:t>
            </w:r>
          </w:p>
        </w:tc>
        <w:tc>
          <w:tcPr>
            <w:tcW w:w="2568" w:type="dxa"/>
            <w:tcBorders>
              <w:tl2br w:val="nil"/>
              <w:tr2bl w:val="nil"/>
            </w:tcBorders>
            <w:vAlign w:val="center"/>
          </w:tcPr>
          <w:p w14:paraId="1CEA73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06F0BD4">
        <w:trPr>
          <w:trHeight w:val="351" w:hRule="atLeast"/>
        </w:trPr>
        <w:tc>
          <w:tcPr>
            <w:tcW w:w="10230" w:type="dxa"/>
            <w:gridSpan w:val="2"/>
            <w:tcBorders>
              <w:tl2br w:val="nil"/>
              <w:tr2bl w:val="nil"/>
            </w:tcBorders>
            <w:vAlign w:val="center"/>
          </w:tcPr>
          <w:p w14:paraId="3E0D8901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auto"/>
              <w:ind w:leftChars="0"/>
              <w:jc w:val="left"/>
              <w:textAlignment w:val="auto"/>
              <w:rPr>
                <w:rFonts w:hint="eastAsia"/>
                <w:b w:val="0"/>
                <w:bCs w:val="0"/>
                <w:sz w:val="26"/>
                <w:szCs w:val="26"/>
              </w:rPr>
            </w:pPr>
            <w:bookmarkStart w:id="0" w:name="_GoBack"/>
            <w:r>
              <w:rPr>
                <w:rFonts w:hint="eastAsia"/>
                <w:b w:val="0"/>
                <w:bCs w:val="0"/>
                <w:sz w:val="26"/>
                <w:szCs w:val="26"/>
                <w:u w:val="single"/>
              </w:rPr>
              <w:t xml:space="preserve">Corporate Banking Control &amp; Governance </w:t>
            </w:r>
          </w:p>
          <w:p w14:paraId="6F37A2C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360" w:lineRule="auto"/>
              <w:ind w:left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</w:rPr>
              <w:t>Corporate Internal Control, Compliance &amp; Data Governanc</w:t>
            </w:r>
          </w:p>
        </w:tc>
      </w:tr>
      <w:bookmarkEnd w:id="0"/>
      <w:tr w14:paraId="41CE440E">
        <w:trPr>
          <w:trHeight w:val="283" w:hRule="atLeast"/>
        </w:trPr>
        <w:tc>
          <w:tcPr>
            <w:tcW w:w="7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675A66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240" w:lineRule="auto"/>
              <w:ind w:left="420" w:leftChars="0" w:hanging="420" w:firstLineChars="0"/>
              <w:jc w:val="left"/>
              <w:textAlignment w:val="auto"/>
              <w:rPr>
                <w:rFonts w:hint="eastAsia" w:ascii="Aptos" w:hAnsi="Aptos" w:eastAsia="微软雅黑" w:cstheme="minorBidi"/>
                <w:b w:val="0"/>
                <w:bCs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Account Fraud Risk &amp; Payment Transaction Governance</w:t>
            </w:r>
          </w:p>
        </w:tc>
        <w:tc>
          <w:tcPr>
            <w:tcW w:w="25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BC833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240" w:lineRule="auto"/>
              <w:ind w:left="0" w:leftChars="0" w:firstLine="0" w:firstLineChars="0"/>
              <w:jc w:val="left"/>
              <w:textAlignment w:val="auto"/>
              <w:rPr>
                <w:rFonts w:hint="eastAsia" w:ascii="Aptos" w:hAnsi="Aptos" w:eastAsia="微软雅黑" w:cstheme="minorBidi"/>
                <w:b w:val="0"/>
                <w:bCs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2020</w:t>
            </w:r>
          </w:p>
        </w:tc>
      </w:tr>
      <w:tr w14:paraId="4F34435C">
        <w:trPr>
          <w:trHeight w:val="283" w:hRule="atLeast"/>
        </w:trPr>
        <w:tc>
          <w:tcPr>
            <w:tcW w:w="7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1057D4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240" w:lineRule="auto"/>
              <w:ind w:left="420" w:leftChars="0" w:hanging="420" w:firstLineChars="0"/>
              <w:jc w:val="left"/>
              <w:textAlignment w:val="auto"/>
              <w:rPr>
                <w:rFonts w:hint="eastAsia" w:ascii="Aptos" w:hAnsi="Aptos" w:eastAsia="微软雅黑" w:cstheme="minorBidi"/>
                <w:b w:val="0"/>
                <w:bCs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Regulatory Data Governance &amp; Consolidated Reporting</w:t>
            </w:r>
          </w:p>
        </w:tc>
        <w:tc>
          <w:tcPr>
            <w:tcW w:w="25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93B0B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240" w:lineRule="auto"/>
              <w:ind w:left="0" w:leftChars="0" w:firstLine="0" w:firstLineChars="0"/>
              <w:jc w:val="left"/>
              <w:textAlignment w:val="auto"/>
              <w:rPr>
                <w:rFonts w:hint="eastAsia" w:ascii="Aptos" w:hAnsi="Aptos" w:eastAsia="微软雅黑" w:cstheme="minorBidi"/>
                <w:b w:val="0"/>
                <w:bCs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2021</w:t>
            </w:r>
          </w:p>
        </w:tc>
      </w:tr>
      <w:tr w14:paraId="6EB25ACB">
        <w:trPr>
          <w:trHeight w:val="283" w:hRule="atLeast"/>
        </w:trPr>
        <w:tc>
          <w:tcPr>
            <w:tcW w:w="7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50D70C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line="240" w:lineRule="auto"/>
              <w:ind w:left="420" w:leftChars="0" w:hanging="420" w:firstLineChars="0"/>
              <w:jc w:val="left"/>
              <w:textAlignment w:val="auto"/>
              <w:rPr>
                <w:rFonts w:hint="eastAsia" w:ascii="Aptos" w:hAnsi="Aptos" w:eastAsia="微软雅黑" w:cstheme="minorBidi"/>
                <w:b w:val="0"/>
                <w:bCs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Risk-Based Client Tiering &amp; Fee Compliance</w:t>
            </w:r>
          </w:p>
        </w:tc>
        <w:tc>
          <w:tcPr>
            <w:tcW w:w="25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11F0D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line="240" w:lineRule="auto"/>
              <w:ind w:left="0" w:leftChars="0" w:firstLine="0" w:firstLineChars="0"/>
              <w:jc w:val="left"/>
              <w:textAlignment w:val="auto"/>
              <w:rPr>
                <w:rFonts w:hint="eastAsia" w:ascii="Aptos" w:hAnsi="Aptos" w:eastAsia="微软雅黑" w:cstheme="minorBidi"/>
                <w:b w:val="0"/>
                <w:bCs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2022</w:t>
            </w:r>
          </w:p>
        </w:tc>
      </w:tr>
      <w:tr w14:paraId="145C77E8">
        <w:trPr>
          <w:trHeight w:val="283" w:hRule="atLeast"/>
        </w:trPr>
        <w:tc>
          <w:tcPr>
            <w:tcW w:w="7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AD164C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240" w:lineRule="auto"/>
              <w:ind w:left="420" w:leftChars="0" w:hanging="420" w:firstLineChars="0"/>
              <w:jc w:val="left"/>
              <w:textAlignment w:val="auto"/>
              <w:rPr>
                <w:rFonts w:hint="eastAsia" w:ascii="Aptos" w:hAnsi="Aptos" w:eastAsia="微软雅黑" w:cstheme="minorBidi"/>
                <w:b w:val="0"/>
                <w:bCs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Audit, Remediation &amp; Accountability</w:t>
            </w:r>
          </w:p>
        </w:tc>
        <w:tc>
          <w:tcPr>
            <w:tcW w:w="25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9E88A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240" w:lineRule="auto"/>
              <w:ind w:left="0" w:leftChars="0" w:firstLine="0" w:firstLineChars="0"/>
              <w:jc w:val="left"/>
              <w:textAlignment w:val="auto"/>
              <w:rPr>
                <w:rFonts w:hint="eastAsia" w:ascii="Aptos" w:hAnsi="Aptos" w:eastAsia="微软雅黑" w:cstheme="minorBidi"/>
                <w:b w:val="0"/>
                <w:bCs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2020 - 2023</w:t>
            </w:r>
          </w:p>
        </w:tc>
      </w:tr>
      <w:tr w14:paraId="27845711">
        <w:trPr>
          <w:trHeight w:val="283" w:hRule="atLeast"/>
        </w:trPr>
        <w:tc>
          <w:tcPr>
            <w:tcW w:w="7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C4DE11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line="240" w:lineRule="auto"/>
              <w:ind w:left="420" w:leftChars="0" w:hanging="420" w:firstLineChars="0"/>
              <w:jc w:val="left"/>
              <w:textAlignment w:val="auto"/>
              <w:rPr>
                <w:rFonts w:hint="eastAsia" w:ascii="Aptos" w:hAnsi="Aptos" w:eastAsia="微软雅黑" w:cstheme="minorBidi"/>
                <w:b w:val="0"/>
                <w:bCs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 xml:space="preserve">KYC &amp; Account Lifecycle Governance  </w:t>
            </w:r>
            <w:r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  <w:t xml:space="preserve">                             </w:t>
            </w:r>
          </w:p>
        </w:tc>
        <w:tc>
          <w:tcPr>
            <w:tcW w:w="25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B26F0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line="240" w:lineRule="auto"/>
              <w:ind w:left="0" w:leftChars="0" w:firstLine="0" w:firstLineChars="0"/>
              <w:jc w:val="left"/>
              <w:textAlignment w:val="auto"/>
              <w:rPr>
                <w:rFonts w:hint="eastAsia" w:ascii="Aptos" w:hAnsi="Aptos" w:eastAsia="微软雅黑" w:cstheme="minorBidi"/>
                <w:b w:val="0"/>
                <w:bCs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2020 - 2023</w:t>
            </w:r>
          </w:p>
        </w:tc>
      </w:tr>
      <w:tr w14:paraId="3552CE5C">
        <w:trPr>
          <w:trHeight w:val="283" w:hRule="atLeast"/>
        </w:trPr>
        <w:tc>
          <w:tcPr>
            <w:tcW w:w="7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976FD7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420" w:leftChars="0" w:hanging="420" w:firstLineChars="0"/>
              <w:jc w:val="left"/>
              <w:textAlignment w:val="auto"/>
              <w:rPr>
                <w:rFonts w:hint="eastAsia" w:ascii="Aptos" w:hAnsi="Aptos" w:eastAsia="微软雅黑" w:cstheme="minorBidi"/>
                <w:b w:val="0"/>
                <w:bCs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 xml:space="preserve">Group Exposure &amp; Credit Relationship Mapping  </w:t>
            </w:r>
            <w:r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  <w:t xml:space="preserve">              </w:t>
            </w:r>
          </w:p>
        </w:tc>
        <w:tc>
          <w:tcPr>
            <w:tcW w:w="25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F4D19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firstLine="0" w:firstLineChars="0"/>
              <w:jc w:val="left"/>
              <w:textAlignment w:val="auto"/>
              <w:rPr>
                <w:rFonts w:hint="eastAsia" w:ascii="Aptos" w:hAnsi="Aptos" w:eastAsia="微软雅黑" w:cstheme="minorBidi"/>
                <w:b w:val="0"/>
                <w:bCs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2021 - 2023</w:t>
            </w:r>
          </w:p>
        </w:tc>
      </w:tr>
      <w:tr w14:paraId="5C1B5F15">
        <w:trPr>
          <w:trHeight w:val="413" w:hRule="atLeast"/>
        </w:trPr>
        <w:tc>
          <w:tcPr>
            <w:tcW w:w="1023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67EA65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auto"/>
              <w:ind w:leftChars="0"/>
              <w:textAlignment w:val="auto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6"/>
                <w:szCs w:val="26"/>
                <w:u w:val="single"/>
                <w:lang w:val="en-US" w:eastAsia="zh-CN"/>
              </w:rPr>
              <w:t>Corporate Banking Business &amp; Client Strategy Management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</w:p>
          <w:p w14:paraId="13EDA638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Corporate Clients and Online Business Marketing</w:t>
            </w:r>
          </w:p>
        </w:tc>
      </w:tr>
      <w:tr w14:paraId="4010F83C">
        <w:trPr>
          <w:trHeight w:val="283" w:hRule="atLeast"/>
        </w:trPr>
        <w:tc>
          <w:tcPr>
            <w:tcW w:w="7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132441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240" w:lineRule="auto"/>
              <w:ind w:left="420" w:leftChars="0" w:hanging="420" w:firstLine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Client Segment Strategy &amp; Product Portfolio Optimization</w:t>
            </w:r>
          </w:p>
        </w:tc>
        <w:tc>
          <w:tcPr>
            <w:tcW w:w="25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ADD5D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firstLine="0" w:firstLineChars="0"/>
              <w:jc w:val="left"/>
              <w:textAlignment w:val="auto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2023-2025</w:t>
            </w:r>
          </w:p>
        </w:tc>
      </w:tr>
      <w:tr w14:paraId="2AB97910">
        <w:trPr>
          <w:trHeight w:val="283" w:hRule="atLeast"/>
        </w:trPr>
        <w:tc>
          <w:tcPr>
            <w:tcW w:w="7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0443D6">
            <w:pPr>
              <w:keepNext w:val="0"/>
              <w:keepLines w:val="0"/>
              <w:pageBreakBefore w:val="0"/>
              <w:widowControl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240" w:lineRule="auto"/>
              <w:ind w:left="420" w:leftChars="0" w:hanging="420" w:firstLine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Digital Channel Strategy (E-Banking &amp; TMS) Expansion</w:t>
            </w:r>
          </w:p>
        </w:tc>
        <w:tc>
          <w:tcPr>
            <w:tcW w:w="25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F0CC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firstLine="0" w:firstLineChars="0"/>
              <w:jc w:val="left"/>
              <w:textAlignment w:val="auto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2024-2025</w:t>
            </w:r>
          </w:p>
        </w:tc>
      </w:tr>
      <w:tr w14:paraId="3FC7F29F">
        <w:trPr>
          <w:trHeight w:val="283" w:hRule="atLeast"/>
        </w:trPr>
        <w:tc>
          <w:tcPr>
            <w:tcW w:w="7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E15893">
            <w:pPr>
              <w:keepNext w:val="0"/>
              <w:keepLines w:val="0"/>
              <w:pageBreakBefore w:val="0"/>
              <w:widowControl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line="240" w:lineRule="auto"/>
              <w:ind w:left="420" w:leftChars="0" w:hanging="420" w:firstLine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RM Portfolio Performance &amp; Incentive Appraisal Dashboard</w:t>
            </w:r>
          </w:p>
        </w:tc>
        <w:tc>
          <w:tcPr>
            <w:tcW w:w="25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942A1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firstLine="0" w:firstLineChars="0"/>
              <w:jc w:val="left"/>
              <w:textAlignment w:val="auto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2025</w:t>
            </w:r>
          </w:p>
        </w:tc>
      </w:tr>
    </w:tbl>
    <w:p w14:paraId="38BD92A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/>
        <w:textAlignment w:val="auto"/>
        <w:rPr>
          <w:rFonts w:hint="eastAsia"/>
          <w:b w:val="0"/>
          <w:bCs w:val="0"/>
          <w:lang w:val="en-US" w:eastAsia="zh-CN"/>
        </w:rPr>
        <w:sectPr>
          <w:footerReference r:id="rId5" w:type="default"/>
          <w:pgSz w:w="12240" w:h="15840"/>
          <w:pgMar w:top="964" w:right="850" w:bottom="964" w:left="107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2EC3D126">
      <w:pPr>
        <w:pStyle w:val="3"/>
        <w:keepNext/>
        <w:keepLines/>
        <w:pageBreakBefore w:val="0"/>
        <w:widowControl/>
        <w:pBdr>
          <w:bottom w:val="single" w:color="B7B7B7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/>
        <w:textAlignment w:val="auto"/>
        <w:rPr>
          <w:sz w:val="10"/>
          <w:szCs w:val="10"/>
          <w:u w:val="none"/>
        </w:rPr>
      </w:pPr>
    </w:p>
    <w:p w14:paraId="1709F5E1">
      <w:pPr>
        <w:pStyle w:val="3"/>
        <w:keepNext/>
        <w:keepLines/>
        <w:pageBreakBefore w:val="0"/>
        <w:widowControl/>
        <w:pBdr>
          <w:bottom w:val="single" w:color="B7B7B7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/>
        <w:textAlignment w:val="auto"/>
        <w:rPr>
          <w:sz w:val="30"/>
          <w:szCs w:val="30"/>
          <w:u w:val="none"/>
        </w:rPr>
      </w:pPr>
      <w:r>
        <w:rPr>
          <w:sz w:val="30"/>
          <w:szCs w:val="30"/>
          <w:u w:val="none"/>
        </w:rPr>
        <w:t>ACADEMIC BACKGROUND</w:t>
      </w:r>
      <w:r>
        <w:rPr>
          <w:rFonts w:hint="eastAsia"/>
          <w:sz w:val="30"/>
          <w:szCs w:val="30"/>
          <w:u w:val="none"/>
          <w:lang w:val="en-US" w:eastAsia="zh-CN"/>
        </w:rPr>
        <w:t xml:space="preserve">                                    </w:t>
      </w:r>
      <w:r>
        <w:rPr>
          <w:rFonts w:hint="default"/>
          <w:sz w:val="30"/>
          <w:szCs w:val="30"/>
          <w:u w:val="non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none"/>
          <w:lang w:val="en-US" w:eastAsia="zh-CN"/>
        </w:rPr>
        <w:t xml:space="preserve">     </w:t>
      </w:r>
      <w:r>
        <w:rPr>
          <w:rFonts w:hint="default"/>
          <w:sz w:val="30"/>
          <w:szCs w:val="30"/>
          <w:u w:val="non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none"/>
          <w:lang w:val="en-US" w:eastAsia="zh-CN"/>
        </w:rPr>
        <w:t xml:space="preserve">  SKILLS</w:t>
      </w:r>
    </w:p>
    <w:tbl>
      <w:tblPr>
        <w:tblStyle w:val="33"/>
        <w:tblW w:w="104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7"/>
        <w:gridCol w:w="1953"/>
        <w:gridCol w:w="2966"/>
      </w:tblGrid>
      <w:tr w14:paraId="64FAAB25">
        <w:trPr>
          <w:trHeight w:val="90" w:hRule="atLeast"/>
        </w:trPr>
        <w:tc>
          <w:tcPr>
            <w:tcW w:w="5527" w:type="dxa"/>
            <w:tcBorders>
              <w:tl2br w:val="nil"/>
              <w:tr2bl w:val="nil"/>
            </w:tcBorders>
            <w:vAlign w:val="center"/>
          </w:tcPr>
          <w:p w14:paraId="522FD3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6"/>
                <w:szCs w:val="26"/>
              </w:rPr>
              <w:t>Northeast Agricultural University</w:t>
            </w:r>
          </w:p>
        </w:tc>
        <w:tc>
          <w:tcPr>
            <w:tcW w:w="1953" w:type="dxa"/>
            <w:tcBorders>
              <w:tl2br w:val="nil"/>
              <w:tr2bl w:val="nil"/>
            </w:tcBorders>
            <w:vAlign w:val="center"/>
          </w:tcPr>
          <w:p w14:paraId="1F08D2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966" w:type="dxa"/>
            <w:vMerge w:val="restart"/>
            <w:tcBorders>
              <w:tl2br w:val="nil"/>
              <w:tr2bl w:val="nil"/>
            </w:tcBorders>
            <w:vAlign w:val="top"/>
          </w:tcPr>
          <w:p w14:paraId="53D93B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210" w:firstLineChars="100"/>
              <w:jc w:val="left"/>
              <w:textAlignment w:val="auto"/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t>Data Analysis</w:t>
            </w:r>
          </w:p>
          <w:p w14:paraId="692BA9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210" w:firstLineChars="100"/>
              <w:jc w:val="left"/>
              <w:textAlignment w:val="auto"/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t>Python</w:t>
            </w:r>
          </w:p>
          <w:p w14:paraId="27F39A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210" w:firstLineChars="100"/>
              <w:jc w:val="left"/>
              <w:textAlignment w:val="auto"/>
              <w:rPr>
                <w:rFonts w:hint="eastAsia" w:eastAsia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t>Excel</w:t>
            </w:r>
          </w:p>
          <w:p w14:paraId="0FE73C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360" w:lineRule="auto"/>
              <w:ind w:left="0" w:leftChars="0" w:firstLine="210" w:firstLineChars="100"/>
              <w:jc w:val="left"/>
              <w:textAlignment w:val="auto"/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t>SQL</w:t>
            </w:r>
          </w:p>
          <w:p w14:paraId="216DE4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191" w:firstLineChars="100"/>
              <w:jc w:val="left"/>
              <w:textAlignment w:val="auto"/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pacing w:val="0"/>
                <w:w w:val="91"/>
                <w:kern w:val="0"/>
                <w:sz w:val="21"/>
                <w:szCs w:val="21"/>
                <w:fitText w:val="2448" w:id="1471613447"/>
                <w:lang w:val="en-US" w:eastAsia="zh-CN"/>
              </w:rPr>
              <w:t>Rule-based Risk Modellin</w:t>
            </w:r>
            <w:r>
              <w:rPr>
                <w:rFonts w:hint="eastAsia"/>
                <w:b/>
                <w:bCs w:val="0"/>
                <w:spacing w:val="4"/>
                <w:w w:val="91"/>
                <w:kern w:val="0"/>
                <w:sz w:val="21"/>
                <w:szCs w:val="21"/>
                <w:fitText w:val="2448" w:id="1471613447"/>
                <w:lang w:val="en-US" w:eastAsia="zh-CN"/>
              </w:rPr>
              <w:t>g</w:t>
            </w:r>
          </w:p>
          <w:p w14:paraId="22C73E7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360" w:lineRule="auto"/>
              <w:ind w:left="0" w:leftChars="0" w:firstLine="0" w:firstLineChars="0"/>
              <w:jc w:val="left"/>
              <w:textAlignment w:val="auto"/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</w:pPr>
          </w:p>
          <w:p w14:paraId="5886AB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210" w:firstLineChars="100"/>
              <w:jc w:val="left"/>
              <w:textAlignment w:val="auto"/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t>Visual Design</w:t>
            </w:r>
          </w:p>
          <w:p w14:paraId="37A451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210" w:firstLineChars="100"/>
              <w:jc w:val="left"/>
              <w:textAlignment w:val="auto"/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t>Adobe Ill</w:t>
            </w:r>
            <w:r>
              <w:rPr>
                <w:rFonts w:hint="default"/>
                <w:b/>
                <w:bCs w:val="0"/>
                <w:sz w:val="21"/>
                <w:szCs w:val="21"/>
                <w:lang w:val="en-US" w:eastAsia="zh-CN"/>
              </w:rPr>
              <w:t>u</w:t>
            </w: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t>str</w:t>
            </w:r>
            <w:r>
              <w:rPr>
                <w:rFonts w:hint="default"/>
                <w:b/>
                <w:bCs w:val="0"/>
                <w:sz w:val="21"/>
                <w:szCs w:val="21"/>
                <w:lang w:val="en-US" w:eastAsia="zh-CN"/>
              </w:rPr>
              <w:t>a</w:t>
            </w:r>
            <w:r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  <w:t>tor</w:t>
            </w:r>
          </w:p>
          <w:p w14:paraId="6E9979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210" w:firstLineChars="100"/>
              <w:jc w:val="left"/>
              <w:textAlignment w:val="auto"/>
              <w:rPr>
                <w:rFonts w:hint="default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1"/>
                <w:szCs w:val="21"/>
                <w:lang w:val="en-US" w:eastAsia="zh-CN"/>
              </w:rPr>
              <w:t>Sketch up</w:t>
            </w:r>
          </w:p>
          <w:p w14:paraId="1600348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240" w:lineRule="auto"/>
              <w:ind w:left="0" w:leftChars="0" w:firstLine="0" w:firstLineChars="0"/>
              <w:jc w:val="left"/>
              <w:textAlignment w:val="auto"/>
              <w:rPr>
                <w:rFonts w:hint="eastAsia"/>
                <w:b/>
                <w:bCs w:val="0"/>
                <w:sz w:val="21"/>
                <w:szCs w:val="21"/>
                <w:lang w:val="en-US" w:eastAsia="zh-CN"/>
              </w:rPr>
            </w:pPr>
          </w:p>
        </w:tc>
      </w:tr>
      <w:tr w14:paraId="73868283">
        <w:trPr>
          <w:trHeight w:val="351" w:hRule="atLeast"/>
        </w:trPr>
        <w:tc>
          <w:tcPr>
            <w:tcW w:w="7480" w:type="dxa"/>
            <w:gridSpan w:val="2"/>
            <w:tcBorders>
              <w:tl2br w:val="nil"/>
              <w:tr2bl w:val="nil"/>
            </w:tcBorders>
            <w:vAlign w:val="center"/>
          </w:tcPr>
          <w:p w14:paraId="686165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auto"/>
              <w:textAlignment w:val="auto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  <w:u w:val="single"/>
              </w:rPr>
              <w:t>Master of Horticulture  201</w:t>
            </w:r>
            <w:r>
              <w:rPr>
                <w:rFonts w:hint="eastAsia"/>
                <w:b/>
                <w:bCs w:val="0"/>
                <w:sz w:val="24"/>
                <w:szCs w:val="24"/>
                <w:u w:val="single"/>
                <w:lang w:val="en-US" w:eastAsia="zh-CN"/>
              </w:rPr>
              <w:t>7</w:t>
            </w:r>
            <w:r>
              <w:rPr>
                <w:rFonts w:hint="default"/>
                <w:b/>
                <w:bCs w:val="0"/>
                <w:sz w:val="24"/>
                <w:szCs w:val="24"/>
                <w:u w:val="single"/>
                <w:lang w:val="en-US" w:eastAsia="zh-CN"/>
              </w:rPr>
              <w:t xml:space="preserve"> - </w:t>
            </w:r>
            <w:r>
              <w:rPr>
                <w:b/>
                <w:bCs w:val="0"/>
                <w:sz w:val="24"/>
                <w:szCs w:val="24"/>
                <w:u w:val="single"/>
              </w:rPr>
              <w:t>20</w:t>
            </w:r>
            <w:r>
              <w:rPr>
                <w:rFonts w:hint="eastAsia"/>
                <w:b/>
                <w:bCs w:val="0"/>
                <w:sz w:val="24"/>
                <w:szCs w:val="24"/>
                <w:u w:val="single"/>
                <w:lang w:val="en-US" w:eastAsia="zh-CN"/>
              </w:rPr>
              <w:t>19</w:t>
            </w:r>
            <w:r>
              <w:rPr>
                <w:b/>
                <w:bCs w:val="0"/>
                <w:sz w:val="24"/>
                <w:szCs w:val="24"/>
                <w:u w:val="single"/>
              </w:rPr>
              <w:t xml:space="preserve"> </w:t>
            </w:r>
            <w:r>
              <w:rPr>
                <w:b/>
                <w:bCs w:val="0"/>
                <w:sz w:val="24"/>
                <w:szCs w:val="24"/>
              </w:rPr>
              <w:t xml:space="preserve">  </w:t>
            </w:r>
          </w:p>
          <w:p w14:paraId="7E17AC19">
            <w:pPr>
              <w:pStyle w:val="16"/>
              <w:numPr>
                <w:ilvl w:val="0"/>
                <w:numId w:val="0"/>
              </w:numPr>
              <w:spacing w:after="40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</w:rPr>
              <w:t>Landscape Design · Environmental Psychology</w:t>
            </w:r>
          </w:p>
        </w:tc>
        <w:tc>
          <w:tcPr>
            <w:tcW w:w="2966" w:type="dxa"/>
            <w:vMerge w:val="continue"/>
            <w:tcBorders>
              <w:tl2br w:val="nil"/>
              <w:tr2bl w:val="nil"/>
            </w:tcBorders>
            <w:vAlign w:val="center"/>
          </w:tcPr>
          <w:p w14:paraId="349632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240" w:lineRule="auto"/>
              <w:ind w:left="0" w:leftChars="0" w:firstLine="0" w:firstLineChars="0"/>
              <w:jc w:val="left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974CE65">
        <w:trPr>
          <w:trHeight w:val="551" w:hRule="atLeast"/>
        </w:trPr>
        <w:tc>
          <w:tcPr>
            <w:tcW w:w="748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0FD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Aptos" w:hAnsi="Aptos" w:eastAsia="微软雅黑" w:cstheme="minorBidi"/>
                <w:b w:val="0"/>
                <w:bCs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sz w:val="18"/>
                <w:szCs w:val="18"/>
              </w:rPr>
              <w:t>Research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z w:val="18"/>
                <w:szCs w:val="18"/>
              </w:rPr>
              <w:t>focused on how environmental and visual factors influence psychological restoration in healthcare environments.Using healthcare environments in northern China as a research context, combin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ing</w:t>
            </w:r>
            <w:r>
              <w:rPr>
                <w:sz w:val="18"/>
                <w:szCs w:val="18"/>
              </w:rPr>
              <w:t xml:space="preserve"> literature review, environmental assessment and data analysis to examine how different groups respond to plant-colour configurations and restorative environments.</w:t>
            </w:r>
          </w:p>
        </w:tc>
        <w:tc>
          <w:tcPr>
            <w:tcW w:w="2966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DA0B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240" w:lineRule="auto"/>
              <w:ind w:left="0" w:leftChars="0" w:firstLine="0" w:firstLineChars="0"/>
              <w:jc w:val="left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B78F50B">
        <w:trPr>
          <w:trHeight w:val="413" w:hRule="atLeast"/>
        </w:trPr>
        <w:tc>
          <w:tcPr>
            <w:tcW w:w="748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80F4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auto"/>
              <w:textAlignment w:val="auto"/>
              <w:rPr>
                <w:rFonts w:hint="default" w:eastAsia="微软雅黑"/>
                <w:b/>
                <w:bCs w:val="0"/>
                <w:sz w:val="24"/>
                <w:szCs w:val="24"/>
                <w:u w:val="single"/>
                <w:lang w:val="en-US" w:eastAsia="zh-CN"/>
              </w:rPr>
            </w:pPr>
            <w:r>
              <w:rPr>
                <w:b/>
                <w:bCs w:val="0"/>
                <w:sz w:val="24"/>
                <w:szCs w:val="24"/>
                <w:u w:val="single"/>
              </w:rPr>
              <w:t>Bachelor of Landscape Architecture</w:t>
            </w:r>
            <w:r>
              <w:rPr>
                <w:rFonts w:hint="eastAsia"/>
                <w:b/>
                <w:bCs w:val="0"/>
                <w:sz w:val="24"/>
                <w:szCs w:val="24"/>
                <w:u w:val="single"/>
                <w:lang w:val="en-US" w:eastAsia="zh-CN"/>
              </w:rPr>
              <w:t xml:space="preserve"> 2012</w:t>
            </w:r>
            <w:r>
              <w:rPr>
                <w:rFonts w:hint="default"/>
                <w:b/>
                <w:bCs w:val="0"/>
                <w:sz w:val="24"/>
                <w:szCs w:val="24"/>
                <w:u w:val="single"/>
                <w:lang w:val="en-US" w:eastAsia="zh-CN"/>
              </w:rPr>
              <w:t xml:space="preserve"> - </w:t>
            </w:r>
            <w:r>
              <w:rPr>
                <w:rFonts w:hint="eastAsia"/>
                <w:b/>
                <w:bCs w:val="0"/>
                <w:sz w:val="24"/>
                <w:szCs w:val="24"/>
                <w:u w:val="single"/>
                <w:lang w:val="en-US" w:eastAsia="zh-CN"/>
              </w:rPr>
              <w:t>2016</w:t>
            </w:r>
          </w:p>
          <w:p w14:paraId="2A426475">
            <w:pPr>
              <w:spacing w:after="80" w:line="259" w:lineRule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t>landscape design, environmental perception and the relationship between people and physical environments.</w:t>
            </w:r>
          </w:p>
        </w:tc>
        <w:tc>
          <w:tcPr>
            <w:tcW w:w="2966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01E18B">
            <w:pPr>
              <w:pStyle w:val="16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60"/>
              <w:jc w:val="left"/>
              <w:textAlignment w:val="auto"/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</w:tr>
      <w:tr w14:paraId="2C15E2DB">
        <w:trPr>
          <w:trHeight w:val="394" w:hRule="atLeast"/>
        </w:trPr>
        <w:tc>
          <w:tcPr>
            <w:tcW w:w="7480" w:type="dxa"/>
            <w:gridSpan w:val="2"/>
            <w:tcBorders>
              <w:bottom w:val="nil"/>
              <w:tl2br w:val="nil"/>
              <w:tr2bl w:val="nil"/>
            </w:tcBorders>
            <w:shd w:val="clear" w:color="auto" w:fill="auto"/>
            <w:vAlign w:val="center"/>
          </w:tcPr>
          <w:p w14:paraId="5F26FED8">
            <w:pPr>
              <w:spacing w:after="80" w:line="259" w:lineRule="auto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t>landscape design, environmental perception and the relationship between people and physical environments.</w:t>
            </w:r>
          </w:p>
        </w:tc>
        <w:tc>
          <w:tcPr>
            <w:tcW w:w="2966" w:type="dxa"/>
            <w:vMerge w:val="continue"/>
            <w:tcBorders>
              <w:bottom w:val="nil"/>
              <w:tl2br w:val="nil"/>
              <w:tr2bl w:val="nil"/>
            </w:tcBorders>
            <w:shd w:val="clear" w:color="auto" w:fill="auto"/>
            <w:vAlign w:val="center"/>
          </w:tcPr>
          <w:p w14:paraId="1851093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360" w:lineRule="auto"/>
              <w:ind w:left="0" w:leftChars="0" w:firstLine="0" w:firstLine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7C12EBB2">
      <w:pPr>
        <w:spacing w:after="80" w:line="259" w:lineRule="auto"/>
        <w:rPr>
          <w:rFonts w:hint="eastAsia"/>
          <w:sz w:val="18"/>
          <w:szCs w:val="18"/>
          <w:lang w:eastAsia="zh-CN"/>
        </w:rPr>
      </w:pPr>
    </w:p>
    <w:sectPr>
      <w:headerReference r:id="rId6" w:type="default"/>
      <w:footerReference r:id="rId7" w:type="default"/>
      <w:type w:val="continuous"/>
      <w:pgSz w:w="12240" w:h="15840"/>
      <w:pgMar w:top="964" w:right="1077" w:bottom="964" w:left="107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Helvetica Bold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7A341">
    <w:pPr>
      <w:pStyle w:val="24"/>
      <w:jc w:val="right"/>
      <w:rPr>
        <w:rFonts w:hint="default"/>
        <w:lang w:val="en-US"/>
      </w:rPr>
    </w:pPr>
    <w:r>
      <w:rPr>
        <w:sz w:val="15"/>
      </w:rPr>
      <w:t>JiaXin Xin</w:t>
    </w:r>
    <w:r>
      <w:rPr>
        <w:rFonts w:hint="eastAsia"/>
        <w:sz w:val="15"/>
        <w:lang w:val="en-US" w:eastAsia="zh-CN"/>
      </w:rPr>
      <w:t xml:space="preserve"> Resume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47EE7">
    <w:pPr>
      <w:pStyle w:val="24"/>
      <w:wordWrap w:val="0"/>
      <w:jc w:val="right"/>
    </w:pPr>
    <w:r>
      <w:rPr>
        <w:rFonts w:hint="eastAsia"/>
        <w:sz w:val="15"/>
        <w:lang w:val="en-US" w:eastAsia="zh-CN"/>
      </w:rPr>
      <w:t>Employment Certification&amp;Termination of Employment Contract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6BF70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AA8C9"/>
    <w:multiLevelType w:val="singleLevel"/>
    <w:tmpl w:val="9D7AA8C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CF7BD94"/>
    <w:multiLevelType w:val="singleLevel"/>
    <w:tmpl w:val="ECF7BD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7E20037F"/>
    <w:multiLevelType w:val="singleLevel"/>
    <w:tmpl w:val="7E20037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7ED096"/>
    <w:rsid w:val="68C8D7D7"/>
    <w:rsid w:val="AFD4D438"/>
    <w:rsid w:val="AFFEB0D5"/>
    <w:rsid w:val="BEEDFB90"/>
    <w:rsid w:val="C36DCEE7"/>
    <w:rsid w:val="D7D704CF"/>
    <w:rsid w:val="DCF277CF"/>
    <w:rsid w:val="EBB9EE01"/>
    <w:rsid w:val="EFFBB568"/>
    <w:rsid w:val="FD7E2B44"/>
    <w:rsid w:val="FFEF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7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儷宋 Pro" w:hAnsi="儷宋 Pro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styleId="136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8">
    <w:name w:val="Header Char"/>
    <w:basedOn w:val="132"/>
    <w:link w:val="25"/>
    <w:uiPriority w:val="99"/>
  </w:style>
  <w:style w:type="character" w:customStyle="1" w:styleId="139">
    <w:name w:val="Footer Char"/>
    <w:basedOn w:val="132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儷宋 Pro" w:hAnsi="儷宋 Pro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247</Words>
  <Characters>1848</Characters>
  <Lines>0</Lines>
  <Paragraphs>0</Paragraphs>
  <TotalTime>14</TotalTime>
  <ScaleCrop>false</ScaleCrop>
  <LinksUpToDate>false</LinksUpToDate>
  <CharactersWithSpaces>2100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山楂斯特洛夫斯基</cp:lastModifiedBy>
  <dcterms:modified xsi:type="dcterms:W3CDTF">2026-08-28T14:47:05Z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D2C0AF3C50F3DB0348418D6A9D250430_42</vt:lpwstr>
  </property>
</Properties>
</file>