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46FC3">
      <w:pPr>
        <w:keepNext w:val="0"/>
        <w:keepLines w:val="0"/>
        <w:widowControl/>
        <w:suppressLineNumbers w:val="0"/>
        <w:jc w:val="left"/>
        <w:rPr>
          <w:rFonts w:ascii="Helvetica" w:hAnsi="Helvetica" w:eastAsia="Helvetica" w:cs="Helvetica"/>
          <w:i w:val="0"/>
          <w:iCs w:val="0"/>
          <w:caps w:val="0"/>
          <w:color w:val="242B34"/>
          <w:spacing w:val="0"/>
          <w:kern w:val="0"/>
          <w:sz w:val="24"/>
          <w:szCs w:val="24"/>
          <w:shd w:val="clear" w:fill="FFFFFF"/>
          <w:lang w:val="en-US" w:eastAsia="zh-CN" w:bidi="ar"/>
        </w:rPr>
      </w:pPr>
      <w:r>
        <w:rPr>
          <w:rFonts w:hint="eastAsia"/>
          <w:lang w:val="en-US" w:eastAsia="zh-CN"/>
        </w:rPr>
        <w:t xml:space="preserve"> </w:t>
      </w:r>
      <w:r>
        <w:rPr>
          <w:rFonts w:ascii="Helvetica" w:hAnsi="Helvetica" w:eastAsia="Helvetica" w:cs="Helvetica"/>
          <w:i w:val="0"/>
          <w:iCs w:val="0"/>
          <w:caps w:val="0"/>
          <w:color w:val="242B34"/>
          <w:spacing w:val="0"/>
          <w:kern w:val="0"/>
          <w:sz w:val="24"/>
          <w:szCs w:val="24"/>
          <w:shd w:val="clear" w:fill="FFFFFF"/>
          <w:lang w:val="en-US" w:eastAsia="zh-CN" w:bidi="ar"/>
        </w:rPr>
        <w:t>Risk-Based Client Tiering &amp; Fee Compliance</w:t>
      </w:r>
    </w:p>
    <w:p w14:paraId="0C2D1870">
      <w:pPr>
        <w:keepNext w:val="0"/>
        <w:keepLines w:val="0"/>
        <w:widowControl/>
        <w:suppressLineNumbers w:val="0"/>
        <w:jc w:val="left"/>
        <w:rPr>
          <w:rFonts w:ascii="Helvetica" w:hAnsi="Helvetica" w:eastAsia="Helvetica" w:cs="Helvetica"/>
          <w:i w:val="0"/>
          <w:iCs w:val="0"/>
          <w:caps w:val="0"/>
          <w:color w:val="242B34"/>
          <w:spacing w:val="0"/>
          <w:kern w:val="0"/>
          <w:sz w:val="24"/>
          <w:szCs w:val="24"/>
          <w:shd w:val="clear" w:fill="FFFFFF"/>
          <w:lang w:val="en-US" w:eastAsia="zh-CN" w:bidi="ar"/>
        </w:rPr>
      </w:pPr>
    </w:p>
    <w:p w14:paraId="69584308">
      <w:pPr>
        <w:keepNext w:val="0"/>
        <w:keepLines w:val="0"/>
        <w:widowControl/>
        <w:suppressLineNumbers w:val="0"/>
        <w:jc w:val="left"/>
        <w:rPr>
          <w:rFonts w:hint="eastAsia" w:ascii="Helvetica" w:hAnsi="Helvetica" w:eastAsia="Helvetica" w:cs="Helvetica"/>
          <w:i w:val="0"/>
          <w:iCs w:val="0"/>
          <w:caps w:val="0"/>
          <w:color w:val="242B34"/>
          <w:spacing w:val="0"/>
          <w:kern w:val="0"/>
          <w:sz w:val="24"/>
          <w:szCs w:val="24"/>
          <w:shd w:val="clear" w:fill="FFFFFF"/>
          <w:lang w:val="en-US" w:eastAsia="zh-CN" w:bidi="ar"/>
        </w:rPr>
      </w:pPr>
      <w:r>
        <w:rPr>
          <w:rFonts w:hint="eastAsia" w:ascii="Helvetica" w:hAnsi="Helvetica" w:eastAsia="Helvetica" w:cs="Helvetica"/>
          <w:i w:val="0"/>
          <w:iCs w:val="0"/>
          <w:caps w:val="0"/>
          <w:color w:val="242B34"/>
          <w:spacing w:val="0"/>
          <w:kern w:val="0"/>
          <w:sz w:val="24"/>
          <w:szCs w:val="24"/>
          <w:shd w:val="clear" w:fill="FFFFFF"/>
          <w:lang w:val="en-US" w:eastAsia="zh-CN" w:bidi="ar"/>
        </w:rPr>
        <w:t>背景：对于信贷客户的行业、年收入、（查询官方规范性内容补充）等信息在银行内部的中/小/微/大企业客户划型系统的动态评估优化与数据整改</w:t>
      </w:r>
    </w:p>
    <w:p w14:paraId="5812FEFF">
      <w:pPr>
        <w:keepNext w:val="0"/>
        <w:keepLines w:val="0"/>
        <w:widowControl/>
        <w:suppressLineNumbers w:val="0"/>
        <w:jc w:val="left"/>
        <w:rPr>
          <w:rFonts w:hint="eastAsia" w:ascii="Helvetica" w:hAnsi="Helvetica" w:eastAsia="Helvetica" w:cs="Helvetica"/>
          <w:i w:val="0"/>
          <w:iCs w:val="0"/>
          <w:caps w:val="0"/>
          <w:color w:val="242B34"/>
          <w:spacing w:val="0"/>
          <w:kern w:val="0"/>
          <w:sz w:val="24"/>
          <w:szCs w:val="24"/>
          <w:shd w:val="clear" w:fill="FFFFFF"/>
          <w:lang w:val="en-US" w:eastAsia="zh-CN" w:bidi="ar"/>
        </w:rPr>
      </w:pPr>
      <w:r>
        <w:rPr>
          <w:rFonts w:hint="eastAsia" w:ascii="Helvetica" w:hAnsi="Helvetica" w:eastAsia="Helvetica" w:cs="Helvetica"/>
          <w:i w:val="0"/>
          <w:iCs w:val="0"/>
          <w:caps w:val="0"/>
          <w:color w:val="242B34"/>
          <w:spacing w:val="0"/>
          <w:kern w:val="0"/>
          <w:sz w:val="24"/>
          <w:szCs w:val="24"/>
          <w:shd w:val="clear" w:fill="FFFFFF"/>
          <w:lang w:val="en-US" w:eastAsia="zh-CN" w:bidi="ar"/>
        </w:rPr>
        <w:t>根据五部委关于对小微企业进行业务手续费减免政策（</w:t>
      </w:r>
      <w:r>
        <w:rPr>
          <w:rFonts w:hint="eastAsia" w:ascii="Helvetica" w:hAnsi="Helvetica" w:eastAsia="Helvetica" w:cs="Helvetica"/>
          <w:i w:val="0"/>
          <w:iCs w:val="0"/>
          <w:caps w:val="0"/>
          <w:color w:val="242B34"/>
          <w:spacing w:val="0"/>
          <w:kern w:val="0"/>
          <w:sz w:val="24"/>
          <w:szCs w:val="24"/>
          <w:shd w:val="clear" w:fill="FFFFFF"/>
          <w:lang w:val="en-US" w:eastAsia="zh-CN" w:bidi="ar"/>
        </w:rPr>
        <w:t>查询官方规范性内容补充</w:t>
      </w:r>
      <w:r>
        <w:rPr>
          <w:rFonts w:hint="eastAsia" w:ascii="Helvetica" w:hAnsi="Helvetica" w:eastAsia="Helvetica" w:cs="Helvetica"/>
          <w:i w:val="0"/>
          <w:iCs w:val="0"/>
          <w:caps w:val="0"/>
          <w:color w:val="242B34"/>
          <w:spacing w:val="0"/>
          <w:kern w:val="0"/>
          <w:sz w:val="24"/>
          <w:szCs w:val="24"/>
          <w:shd w:val="clear" w:fill="FFFFFF"/>
          <w:lang w:val="en-US" w:eastAsia="zh-CN" w:bidi="ar"/>
        </w:rPr>
        <w:t>）对存量客户在历史业务收费节点的评级对错进行回检</w:t>
      </w:r>
    </w:p>
    <w:p w14:paraId="06DF77EE">
      <w:pPr>
        <w:keepNext w:val="0"/>
        <w:keepLines w:val="0"/>
        <w:widowControl/>
        <w:suppressLineNumbers w:val="0"/>
        <w:jc w:val="left"/>
        <w:rPr>
          <w:rFonts w:hint="eastAsia" w:ascii="Helvetica" w:hAnsi="Helvetica" w:eastAsia="Helvetica" w:cs="Helvetica"/>
          <w:i w:val="0"/>
          <w:iCs w:val="0"/>
          <w:caps w:val="0"/>
          <w:color w:val="242B34"/>
          <w:spacing w:val="0"/>
          <w:kern w:val="0"/>
          <w:sz w:val="24"/>
          <w:szCs w:val="24"/>
          <w:shd w:val="clear" w:fill="FFFFFF"/>
          <w:lang w:val="en-US" w:eastAsia="zh-CN" w:bidi="ar"/>
        </w:rPr>
      </w:pPr>
      <w:r>
        <w:rPr>
          <w:rFonts w:hint="eastAsia" w:ascii="Helvetica" w:hAnsi="Helvetica" w:eastAsia="Helvetica" w:cs="Helvetica"/>
          <w:i w:val="0"/>
          <w:iCs w:val="0"/>
          <w:caps w:val="0"/>
          <w:color w:val="242B34"/>
          <w:spacing w:val="0"/>
          <w:kern w:val="0"/>
          <w:sz w:val="24"/>
          <w:szCs w:val="24"/>
          <w:shd w:val="clear" w:fill="FFFFFF"/>
          <w:lang w:val="en-US" w:eastAsia="zh-CN" w:bidi="ar"/>
        </w:rPr>
        <w:t>并对错误收费行为进行整改，退费返还。</w:t>
      </w:r>
    </w:p>
    <w:p w14:paraId="788D1EC9">
      <w:pPr>
        <w:keepNext w:val="0"/>
        <w:keepLines w:val="0"/>
        <w:widowControl/>
        <w:suppressLineNumbers w:val="0"/>
        <w:jc w:val="left"/>
        <w:rPr>
          <w:rFonts w:hint="default" w:ascii="Helvetica" w:hAnsi="Helvetica" w:eastAsia="Helvetica" w:cs="Helvetica"/>
          <w:i w:val="0"/>
          <w:iCs w:val="0"/>
          <w:caps w:val="0"/>
          <w:color w:val="242B34"/>
          <w:spacing w:val="0"/>
          <w:kern w:val="0"/>
          <w:sz w:val="24"/>
          <w:szCs w:val="24"/>
          <w:shd w:val="clear" w:fill="FFFFFF"/>
          <w:lang w:val="en-US" w:eastAsia="zh-CN" w:bidi="ar"/>
        </w:rPr>
      </w:pPr>
      <w:r>
        <w:rPr>
          <w:rFonts w:hint="eastAsia" w:ascii="Helvetica" w:hAnsi="Helvetica" w:eastAsia="Helvetica" w:cs="Helvetica"/>
          <w:i w:val="0"/>
          <w:iCs w:val="0"/>
          <w:caps w:val="0"/>
          <w:color w:val="242B34"/>
          <w:spacing w:val="0"/>
          <w:kern w:val="0"/>
          <w:sz w:val="24"/>
          <w:szCs w:val="24"/>
          <w:shd w:val="clear" w:fill="FFFFFF"/>
          <w:lang w:val="en-US" w:eastAsia="zh-CN" w:bidi="ar"/>
        </w:rPr>
        <w:t>退费流程：</w:t>
      </w:r>
    </w:p>
    <w:p w14:paraId="475F0115">
      <w:pPr>
        <w:keepNext w:val="0"/>
        <w:keepLines w:val="0"/>
        <w:widowControl/>
        <w:numPr>
          <w:ilvl w:val="0"/>
          <w:numId w:val="1"/>
        </w:numPr>
        <w:suppressLineNumbers w:val="0"/>
        <w:jc w:val="left"/>
        <w:rPr>
          <w:rFonts w:hint="eastAsia" w:ascii="Helvetica" w:hAnsi="Helvetica" w:eastAsia="Helvetica" w:cs="Helvetica"/>
          <w:i w:val="0"/>
          <w:iCs w:val="0"/>
          <w:caps w:val="0"/>
          <w:color w:val="242B34"/>
          <w:spacing w:val="0"/>
          <w:kern w:val="0"/>
          <w:sz w:val="24"/>
          <w:szCs w:val="24"/>
          <w:shd w:val="clear" w:fill="FFFFFF"/>
          <w:lang w:val="en-US" w:eastAsia="zh-CN" w:bidi="ar"/>
        </w:rPr>
      </w:pPr>
      <w:r>
        <w:rPr>
          <w:rFonts w:hint="eastAsia" w:ascii="Helvetica" w:hAnsi="Helvetica" w:eastAsia="Helvetica" w:cs="Helvetica"/>
          <w:i w:val="0"/>
          <w:iCs w:val="0"/>
          <w:caps w:val="0"/>
          <w:color w:val="242B34"/>
          <w:spacing w:val="0"/>
          <w:kern w:val="0"/>
          <w:sz w:val="24"/>
          <w:szCs w:val="24"/>
          <w:shd w:val="clear" w:fill="FFFFFF"/>
          <w:lang w:val="en-US" w:eastAsia="zh-CN" w:bidi="ar"/>
        </w:rPr>
        <w:t>梳理</w:t>
      </w:r>
      <w:r>
        <w:rPr>
          <w:rFonts w:hint="eastAsia" w:ascii="Helvetica" w:hAnsi="Helvetica" w:eastAsia="Helvetica" w:cs="Helvetica"/>
          <w:i w:val="0"/>
          <w:iCs w:val="0"/>
          <w:caps w:val="0"/>
          <w:color w:val="242B34"/>
          <w:spacing w:val="0"/>
          <w:kern w:val="0"/>
          <w:sz w:val="24"/>
          <w:szCs w:val="24"/>
          <w:shd w:val="clear" w:fill="FFFFFF"/>
          <w:lang w:val="en-US" w:eastAsia="zh-CN" w:bidi="ar"/>
        </w:rPr>
        <w:t>五部委关于对小微企业进行业务手续费减免政策发布时间后至今全部客户（含已销户客户）</w:t>
      </w:r>
    </w:p>
    <w:p w14:paraId="4BA8B22E">
      <w:pPr>
        <w:keepNext w:val="0"/>
        <w:keepLines w:val="0"/>
        <w:widowControl/>
        <w:numPr>
          <w:ilvl w:val="0"/>
          <w:numId w:val="1"/>
        </w:numPr>
        <w:suppressLineNumbers w:val="0"/>
        <w:jc w:val="left"/>
        <w:rPr>
          <w:rFonts w:hint="default" w:ascii="Helvetica" w:hAnsi="Helvetica" w:eastAsia="Helvetica" w:cs="Helvetica"/>
          <w:i w:val="0"/>
          <w:iCs w:val="0"/>
          <w:caps w:val="0"/>
          <w:color w:val="242B34"/>
          <w:spacing w:val="0"/>
          <w:kern w:val="0"/>
          <w:sz w:val="24"/>
          <w:szCs w:val="24"/>
          <w:shd w:val="clear" w:fill="FFFFFF"/>
          <w:lang w:val="en-US" w:eastAsia="zh-CN" w:bidi="ar"/>
        </w:rPr>
      </w:pPr>
      <w:r>
        <w:rPr>
          <w:rFonts w:hint="eastAsia" w:ascii="Helvetica" w:hAnsi="Helvetica" w:eastAsia="Helvetica" w:cs="Helvetica"/>
          <w:i w:val="0"/>
          <w:iCs w:val="0"/>
          <w:caps w:val="0"/>
          <w:color w:val="242B34"/>
          <w:spacing w:val="0"/>
          <w:kern w:val="0"/>
          <w:sz w:val="24"/>
          <w:szCs w:val="24"/>
          <w:shd w:val="clear" w:fill="FFFFFF"/>
          <w:lang w:val="en-US" w:eastAsia="zh-CN" w:bidi="ar"/>
        </w:rPr>
        <w:t>梳理全部非息中收交易中的手续费</w:t>
      </w:r>
    </w:p>
    <w:p w14:paraId="01FF4648">
      <w:pPr>
        <w:keepNext w:val="0"/>
        <w:keepLines w:val="0"/>
        <w:widowControl/>
        <w:numPr>
          <w:ilvl w:val="0"/>
          <w:numId w:val="1"/>
        </w:numPr>
        <w:suppressLineNumbers w:val="0"/>
        <w:jc w:val="left"/>
        <w:rPr>
          <w:rFonts w:hint="default" w:ascii="Helvetica" w:hAnsi="Helvetica" w:eastAsia="Helvetica" w:cs="Helvetica"/>
          <w:i w:val="0"/>
          <w:iCs w:val="0"/>
          <w:caps w:val="0"/>
          <w:color w:val="242B34"/>
          <w:spacing w:val="0"/>
          <w:kern w:val="0"/>
          <w:sz w:val="24"/>
          <w:szCs w:val="24"/>
          <w:shd w:val="clear" w:fill="FFFFFF"/>
          <w:lang w:val="en-US" w:eastAsia="zh-CN" w:bidi="ar"/>
        </w:rPr>
      </w:pPr>
      <w:r>
        <w:rPr>
          <w:rFonts w:hint="eastAsia" w:ascii="Helvetica" w:hAnsi="Helvetica" w:eastAsia="Helvetica" w:cs="Helvetica"/>
          <w:i w:val="0"/>
          <w:iCs w:val="0"/>
          <w:caps w:val="0"/>
          <w:color w:val="242B34"/>
          <w:spacing w:val="0"/>
          <w:kern w:val="0"/>
          <w:sz w:val="24"/>
          <w:szCs w:val="24"/>
          <w:shd w:val="clear" w:fill="FFFFFF"/>
          <w:lang w:val="en-US" w:eastAsia="zh-CN" w:bidi="ar"/>
        </w:rPr>
        <w:t>整理客户名单及时间节点以及缺失年报</w:t>
      </w:r>
    </w:p>
    <w:p w14:paraId="7F6BCECE">
      <w:pPr>
        <w:keepNext w:val="0"/>
        <w:keepLines w:val="0"/>
        <w:widowControl/>
        <w:numPr>
          <w:ilvl w:val="0"/>
          <w:numId w:val="1"/>
        </w:numPr>
        <w:suppressLineNumbers w:val="0"/>
        <w:jc w:val="left"/>
        <w:rPr>
          <w:rFonts w:hint="default" w:ascii="Helvetica" w:hAnsi="Helvetica" w:eastAsia="Helvetica" w:cs="Helvetica"/>
          <w:i w:val="0"/>
          <w:iCs w:val="0"/>
          <w:caps w:val="0"/>
          <w:color w:val="242B34"/>
          <w:spacing w:val="0"/>
          <w:kern w:val="0"/>
          <w:sz w:val="24"/>
          <w:szCs w:val="24"/>
          <w:shd w:val="clear" w:fill="FFFFFF"/>
          <w:lang w:val="en-US" w:eastAsia="zh-CN" w:bidi="ar"/>
        </w:rPr>
      </w:pPr>
      <w:r>
        <w:rPr>
          <w:rFonts w:hint="eastAsia" w:ascii="Helvetica" w:hAnsi="Helvetica" w:eastAsia="Helvetica" w:cs="Helvetica"/>
          <w:i w:val="0"/>
          <w:iCs w:val="0"/>
          <w:caps w:val="0"/>
          <w:color w:val="242B34"/>
          <w:spacing w:val="0"/>
          <w:kern w:val="0"/>
          <w:sz w:val="24"/>
          <w:szCs w:val="24"/>
          <w:shd w:val="clear" w:fill="FFFFFF"/>
          <w:lang w:val="en-US" w:eastAsia="zh-CN" w:bidi="ar"/>
        </w:rPr>
        <w:t>联络客户进行时间节点年报补全</w:t>
      </w:r>
    </w:p>
    <w:p w14:paraId="413595B8">
      <w:pPr>
        <w:keepNext w:val="0"/>
        <w:keepLines w:val="0"/>
        <w:widowControl/>
        <w:numPr>
          <w:ilvl w:val="0"/>
          <w:numId w:val="1"/>
        </w:numPr>
        <w:suppressLineNumbers w:val="0"/>
        <w:jc w:val="left"/>
        <w:rPr>
          <w:rFonts w:hint="default" w:ascii="Helvetica" w:hAnsi="Helvetica" w:eastAsia="Helvetica" w:cs="Helvetica"/>
          <w:i w:val="0"/>
          <w:iCs w:val="0"/>
          <w:caps w:val="0"/>
          <w:color w:val="242B34"/>
          <w:spacing w:val="0"/>
          <w:kern w:val="0"/>
          <w:sz w:val="24"/>
          <w:szCs w:val="24"/>
          <w:shd w:val="clear" w:fill="FFFFFF"/>
          <w:lang w:val="en-US" w:eastAsia="zh-CN" w:bidi="ar"/>
        </w:rPr>
      </w:pPr>
      <w:r>
        <w:rPr>
          <w:rFonts w:hint="eastAsia" w:ascii="Helvetica" w:hAnsi="Helvetica" w:eastAsia="Helvetica" w:cs="Helvetica"/>
          <w:i w:val="0"/>
          <w:iCs w:val="0"/>
          <w:caps w:val="0"/>
          <w:color w:val="242B34"/>
          <w:spacing w:val="0"/>
          <w:kern w:val="0"/>
          <w:sz w:val="24"/>
          <w:szCs w:val="24"/>
          <w:shd w:val="clear" w:fill="FFFFFF"/>
          <w:lang w:val="en-US" w:eastAsia="zh-CN" w:bidi="ar"/>
        </w:rPr>
        <w:t>开发模型，录入客户与重点信息，根据银保监划行评估规则，判断历史业务发生时点企业是否属于小微客户，如是则证明该笔收费为违规行为，如非小微客户，证明收费符合监管要求。</w:t>
      </w:r>
    </w:p>
    <w:p w14:paraId="4E1F8C1C">
      <w:pPr>
        <w:keepNext w:val="0"/>
        <w:keepLines w:val="0"/>
        <w:widowControl/>
        <w:numPr>
          <w:ilvl w:val="0"/>
          <w:numId w:val="1"/>
        </w:numPr>
        <w:suppressLineNumbers w:val="0"/>
        <w:jc w:val="left"/>
        <w:rPr>
          <w:rFonts w:hint="default" w:ascii="Helvetica" w:hAnsi="Helvetica" w:eastAsia="Helvetica" w:cs="Helvetica"/>
          <w:i w:val="0"/>
          <w:iCs w:val="0"/>
          <w:caps w:val="0"/>
          <w:color w:val="242B34"/>
          <w:spacing w:val="0"/>
          <w:kern w:val="0"/>
          <w:sz w:val="24"/>
          <w:szCs w:val="24"/>
          <w:shd w:val="clear" w:fill="FFFFFF"/>
          <w:lang w:val="en-US" w:eastAsia="zh-CN" w:bidi="ar"/>
        </w:rPr>
      </w:pPr>
      <w:r>
        <w:rPr>
          <w:rFonts w:hint="eastAsia" w:ascii="Helvetica" w:hAnsi="Helvetica" w:eastAsia="Helvetica" w:cs="Helvetica"/>
          <w:i w:val="0"/>
          <w:iCs w:val="0"/>
          <w:caps w:val="0"/>
          <w:color w:val="242B34"/>
          <w:spacing w:val="0"/>
          <w:kern w:val="0"/>
          <w:sz w:val="24"/>
          <w:szCs w:val="24"/>
          <w:shd w:val="clear" w:fill="FFFFFF"/>
          <w:lang w:val="en-US" w:eastAsia="zh-CN" w:bidi="ar"/>
        </w:rPr>
        <w:t>形成退费清单，经行内审批后，对于存量未销户客户进行原账户退费，对于存量已销户客户，取得客户认可的账户清单进行退费，存档客户签字的退费告知书。</w:t>
      </w:r>
    </w:p>
    <w:p w14:paraId="26005269">
      <w:pPr>
        <w:keepNext w:val="0"/>
        <w:keepLines w:val="0"/>
        <w:widowControl/>
        <w:numPr>
          <w:numId w:val="0"/>
        </w:numPr>
        <w:suppressLineNumbers w:val="0"/>
        <w:jc w:val="left"/>
        <w:rPr>
          <w:rFonts w:hint="default" w:ascii="Helvetica" w:hAnsi="Helvetica" w:eastAsia="Helvetica" w:cs="Helvetica"/>
          <w:i w:val="0"/>
          <w:iCs w:val="0"/>
          <w:caps w:val="0"/>
          <w:color w:val="242B34"/>
          <w:spacing w:val="0"/>
          <w:kern w:val="0"/>
          <w:sz w:val="24"/>
          <w:szCs w:val="24"/>
          <w:shd w:val="clear" w:fill="FFFFFF"/>
          <w:lang w:val="en-US" w:eastAsia="zh-CN" w:bidi="ar"/>
        </w:rPr>
      </w:pPr>
    </w:p>
    <w:p w14:paraId="25DA8DCB">
      <w:pPr>
        <w:keepNext w:val="0"/>
        <w:keepLines w:val="0"/>
        <w:widowControl/>
        <w:numPr>
          <w:numId w:val="0"/>
        </w:numPr>
        <w:suppressLineNumbers w:val="0"/>
        <w:jc w:val="left"/>
        <w:rPr>
          <w:rFonts w:hint="eastAsia" w:ascii="Helvetica" w:hAnsi="Helvetica" w:eastAsia="Helvetica" w:cs="Helvetica"/>
          <w:i w:val="0"/>
          <w:iCs w:val="0"/>
          <w:caps w:val="0"/>
          <w:color w:val="242B34"/>
          <w:spacing w:val="0"/>
          <w:kern w:val="0"/>
          <w:sz w:val="24"/>
          <w:szCs w:val="24"/>
          <w:shd w:val="clear" w:fill="FFFFFF"/>
          <w:lang w:val="en-US" w:eastAsia="zh-CN" w:bidi="ar"/>
        </w:rPr>
      </w:pPr>
      <w:r>
        <w:rPr>
          <w:rFonts w:hint="eastAsia" w:ascii="Helvetica" w:hAnsi="Helvetica" w:eastAsia="Helvetica" w:cs="Helvetica"/>
          <w:i w:val="0"/>
          <w:iCs w:val="0"/>
          <w:caps w:val="0"/>
          <w:color w:val="242B34"/>
          <w:spacing w:val="0"/>
          <w:kern w:val="0"/>
          <w:sz w:val="24"/>
          <w:szCs w:val="24"/>
          <w:shd w:val="clear" w:fill="FFFFFF"/>
          <w:lang w:val="en-US" w:eastAsia="zh-CN" w:bidi="ar"/>
        </w:rPr>
        <w:t>流程优化：</w:t>
      </w:r>
    </w:p>
    <w:p w14:paraId="52DCDF15">
      <w:pPr>
        <w:keepNext w:val="0"/>
        <w:keepLines w:val="0"/>
        <w:widowControl/>
        <w:numPr>
          <w:ilvl w:val="0"/>
          <w:numId w:val="2"/>
        </w:numPr>
        <w:suppressLineNumbers w:val="0"/>
        <w:jc w:val="left"/>
        <w:rPr>
          <w:rFonts w:hint="eastAsia" w:ascii="Helvetica" w:hAnsi="Helvetica" w:eastAsia="Helvetica" w:cs="Helvetica"/>
          <w:i w:val="0"/>
          <w:iCs w:val="0"/>
          <w:caps w:val="0"/>
          <w:color w:val="242B34"/>
          <w:spacing w:val="0"/>
          <w:kern w:val="0"/>
          <w:sz w:val="24"/>
          <w:szCs w:val="24"/>
          <w:shd w:val="clear" w:fill="FFFFFF"/>
          <w:lang w:val="en-US" w:eastAsia="zh-CN" w:bidi="ar"/>
        </w:rPr>
      </w:pPr>
      <w:r>
        <w:rPr>
          <w:rFonts w:hint="eastAsia" w:ascii="Helvetica" w:hAnsi="Helvetica" w:eastAsia="Helvetica" w:cs="Helvetica"/>
          <w:i w:val="0"/>
          <w:iCs w:val="0"/>
          <w:caps w:val="0"/>
          <w:color w:val="242B34"/>
          <w:spacing w:val="0"/>
          <w:kern w:val="0"/>
          <w:sz w:val="24"/>
          <w:szCs w:val="24"/>
          <w:shd w:val="clear" w:fill="FFFFFF"/>
          <w:lang w:val="en-US" w:eastAsia="zh-CN" w:bidi="ar"/>
        </w:rPr>
        <w:t>保证客户划型信息的动态更新有效。在年报/半年报发布后，限时要求授信客户的银行端信息同步更新。</w:t>
      </w:r>
    </w:p>
    <w:p w14:paraId="30D36470">
      <w:pPr>
        <w:keepNext w:val="0"/>
        <w:keepLines w:val="0"/>
        <w:widowControl/>
        <w:numPr>
          <w:ilvl w:val="0"/>
          <w:numId w:val="2"/>
        </w:numPr>
        <w:suppressLineNumbers w:val="0"/>
        <w:jc w:val="left"/>
        <w:rPr>
          <w:rFonts w:hint="eastAsia" w:ascii="Helvetica" w:hAnsi="Helvetica" w:eastAsia="Helvetica" w:cs="Helvetica"/>
          <w:i w:val="0"/>
          <w:iCs w:val="0"/>
          <w:caps w:val="0"/>
          <w:color w:val="242B34"/>
          <w:spacing w:val="0"/>
          <w:kern w:val="0"/>
          <w:sz w:val="24"/>
          <w:szCs w:val="24"/>
          <w:shd w:val="clear" w:fill="FFFFFF"/>
          <w:lang w:val="en-US" w:eastAsia="zh-CN" w:bidi="ar"/>
        </w:rPr>
      </w:pPr>
      <w:r>
        <w:rPr>
          <w:rFonts w:hint="eastAsia" w:ascii="Helvetica" w:hAnsi="Helvetica" w:eastAsia="Helvetica" w:cs="Helvetica"/>
          <w:i w:val="0"/>
          <w:iCs w:val="0"/>
          <w:caps w:val="0"/>
          <w:color w:val="242B34"/>
          <w:spacing w:val="0"/>
          <w:kern w:val="0"/>
          <w:sz w:val="24"/>
          <w:szCs w:val="24"/>
          <w:shd w:val="clear" w:fill="FFFFFF"/>
          <w:lang w:val="en-US" w:eastAsia="zh-CN" w:bidi="ar"/>
        </w:rPr>
        <w:t>因低风险业务收费环节，不触发信贷系统客户划型确认，与技术人员进行业务平台打通与数据确认优化方案，完善现有业务系统的收费判断</w:t>
      </w:r>
    </w:p>
    <w:p w14:paraId="4B9110D8">
      <w:pPr>
        <w:keepNext w:val="0"/>
        <w:keepLines w:val="0"/>
        <w:widowControl/>
        <w:suppressLineNumbers w:val="0"/>
        <w:jc w:val="left"/>
        <w:rPr>
          <w:rFonts w:hint="default" w:ascii="Helvetica" w:hAnsi="Helvetica" w:eastAsia="Helvetica" w:cs="Helvetica"/>
          <w:i w:val="0"/>
          <w:iCs w:val="0"/>
          <w:caps w:val="0"/>
          <w:color w:val="242B34"/>
          <w:spacing w:val="0"/>
          <w:kern w:val="0"/>
          <w:sz w:val="24"/>
          <w:szCs w:val="24"/>
          <w:shd w:val="clear" w:fill="FFFFFF"/>
          <w:lang w:val="en-US" w:eastAsia="zh-CN" w:bidi="ar"/>
        </w:rPr>
      </w:pPr>
    </w:p>
    <w:p w14:paraId="6B223FEC">
      <w:pPr>
        <w:keepNext w:val="0"/>
        <w:keepLines w:val="0"/>
        <w:widowControl/>
        <w:numPr>
          <w:ilvl w:val="0"/>
          <w:numId w:val="1"/>
        </w:numPr>
        <w:suppressLineNumbers w:val="0"/>
        <w:jc w:val="left"/>
        <w:rPr>
          <w:rFonts w:hint="default" w:ascii="Helvetica" w:hAnsi="Helvetica" w:eastAsia="Helvetica" w:cs="Helvetica"/>
          <w:i w:val="0"/>
          <w:iCs w:val="0"/>
          <w:caps w:val="0"/>
          <w:color w:val="242B34"/>
          <w:spacing w:val="0"/>
          <w:kern w:val="0"/>
          <w:sz w:val="24"/>
          <w:szCs w:val="24"/>
          <w:shd w:val="clear" w:fill="FFFFFF"/>
          <w:lang w:val="en-US" w:eastAsia="zh-CN" w:bidi="ar"/>
        </w:rPr>
      </w:pPr>
      <w:r>
        <w:rPr>
          <w:rFonts w:hint="eastAsia" w:ascii="Helvetica" w:hAnsi="Helvetica" w:eastAsia="Helvetica" w:cs="Helvetica"/>
          <w:i w:val="0"/>
          <w:iCs w:val="0"/>
          <w:caps w:val="0"/>
          <w:color w:val="242B34"/>
          <w:spacing w:val="0"/>
          <w:kern w:val="0"/>
          <w:sz w:val="24"/>
          <w:szCs w:val="24"/>
          <w:shd w:val="clear" w:fill="FFFFFF"/>
          <w:lang w:val="en-US" w:eastAsia="zh-CN" w:bidi="ar"/>
        </w:rPr>
        <w:t>结果：持续对分行内2K左右的信贷客户进行动态信息管理；根据</w:t>
      </w:r>
      <w:r>
        <w:rPr>
          <w:rFonts w:hint="eastAsia" w:ascii="Helvetica" w:hAnsi="Helvetica" w:eastAsia="Helvetica" w:cs="Helvetica"/>
          <w:i w:val="0"/>
          <w:iCs w:val="0"/>
          <w:caps w:val="0"/>
          <w:color w:val="242B34"/>
          <w:spacing w:val="0"/>
          <w:kern w:val="0"/>
          <w:sz w:val="24"/>
          <w:szCs w:val="24"/>
          <w:shd w:val="clear" w:fill="FFFFFF"/>
          <w:lang w:val="en-US" w:eastAsia="zh-CN" w:bidi="ar"/>
        </w:rPr>
        <w:t>客户签字的退费告知书收集情况分批次完成170笔左右历史违规收费退费。</w:t>
      </w:r>
    </w:p>
    <w:p w14:paraId="577CAF11">
      <w:pPr>
        <w:keepNext w:val="0"/>
        <w:keepLines w:val="0"/>
        <w:widowControl/>
        <w:suppressLineNumbers w:val="0"/>
        <w:jc w:val="left"/>
        <w:rPr>
          <w:rFonts w:hint="default" w:ascii="Helvetica" w:hAnsi="Helvetica" w:eastAsia="Helvetica" w:cs="Helvetica"/>
          <w:i w:val="0"/>
          <w:iCs w:val="0"/>
          <w:caps w:val="0"/>
          <w:color w:val="242B34"/>
          <w:spacing w:val="0"/>
          <w:kern w:val="0"/>
          <w:sz w:val="24"/>
          <w:szCs w:val="24"/>
          <w:shd w:val="clear" w:fill="FFFFFF"/>
          <w:lang w:val="en-US" w:eastAsia="zh-CN" w:bidi="ar"/>
        </w:rPr>
      </w:pPr>
    </w:p>
    <w:p w14:paraId="444482AA">
      <w:pPr>
        <w:keepNext w:val="0"/>
        <w:keepLines w:val="0"/>
        <w:widowControl/>
        <w:suppressLineNumbers w:val="0"/>
        <w:jc w:val="left"/>
        <w:rPr>
          <w:rFonts w:hint="eastAsia"/>
          <w:b w:val="0"/>
          <w:bCs/>
          <w:sz w:val="18"/>
          <w:szCs w:val="18"/>
          <w:lang w:val="en-US" w:eastAsia="zh-CN"/>
        </w:rPr>
      </w:pPr>
      <w:r>
        <w:rPr>
          <w:rFonts w:hint="eastAsia"/>
          <w:b w:val="0"/>
          <w:bCs/>
          <w:sz w:val="18"/>
          <w:szCs w:val="18"/>
          <w:lang w:val="en-US" w:eastAsia="zh-CN"/>
        </w:rPr>
        <w:t xml:space="preserve">Group Exposure &amp; Credit Relationship Mapping </w:t>
      </w:r>
    </w:p>
    <w:p w14:paraId="53A07730">
      <w:pPr>
        <w:keepNext w:val="0"/>
        <w:keepLines w:val="0"/>
        <w:widowControl/>
        <w:suppressLineNumbers w:val="0"/>
        <w:jc w:val="left"/>
        <w:rPr>
          <w:rFonts w:hint="eastAsia" w:ascii="仿宋" w:hAnsi="仿宋" w:eastAsia="仿宋" w:cs="仿宋"/>
          <w:b w:val="0"/>
          <w:bCs/>
          <w:sz w:val="28"/>
          <w:szCs w:val="28"/>
          <w:lang w:val="en-US" w:eastAsia="zh-CN"/>
        </w:rPr>
      </w:pPr>
      <w:r>
        <w:rPr>
          <w:rFonts w:hint="eastAsia" w:ascii="仿宋" w:hAnsi="仿宋" w:eastAsia="仿宋" w:cs="仿宋"/>
          <w:b w:val="0"/>
          <w:bCs/>
          <w:sz w:val="28"/>
          <w:szCs w:val="28"/>
        </w:rPr>
        <w:t>随着房地产下行压力沿产业链向实体经济蔓延，多头授信集中度风险与不良生成压力上升。</w:t>
      </w:r>
      <w:r>
        <w:rPr>
          <w:rFonts w:hint="eastAsia" w:ascii="仿宋" w:hAnsi="仿宋" w:eastAsia="仿宋" w:cs="仿宋"/>
          <w:b w:val="0"/>
          <w:bCs/>
          <w:sz w:val="28"/>
          <w:szCs w:val="28"/>
          <w:lang w:val="en-US" w:eastAsia="zh-CN"/>
        </w:rPr>
        <w:t>因银行历史信息不完善未将存在实际控制人相同的企业进行统一授信管理，导致多个关联公司在集中风险暴露后多头授信发生不良。</w:t>
      </w:r>
    </w:p>
    <w:p w14:paraId="78049CEA">
      <w:pPr>
        <w:keepNext w:val="0"/>
        <w:keepLines w:val="0"/>
        <w:widowControl/>
        <w:suppressLineNumbers w:val="0"/>
        <w:jc w:val="left"/>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随着分行</w:t>
      </w:r>
      <w:r>
        <w:rPr>
          <w:rFonts w:hint="eastAsia" w:ascii="仿宋" w:hAnsi="仿宋" w:eastAsia="仿宋" w:cs="仿宋"/>
          <w:b w:val="0"/>
          <w:bCs/>
          <w:sz w:val="28"/>
          <w:szCs w:val="28"/>
        </w:rPr>
        <w:t>前期数据治理与</w:t>
      </w:r>
      <w:r>
        <w:rPr>
          <w:rFonts w:hint="eastAsia" w:ascii="仿宋" w:hAnsi="仿宋" w:eastAsia="仿宋" w:cs="仿宋"/>
          <w:b w:val="0"/>
          <w:bCs/>
          <w:sz w:val="28"/>
          <w:szCs w:val="28"/>
          <w:lang w:val="en-US" w:eastAsia="zh-CN"/>
        </w:rPr>
        <w:t>公司业务系统和零售个人客户业务系统</w:t>
      </w:r>
      <w:r>
        <w:rPr>
          <w:rFonts w:hint="eastAsia" w:ascii="仿宋" w:hAnsi="仿宋" w:eastAsia="仿宋" w:cs="仿宋"/>
          <w:b w:val="0"/>
          <w:bCs/>
          <w:sz w:val="28"/>
          <w:szCs w:val="28"/>
        </w:rPr>
        <w:t>信息整合</w:t>
      </w:r>
      <w:r>
        <w:rPr>
          <w:rFonts w:hint="eastAsia" w:ascii="仿宋" w:hAnsi="仿宋" w:eastAsia="仿宋" w:cs="仿宋"/>
          <w:b w:val="0"/>
          <w:bCs/>
          <w:sz w:val="28"/>
          <w:szCs w:val="28"/>
          <w:lang w:val="en-US" w:eastAsia="zh-CN"/>
        </w:rPr>
        <w:t>不断完善</w:t>
      </w:r>
    </w:p>
    <w:p w14:paraId="341A9D42">
      <w:pPr>
        <w:keepNext w:val="0"/>
        <w:keepLines w:val="0"/>
        <w:widowControl/>
        <w:suppressLineNumbers w:val="0"/>
        <w:jc w:val="left"/>
        <w:rPr>
          <w:rFonts w:hint="default"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设计：关联关系客户查询器，支持单一客户核查与批量核查</w:t>
      </w:r>
      <w:r>
        <w:rPr>
          <w:rFonts w:hint="eastAsia" w:ascii="仿宋" w:hAnsi="仿宋" w:eastAsia="仿宋" w:cs="仿宋"/>
          <w:b w:val="0"/>
          <w:bCs/>
          <w:sz w:val="28"/>
          <w:szCs w:val="28"/>
          <w:lang w:eastAsia="zh-CN"/>
        </w:rPr>
        <w:t>，</w:t>
      </w:r>
      <w:r>
        <w:rPr>
          <w:rFonts w:hint="eastAsia" w:ascii="仿宋" w:hAnsi="仿宋" w:eastAsia="仿宋" w:cs="仿宋"/>
          <w:b w:val="0"/>
          <w:bCs/>
          <w:sz w:val="28"/>
          <w:szCs w:val="28"/>
          <w:lang w:val="en-US" w:eastAsia="zh-CN"/>
        </w:rPr>
        <w:t>逻辑：用客户行内系统号作为唯一项，搜查：关键人相同关系（法人、支付联系人、网银管理员、股东、受益所有人），关键信息相同关系（地址、联系电话），控股与持股关系，</w:t>
      </w:r>
    </w:p>
    <w:p w14:paraId="266BEE1C">
      <w:pPr>
        <w:keepNext w:val="0"/>
        <w:keepLines w:val="0"/>
        <w:widowControl/>
        <w:suppressLineNumbers w:val="0"/>
        <w:jc w:val="left"/>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应用于：授信业务发起/授信额度建立/贷款发放/授信客户重大事项变更</w:t>
      </w:r>
    </w:p>
    <w:p w14:paraId="592A74F2">
      <w:pPr>
        <w:keepNext w:val="0"/>
        <w:keepLines w:val="0"/>
        <w:widowControl/>
        <w:suppressLineNumbers w:val="0"/>
        <w:jc w:val="left"/>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明确业务流程：因业务审核部门与集团管理分属不同业务部门，为对齐信息颗粒度，</w:t>
      </w:r>
    </w:p>
    <w:p w14:paraId="3CD00300">
      <w:pPr>
        <w:keepNext w:val="0"/>
        <w:keepLines w:val="0"/>
        <w:widowControl/>
        <w:numPr>
          <w:ilvl w:val="0"/>
          <w:numId w:val="3"/>
        </w:numPr>
        <w:suppressLineNumbers w:val="0"/>
        <w:jc w:val="left"/>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客户经理发起业务申请，同步进行关联关系客户查询，并对查询结果进行确认，对确认存在实质关联关系的客户主动完成集团家谱维护（建立、补充、删除）</w:t>
      </w:r>
    </w:p>
    <w:p w14:paraId="52FD1E62">
      <w:pPr>
        <w:keepNext w:val="0"/>
        <w:keepLines w:val="0"/>
        <w:widowControl/>
        <w:numPr>
          <w:ilvl w:val="0"/>
          <w:numId w:val="3"/>
        </w:numPr>
        <w:suppressLineNumbers w:val="0"/>
        <w:jc w:val="left"/>
        <w:rPr>
          <w:rFonts w:hint="default"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授信审批/风险管理/投融资业务管理部门在进行业务审批时，同步评估客户经理的确认结果。</w:t>
      </w:r>
    </w:p>
    <w:p w14:paraId="0F00C8D8">
      <w:pPr>
        <w:keepNext w:val="0"/>
        <w:keepLines w:val="0"/>
        <w:widowControl/>
        <w:numPr>
          <w:ilvl w:val="0"/>
          <w:numId w:val="4"/>
        </w:numPr>
        <w:suppressLineNumbers w:val="0"/>
        <w:jc w:val="left"/>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集团家谱管理部门定期对存量授信业务客户进行批量回检，确保在业务管理期内，客户家谱关系的准确完整。</w:t>
      </w:r>
    </w:p>
    <w:p w14:paraId="3F3EEF16">
      <w:pPr>
        <w:keepNext w:val="0"/>
        <w:keepLines w:val="0"/>
        <w:widowControl/>
        <w:numPr>
          <w:numId w:val="0"/>
        </w:numPr>
        <w:suppressLineNumbers w:val="0"/>
        <w:snapToGrid w:val="0"/>
        <w:spacing w:line="240" w:lineRule="auto"/>
        <w:jc w:val="left"/>
        <w:rPr>
          <w:rFonts w:hint="default" w:ascii="仿宋" w:hAnsi="仿宋" w:eastAsia="仿宋" w:cs="仿宋"/>
          <w:b w:val="0"/>
          <w:bCs/>
          <w:sz w:val="28"/>
          <w:szCs w:val="28"/>
          <w:lang w:val="en-US" w:eastAsia="zh-CN"/>
        </w:rPr>
      </w:pPr>
    </w:p>
    <w:p w14:paraId="31F28FE2">
      <w:pPr>
        <w:keepNext w:val="0"/>
        <w:keepLines w:val="0"/>
        <w:widowControl/>
        <w:numPr>
          <w:numId w:val="0"/>
        </w:numPr>
        <w:suppressLineNumbers w:val="0"/>
        <w:snapToGrid w:val="0"/>
        <w:spacing w:line="240" w:lineRule="auto"/>
        <w:jc w:val="left"/>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结果：</w:t>
      </w:r>
    </w:p>
    <w:p w14:paraId="573118D6">
      <w:pPr>
        <w:keepNext w:val="0"/>
        <w:keepLines w:val="0"/>
        <w:widowControl/>
        <w:numPr>
          <w:numId w:val="0"/>
        </w:numPr>
        <w:suppressLineNumbers w:val="0"/>
        <w:snapToGrid w:val="0"/>
        <w:spacing w:line="240" w:lineRule="auto"/>
        <w:jc w:val="left"/>
        <w:rPr>
          <w:rFonts w:hint="default"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1.完成分行内部2000+授信投融资客户中存在关联关系的400+客户的家谱更新。</w:t>
      </w:r>
    </w:p>
    <w:p w14:paraId="41F4E8E2">
      <w:pPr>
        <w:keepNext w:val="0"/>
        <w:keepLines w:val="0"/>
        <w:widowControl/>
        <w:numPr>
          <w:numId w:val="0"/>
        </w:numPr>
        <w:suppressLineNumbers w:val="0"/>
        <w:snapToGrid w:val="0"/>
        <w:spacing w:line="240" w:lineRule="auto"/>
        <w:jc w:val="left"/>
        <w:rPr>
          <w:rFonts w:hint="default"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2.作为集团管理扎口业务人员，通过优化授信业务审批流程，实现在业务审批流程外的及时有效管理，完善授信审批流程的集团管理缺失问题，</w:t>
      </w:r>
    </w:p>
    <w:p w14:paraId="61DD439F">
      <w:pPr>
        <w:keepNext w:val="0"/>
        <w:keepLines w:val="0"/>
        <w:widowControl/>
        <w:suppressLineNumbers w:val="0"/>
        <w:jc w:val="left"/>
        <w:rPr>
          <w:rFonts w:hint="default"/>
          <w:b w:val="0"/>
          <w:bCs/>
          <w:sz w:val="18"/>
          <w:szCs w:val="18"/>
          <w:vertAlign w:val="subscript"/>
          <w:lang w:val="en-US" w:eastAsia="zh-CN"/>
        </w:rPr>
      </w:pPr>
      <w:r>
        <w:rPr>
          <w:rFonts w:hint="eastAsia" w:ascii="仿宋" w:hAnsi="仿宋" w:eastAsia="仿宋" w:cs="仿宋"/>
          <w:b w:val="0"/>
          <w:bCs/>
          <w:sz w:val="28"/>
          <w:szCs w:val="28"/>
          <w:lang w:val="en-US" w:eastAsia="zh-CN"/>
        </w:rPr>
        <w:t>3.</w:t>
      </w:r>
      <w:r>
        <w:rPr>
          <w:rFonts w:hint="eastAsia" w:ascii="仿宋" w:hAnsi="仿宋" w:eastAsia="仿宋" w:cs="仿宋"/>
          <w:b w:val="0"/>
          <w:bCs/>
          <w:sz w:val="28"/>
          <w:szCs w:val="28"/>
        </w:rPr>
        <w:t>模型开发并落地后稳定运行约一年</w:t>
      </w:r>
      <w:r>
        <w:rPr>
          <w:rFonts w:hint="eastAsia" w:ascii="仿宋" w:hAnsi="仿宋" w:eastAsia="仿宋" w:cs="仿宋"/>
          <w:b w:val="0"/>
          <w:bCs/>
          <w:sz w:val="28"/>
          <w:szCs w:val="28"/>
          <w:lang w:val="en-US" w:eastAsia="zh-CN"/>
        </w:rPr>
        <w:t>后，</w:t>
      </w:r>
      <w:r>
        <w:rPr>
          <w:rFonts w:hint="eastAsia" w:ascii="仿宋" w:hAnsi="仿宋" w:eastAsia="仿宋" w:cs="仿宋"/>
          <w:b w:val="0"/>
          <w:bCs/>
          <w:sz w:val="28"/>
          <w:szCs w:val="28"/>
        </w:rPr>
        <w:t>总行相关团队借鉴并使用了大连分行开发的</w:t>
      </w:r>
      <w:r>
        <w:rPr>
          <w:rStyle w:val="5"/>
          <w:rFonts w:hint="eastAsia" w:ascii="仿宋" w:hAnsi="仿宋" w:eastAsia="仿宋" w:cs="仿宋"/>
          <w:b w:val="0"/>
          <w:bCs/>
          <w:sz w:val="28"/>
          <w:szCs w:val="28"/>
        </w:rPr>
        <w:t>关联关系客户筛选模型</w:t>
      </w:r>
      <w:r>
        <w:rPr>
          <w:rFonts w:hint="eastAsia" w:ascii="仿宋" w:hAnsi="仿宋" w:eastAsia="仿宋" w:cs="仿宋"/>
          <w:b w:val="0"/>
          <w:bCs/>
          <w:sz w:val="28"/>
          <w:szCs w:val="28"/>
        </w:rPr>
        <w:t>，</w:t>
      </w:r>
      <w:r>
        <w:rPr>
          <w:rStyle w:val="5"/>
          <w:rFonts w:hint="eastAsia" w:ascii="仿宋" w:hAnsi="仿宋" w:eastAsia="仿宋" w:cs="仿宋"/>
          <w:b w:val="0"/>
          <w:bCs/>
          <w:sz w:val="28"/>
          <w:szCs w:val="28"/>
        </w:rPr>
        <w:t>打破区域间</w:t>
      </w:r>
      <w:r>
        <w:rPr>
          <w:rStyle w:val="5"/>
          <w:rFonts w:hint="eastAsia" w:ascii="仿宋" w:hAnsi="仿宋" w:eastAsia="仿宋" w:cs="仿宋"/>
          <w:b w:val="0"/>
          <w:bCs/>
          <w:sz w:val="28"/>
          <w:szCs w:val="28"/>
          <w:lang w:val="en-US" w:eastAsia="zh-CN"/>
        </w:rPr>
        <w:t>敏感</w:t>
      </w:r>
      <w:r>
        <w:rPr>
          <w:rStyle w:val="5"/>
          <w:rFonts w:hint="eastAsia" w:ascii="仿宋" w:hAnsi="仿宋" w:eastAsia="仿宋" w:cs="仿宋"/>
          <w:b w:val="0"/>
          <w:bCs/>
          <w:sz w:val="28"/>
          <w:szCs w:val="28"/>
        </w:rPr>
        <w:t>信息壁垒</w:t>
      </w:r>
      <w:r>
        <w:rPr>
          <w:rStyle w:val="5"/>
          <w:rFonts w:hint="eastAsia" w:ascii="仿宋" w:hAnsi="仿宋" w:eastAsia="仿宋" w:cs="仿宋"/>
          <w:b w:val="0"/>
          <w:bCs/>
          <w:sz w:val="28"/>
          <w:szCs w:val="28"/>
          <w:lang w:eastAsia="zh-CN"/>
        </w:rPr>
        <w:t>，</w:t>
      </w:r>
      <w:r>
        <w:rPr>
          <w:rStyle w:val="5"/>
          <w:rFonts w:hint="eastAsia" w:ascii="仿宋" w:hAnsi="仿宋" w:eastAsia="仿宋" w:cs="仿宋"/>
          <w:b w:val="0"/>
          <w:bCs/>
          <w:sz w:val="28"/>
          <w:szCs w:val="28"/>
          <w:lang w:val="en-US" w:eastAsia="zh-CN"/>
        </w:rPr>
        <w:t>进一步</w:t>
      </w:r>
      <w:r>
        <w:rPr>
          <w:rFonts w:hint="eastAsia" w:ascii="仿宋" w:hAnsi="仿宋" w:eastAsia="仿宋" w:cs="仿宋"/>
          <w:b w:val="0"/>
          <w:bCs/>
          <w:sz w:val="28"/>
          <w:szCs w:val="28"/>
        </w:rPr>
        <w:t>推进</w:t>
      </w:r>
      <w:r>
        <w:rPr>
          <w:rStyle w:val="5"/>
          <w:rFonts w:hint="eastAsia" w:ascii="仿宋" w:hAnsi="仿宋" w:eastAsia="仿宋" w:cs="仿宋"/>
          <w:b w:val="0"/>
          <w:bCs/>
          <w:sz w:val="28"/>
          <w:szCs w:val="28"/>
        </w:rPr>
        <w:t>跨区</w:t>
      </w:r>
      <w:bookmarkStart w:id="0" w:name="_GoBack"/>
      <w:bookmarkEnd w:id="0"/>
      <w:r>
        <w:rPr>
          <w:rStyle w:val="5"/>
          <w:rFonts w:hint="eastAsia" w:ascii="仿宋" w:hAnsi="仿宋" w:eastAsia="仿宋" w:cs="仿宋"/>
          <w:b w:val="0"/>
          <w:bCs/>
          <w:sz w:val="28"/>
          <w:szCs w:val="28"/>
        </w:rPr>
        <w:t>域</w:t>
      </w:r>
      <w:r>
        <w:rPr>
          <w:rStyle w:val="5"/>
          <w:rFonts w:hint="eastAsia" w:ascii="仿宋" w:hAnsi="仿宋" w:eastAsia="仿宋" w:cs="仿宋"/>
          <w:b w:val="0"/>
          <w:bCs/>
          <w:sz w:val="28"/>
          <w:szCs w:val="28"/>
          <w:lang w:val="en-US" w:eastAsia="zh-CN"/>
        </w:rPr>
        <w:t>系统内</w:t>
      </w:r>
      <w:r>
        <w:rPr>
          <w:rStyle w:val="5"/>
          <w:rFonts w:hint="eastAsia" w:ascii="仿宋" w:hAnsi="仿宋" w:eastAsia="仿宋" w:cs="仿宋"/>
          <w:b w:val="0"/>
          <w:bCs/>
          <w:sz w:val="28"/>
          <w:szCs w:val="28"/>
        </w:rPr>
        <w:t>集团风险管理</w:t>
      </w:r>
      <w:r>
        <w:rPr>
          <w:rStyle w:val="5"/>
          <w:rFonts w:hint="eastAsia" w:ascii="仿宋" w:hAnsi="仿宋" w:eastAsia="仿宋" w:cs="仿宋"/>
          <w:b w:val="0"/>
          <w:bCs/>
          <w:sz w:val="28"/>
          <w:szCs w:val="28"/>
          <w:lang w:eastAsia="zh-CN"/>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7DE83"/>
    <w:multiLevelType w:val="singleLevel"/>
    <w:tmpl w:val="BEF7DE83"/>
    <w:lvl w:ilvl="0" w:tentative="0">
      <w:start w:val="1"/>
      <w:numFmt w:val="decimal"/>
      <w:lvlText w:val="%1."/>
      <w:lvlJc w:val="left"/>
      <w:pPr>
        <w:tabs>
          <w:tab w:val="left" w:pos="312"/>
        </w:tabs>
      </w:pPr>
    </w:lvl>
  </w:abstractNum>
  <w:abstractNum w:abstractNumId="1">
    <w:nsid w:val="FBF27966"/>
    <w:multiLevelType w:val="singleLevel"/>
    <w:tmpl w:val="FBF27966"/>
    <w:lvl w:ilvl="0" w:tentative="0">
      <w:start w:val="3"/>
      <w:numFmt w:val="decimal"/>
      <w:suff w:val="nothing"/>
      <w:lvlText w:val="%1，"/>
      <w:lvlJc w:val="left"/>
    </w:lvl>
  </w:abstractNum>
  <w:abstractNum w:abstractNumId="2">
    <w:nsid w:val="FEBE0F81"/>
    <w:multiLevelType w:val="singleLevel"/>
    <w:tmpl w:val="FEBE0F81"/>
    <w:lvl w:ilvl="0" w:tentative="0">
      <w:start w:val="1"/>
      <w:numFmt w:val="decimal"/>
      <w:lvlText w:val="%1."/>
      <w:lvlJc w:val="left"/>
      <w:pPr>
        <w:tabs>
          <w:tab w:val="left" w:pos="312"/>
        </w:tabs>
      </w:pPr>
    </w:lvl>
  </w:abstractNum>
  <w:abstractNum w:abstractNumId="3">
    <w:nsid w:val="7EEB83A6"/>
    <w:multiLevelType w:val="singleLevel"/>
    <w:tmpl w:val="7EEB83A6"/>
    <w:lvl w:ilvl="0" w:tentative="0">
      <w:start w:val="1"/>
      <w:numFmt w:val="decimal"/>
      <w:lvlText w:val="%1."/>
      <w:lvlJc w:val="left"/>
      <w:pPr>
        <w:tabs>
          <w:tab w:val="left" w:pos="312"/>
        </w:tabs>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FBDD97"/>
    <w:rsid w:val="4FFBDD97"/>
    <w:rsid w:val="77F3E7F0"/>
    <w:rsid w:val="77F92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240" w:lineRule="auto"/>
    </w:pPr>
    <w:rPr>
      <w:rFonts w:ascii="Arial" w:hAnsi="Arial" w:eastAsia="宋体" w:cs="Times New Roman"/>
      <w:sz w:val="22"/>
      <w:szCs w:val="22"/>
      <w:lang w:val="en-US" w:eastAsia="en-US" w:bidi="ar-SA"/>
    </w:rPr>
  </w:style>
  <w:style w:type="paragraph" w:styleId="2">
    <w:name w:val="heading 1"/>
    <w:basedOn w:val="1"/>
    <w:next w:val="1"/>
    <w:link w:val="6"/>
    <w:qFormat/>
    <w:uiPriority w:val="0"/>
    <w:pPr>
      <w:keepNext/>
      <w:keepLines/>
      <w:spacing w:before="480" w:after="0"/>
      <w:outlineLvl w:val="0"/>
    </w:pPr>
    <w:rPr>
      <w:rFonts w:ascii="Calibri" w:hAnsi="Calibri" w:eastAsia="ＭＳ ゴシック" w:cs="Times New Roman"/>
      <w:b/>
      <w:bCs/>
      <w:color w:val="366091"/>
      <w:sz w:val="28"/>
      <w:szCs w:val="28"/>
      <w:lang w:eastAsia="en-US"/>
    </w:rPr>
  </w:style>
  <w:style w:type="character" w:default="1" w:styleId="4">
    <w:name w:val="Default Paragraph Font"/>
    <w:unhideWhenUsed/>
    <w:uiPriority w:val="1"/>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customStyle="1" w:styleId="6">
    <w:name w:val="Heading 1 Char"/>
    <w:basedOn w:val="4"/>
    <w:link w:val="2"/>
    <w:uiPriority w:val="9"/>
    <w:rPr>
      <w:rFonts w:ascii="Calibri" w:hAnsi="Calibri" w:eastAsia="ＭＳ ゴシック" w:cs="Times New Roman"/>
      <w:b/>
      <w:bCs/>
      <w:color w:val="366091"/>
      <w:sz w:val="28"/>
      <w:szCs w:val="28"/>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912</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2026-08-30T16:27:00Z</dcterms:created>
  <dc:creator>山楂斯特洛夫斯基</dc:creator>
  <cp:lastModifiedBy>山楂斯特洛夫斯基</cp:lastModifiedBy>
  <dcterms:modified xsi:type="dcterms:W3CDTF">2026-08-31T19:46:55Z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89454F583577CEE770E9936A578A2248_41</vt:lpwstr>
  </property>
</Properties>
</file>