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Vulnerability Reproduction Report</w:t>
      </w:r>
    </w:p>
    <w:p>
      <w:r>
        <w:rPr>
          <w:b/>
        </w:rPr>
        <w:t>Author:</w:t>
      </w:r>
      <w:r>
        <w:t xml:space="preserve"> Weixing Liu</w:t>
      </w:r>
    </w:p>
    <w:p>
      <w:r>
        <w:rPr>
          <w:b/>
        </w:rPr>
        <w:t>Institution:</w:t>
      </w:r>
      <w:r>
        <w:t xml:space="preserve"> Zhengzhou Normal University</w:t>
      </w:r>
    </w:p>
    <w:p>
      <w:r>
        <w:rPr>
          <w:b/>
        </w:rPr>
        <w:t>Team:</w:t>
      </w:r>
      <w:r>
        <w:t xml:space="preserve"> Group 1</w:t>
      </w:r>
    </w:p>
    <w:p>
      <w:r>
        <w:rPr>
          <w:b/>
        </w:rPr>
        <w:t>Completed:</w:t>
      </w:r>
      <w:r>
        <w:t xml:space="preserve"> September 24, 2026</w:t>
      </w:r>
    </w:p>
    <w:p>
      <w:r>
        <w:rPr>
          <w:b/>
        </w:rPr>
        <w:t>Edition:</w:t>
      </w:r>
      <w:r>
        <w:t xml:space="preserve"> English public edition with sensitive information removed</w:t>
      </w:r>
    </w:p>
    <w:p>
      <w:r>
        <w:t>This report examines two vulnerabilities disclosed in 2025: the Next.js middleware authorization bypass, CVE-2025-29927, and the Apache Tomcat Partial PUT vulnerability, CVE-2025-24813. The Next.js issue was reproduced in a local demonstration environment. The Tomcat section documents the vulnerability mechanism and a proposed reproduction method; it does not claim a completed practical reproduction.</w:t>
      </w:r>
    </w:p>
    <w:p>
      <w:pPr>
        <w:pStyle w:val="Heading1"/>
      </w:pPr>
      <w:r>
        <w:t>1 Training Assignment</w:t>
      </w:r>
    </w:p>
    <w:p>
      <w:r>
        <w:t>The assignment, “Verification of Recent Vulnerabilities,” required researching vulnerabilities disclosed from 2025 onward, attempting to reproduce at least two, and preparing a complete reproduction report. I selected the two issues below. The first was tested locally and documented with screenshots in the original report. The second was analyzed from its prerequisites and exploitation mechanism.</w:t>
      </w:r>
    </w:p>
    <w:tbl>
      <w:tblPr>
        <w:tblW w:type="auto" w:w="0"/>
        <w:jc w:val="center"/>
        <w:tblLayout w:type="fixed"/>
        <w:tblLook w:firstColumn="1" w:firstRow="1" w:lastColumn="0" w:lastRow="0" w:noHBand="0" w:noVBand="1" w:val="04A0"/>
      </w:tblPr>
      <w:tblGrid>
        <w:gridCol w:w="585"/>
        <w:gridCol w:w="1657"/>
        <w:gridCol w:w="2437"/>
        <w:gridCol w:w="2047"/>
        <w:gridCol w:w="1267"/>
        <w:gridCol w:w="1755"/>
      </w:tblGrid>
      <w:tr>
        <w:trPr>
          <w:tblHeader/>
        </w:trPr>
        <w:tc>
          <w:tcPr>
            <w:tcW w:type="dxa" w:w="585"/>
            <w:vAlign w:val="center"/>
            <w:tcBorders>
              <w:top w:val="single" w:sz="4" w:color="D9D9D9"/>
              <w:left w:val="single" w:sz="4" w:color="D9D9D9"/>
              <w:bottom w:val="single" w:sz="4" w:color="D9D9D9"/>
              <w:right w:val="single" w:sz="4" w:color="D9D9D9"/>
            </w:tcBorders>
            <w:shd w:fill="E7EDF3"/>
          </w:tcPr>
          <w:p>
            <w:pPr>
              <w:spacing w:after="80" w:before="80"/>
            </w:pPr>
            <w:r>
              <w:rPr>
                <w:b/>
                <w:sz w:val="18"/>
              </w:rPr>
              <w:t>No.</w:t>
            </w:r>
          </w:p>
        </w:tc>
        <w:tc>
          <w:tcPr>
            <w:tcW w:type="dxa" w:w="1657"/>
            <w:vAlign w:val="center"/>
            <w:tcBorders>
              <w:top w:val="single" w:sz="4" w:color="D9D9D9"/>
              <w:left w:val="single" w:sz="4" w:color="D9D9D9"/>
              <w:bottom w:val="single" w:sz="4" w:color="D9D9D9"/>
              <w:right w:val="single" w:sz="4" w:color="D9D9D9"/>
            </w:tcBorders>
            <w:shd w:fill="E7EDF3"/>
          </w:tcPr>
          <w:p>
            <w:pPr>
              <w:spacing w:after="80" w:before="80"/>
            </w:pPr>
            <w:r>
              <w:rPr>
                <w:b/>
                <w:sz w:val="18"/>
              </w:rPr>
              <w:t>Identifier</w:t>
            </w:r>
          </w:p>
        </w:tc>
        <w:tc>
          <w:tcPr>
            <w:tcW w:type="dxa" w:w="2437"/>
            <w:vAlign w:val="center"/>
            <w:tcBorders>
              <w:top w:val="single" w:sz="4" w:color="D9D9D9"/>
              <w:left w:val="single" w:sz="4" w:color="D9D9D9"/>
              <w:bottom w:val="single" w:sz="4" w:color="D9D9D9"/>
              <w:right w:val="single" w:sz="4" w:color="D9D9D9"/>
            </w:tcBorders>
            <w:shd w:fill="E7EDF3"/>
          </w:tcPr>
          <w:p>
            <w:pPr>
              <w:spacing w:after="80" w:before="80"/>
            </w:pPr>
            <w:r>
              <w:rPr>
                <w:b/>
                <w:sz w:val="18"/>
              </w:rPr>
              <w:t>Vulnerability</w:t>
            </w:r>
          </w:p>
        </w:tc>
        <w:tc>
          <w:tcPr>
            <w:tcW w:type="dxa" w:w="2047"/>
            <w:vAlign w:val="center"/>
            <w:tcBorders>
              <w:top w:val="single" w:sz="4" w:color="D9D9D9"/>
              <w:left w:val="single" w:sz="4" w:color="D9D9D9"/>
              <w:bottom w:val="single" w:sz="4" w:color="D9D9D9"/>
              <w:right w:val="single" w:sz="4" w:color="D9D9D9"/>
            </w:tcBorders>
            <w:shd w:fill="E7EDF3"/>
          </w:tcPr>
          <w:p>
            <w:pPr>
              <w:spacing w:after="80" w:before="80"/>
            </w:pPr>
            <w:r>
              <w:rPr>
                <w:b/>
                <w:sz w:val="18"/>
              </w:rPr>
              <w:t>Type</w:t>
            </w:r>
          </w:p>
        </w:tc>
        <w:tc>
          <w:tcPr>
            <w:tcW w:type="dxa" w:w="1267"/>
            <w:vAlign w:val="center"/>
            <w:tcBorders>
              <w:top w:val="single" w:sz="4" w:color="D9D9D9"/>
              <w:left w:val="single" w:sz="4" w:color="D9D9D9"/>
              <w:bottom w:val="single" w:sz="4" w:color="D9D9D9"/>
              <w:right w:val="single" w:sz="4" w:color="D9D9D9"/>
            </w:tcBorders>
            <w:shd w:fill="E7EDF3"/>
          </w:tcPr>
          <w:p>
            <w:pPr>
              <w:spacing w:after="80" w:before="80"/>
            </w:pPr>
            <w:r>
              <w:rPr>
                <w:b/>
                <w:sz w:val="18"/>
              </w:rPr>
              <w:t>Severity in the original report</w:t>
            </w:r>
          </w:p>
        </w:tc>
        <w:tc>
          <w:tcPr>
            <w:tcW w:type="dxa" w:w="1755"/>
            <w:vAlign w:val="center"/>
            <w:tcBorders>
              <w:top w:val="single" w:sz="4" w:color="D9D9D9"/>
              <w:left w:val="single" w:sz="4" w:color="D9D9D9"/>
              <w:bottom w:val="single" w:sz="4" w:color="D9D9D9"/>
              <w:right w:val="single" w:sz="4" w:color="D9D9D9"/>
            </w:tcBorders>
            <w:shd w:fill="E7EDF3"/>
          </w:tcPr>
          <w:p>
            <w:pPr>
              <w:spacing w:after="80" w:before="80"/>
            </w:pPr>
            <w:r>
              <w:rPr>
                <w:b/>
                <w:sz w:val="18"/>
              </w:rPr>
              <w:t>Verification status</w:t>
            </w:r>
          </w:p>
        </w:tc>
      </w:tr>
      <w:tr>
        <w:tc>
          <w:tcPr>
            <w:tcW w:type="dxa" w:w="585"/>
            <w:vAlign w:val="center"/>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1657"/>
            <w:vAlign w:val="center"/>
            <w:tcBorders>
              <w:top w:val="single" w:sz="4" w:color="D9D9D9"/>
              <w:left w:val="single" w:sz="4" w:color="D9D9D9"/>
              <w:bottom w:val="single" w:sz="4" w:color="D9D9D9"/>
              <w:right w:val="single" w:sz="4" w:color="D9D9D9"/>
            </w:tcBorders>
          </w:tcPr>
          <w:p>
            <w:pPr>
              <w:spacing w:after="80" w:before="80"/>
            </w:pPr>
            <w:r>
              <w:rPr>
                <w:b w:val="0"/>
                <w:sz w:val="18"/>
              </w:rPr>
              <w:t>CVE-2025-29927</w:t>
            </w:r>
          </w:p>
        </w:tc>
        <w:tc>
          <w:tcPr>
            <w:tcW w:type="dxa" w:w="2437"/>
            <w:vAlign w:val="center"/>
            <w:tcBorders>
              <w:top w:val="single" w:sz="4" w:color="D9D9D9"/>
              <w:left w:val="single" w:sz="4" w:color="D9D9D9"/>
              <w:bottom w:val="single" w:sz="4" w:color="D9D9D9"/>
              <w:right w:val="single" w:sz="4" w:color="D9D9D9"/>
            </w:tcBorders>
          </w:tcPr>
          <w:p>
            <w:pPr>
              <w:spacing w:after="80" w:before="80"/>
            </w:pPr>
            <w:r>
              <w:rPr>
                <w:b w:val="0"/>
                <w:sz w:val="18"/>
              </w:rPr>
              <w:t>Next.js middleware authorization bypass</w:t>
            </w:r>
          </w:p>
        </w:tc>
        <w:tc>
          <w:tcPr>
            <w:tcW w:type="dxa" w:w="2047"/>
            <w:vAlign w:val="center"/>
            <w:tcBorders>
              <w:top w:val="single" w:sz="4" w:color="D9D9D9"/>
              <w:left w:val="single" w:sz="4" w:color="D9D9D9"/>
              <w:bottom w:val="single" w:sz="4" w:color="D9D9D9"/>
              <w:right w:val="single" w:sz="4" w:color="D9D9D9"/>
            </w:tcBorders>
          </w:tcPr>
          <w:p>
            <w:pPr>
              <w:spacing w:after="80" w:before="80"/>
            </w:pPr>
            <w:r>
              <w:rPr>
                <w:b w:val="0"/>
                <w:sz w:val="18"/>
              </w:rPr>
              <w:t>Authorization bypass</w:t>
            </w:r>
          </w:p>
        </w:tc>
        <w:tc>
          <w:tcPr>
            <w:tcW w:type="dxa" w:w="1267"/>
            <w:vAlign w:val="center"/>
            <w:tcBorders>
              <w:top w:val="single" w:sz="4" w:color="D9D9D9"/>
              <w:left w:val="single" w:sz="4" w:color="D9D9D9"/>
              <w:bottom w:val="single" w:sz="4" w:color="D9D9D9"/>
              <w:right w:val="single" w:sz="4" w:color="D9D9D9"/>
            </w:tcBorders>
          </w:tcPr>
          <w:p>
            <w:pPr>
              <w:spacing w:after="80" w:before="80"/>
            </w:pPr>
            <w:r>
              <w:rPr>
                <w:b w:val="0"/>
                <w:sz w:val="18"/>
              </w:rPr>
              <w:t>Critical, CVSS 3.1 score 9.1</w:t>
            </w:r>
          </w:p>
        </w:tc>
        <w:tc>
          <w:tcPr>
            <w:tcW w:type="dxa" w:w="1755"/>
            <w:vAlign w:val="center"/>
            <w:tcBorders>
              <w:top w:val="single" w:sz="4" w:color="D9D9D9"/>
              <w:left w:val="single" w:sz="4" w:color="D9D9D9"/>
              <w:bottom w:val="single" w:sz="4" w:color="D9D9D9"/>
              <w:right w:val="single" w:sz="4" w:color="D9D9D9"/>
            </w:tcBorders>
          </w:tcPr>
          <w:p>
            <w:pPr>
              <w:spacing w:after="80" w:before="80"/>
            </w:pPr>
            <w:r>
              <w:rPr>
                <w:b w:val="0"/>
                <w:sz w:val="18"/>
              </w:rPr>
              <w:t>Reproduced in a local lab</w:t>
            </w:r>
          </w:p>
        </w:tc>
      </w:tr>
      <w:tr>
        <w:tc>
          <w:tcPr>
            <w:tcW w:type="dxa" w:w="585"/>
            <w:vAlign w:val="center"/>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1657"/>
            <w:vAlign w:val="center"/>
            <w:tcBorders>
              <w:top w:val="single" w:sz="4" w:color="D9D9D9"/>
              <w:left w:val="single" w:sz="4" w:color="D9D9D9"/>
              <w:bottom w:val="single" w:sz="4" w:color="D9D9D9"/>
              <w:right w:val="single" w:sz="4" w:color="D9D9D9"/>
            </w:tcBorders>
          </w:tcPr>
          <w:p>
            <w:pPr>
              <w:spacing w:after="80" w:before="80"/>
            </w:pPr>
            <w:r>
              <w:rPr>
                <w:b w:val="0"/>
                <w:sz w:val="18"/>
              </w:rPr>
              <w:t>CVE-2025-24813</w:t>
            </w:r>
          </w:p>
        </w:tc>
        <w:tc>
          <w:tcPr>
            <w:tcW w:type="dxa" w:w="2437"/>
            <w:vAlign w:val="center"/>
            <w:tcBorders>
              <w:top w:val="single" w:sz="4" w:color="D9D9D9"/>
              <w:left w:val="single" w:sz="4" w:color="D9D9D9"/>
              <w:bottom w:val="single" w:sz="4" w:color="D9D9D9"/>
              <w:right w:val="single" w:sz="4" w:color="D9D9D9"/>
            </w:tcBorders>
          </w:tcPr>
          <w:p>
            <w:pPr>
              <w:spacing w:after="80" w:before="80"/>
            </w:pPr>
            <w:r>
              <w:rPr>
                <w:b w:val="0"/>
                <w:sz w:val="18"/>
              </w:rPr>
              <w:t>Apache Tomcat Partial PUT file handling vulnerability</w:t>
            </w:r>
          </w:p>
        </w:tc>
        <w:tc>
          <w:tcPr>
            <w:tcW w:type="dxa" w:w="2047"/>
            <w:vAlign w:val="center"/>
            <w:tcBorders>
              <w:top w:val="single" w:sz="4" w:color="D9D9D9"/>
              <w:left w:val="single" w:sz="4" w:color="D9D9D9"/>
              <w:bottom w:val="single" w:sz="4" w:color="D9D9D9"/>
              <w:right w:val="single" w:sz="4" w:color="D9D9D9"/>
            </w:tcBorders>
          </w:tcPr>
          <w:p>
            <w:pPr>
              <w:spacing w:after="80" w:before="80"/>
            </w:pPr>
            <w:r>
              <w:rPr>
                <w:b w:val="0"/>
                <w:sz w:val="18"/>
              </w:rPr>
              <w:t>File manipulation and disclosure; RCE under additional conditions</w:t>
            </w:r>
          </w:p>
        </w:tc>
        <w:tc>
          <w:tcPr>
            <w:tcW w:type="dxa" w:w="1267"/>
            <w:vAlign w:val="center"/>
            <w:tcBorders>
              <w:top w:val="single" w:sz="4" w:color="D9D9D9"/>
              <w:left w:val="single" w:sz="4" w:color="D9D9D9"/>
              <w:bottom w:val="single" w:sz="4" w:color="D9D9D9"/>
              <w:right w:val="single" w:sz="4" w:color="D9D9D9"/>
            </w:tcBorders>
          </w:tcPr>
          <w:p>
            <w:pPr>
              <w:spacing w:after="80" w:before="80"/>
            </w:pPr>
            <w:r>
              <w:rPr>
                <w:b w:val="0"/>
                <w:sz w:val="18"/>
              </w:rPr>
              <w:t>High</w:t>
            </w:r>
          </w:p>
        </w:tc>
        <w:tc>
          <w:tcPr>
            <w:tcW w:type="dxa" w:w="1755"/>
            <w:vAlign w:val="center"/>
            <w:tcBorders>
              <w:top w:val="single" w:sz="4" w:color="D9D9D9"/>
              <w:left w:val="single" w:sz="4" w:color="D9D9D9"/>
              <w:bottom w:val="single" w:sz="4" w:color="D9D9D9"/>
              <w:right w:val="single" w:sz="4" w:color="D9D9D9"/>
            </w:tcBorders>
          </w:tcPr>
          <w:p>
            <w:pPr>
              <w:spacing w:after="80" w:before="80"/>
            </w:pPr>
            <w:r>
              <w:rPr>
                <w:b w:val="0"/>
                <w:sz w:val="18"/>
              </w:rPr>
              <w:t>Mechanism and reproduction method analyzed</w:t>
            </w:r>
          </w:p>
        </w:tc>
      </w:tr>
    </w:tbl>
    <w:p/>
    <w:p>
      <w:pPr>
        <w:pStyle w:val="Heading1"/>
      </w:pPr>
      <w:r>
        <w:t>2 Next.js Middleware Authorization Bypass</w:t>
      </w:r>
    </w:p>
    <w:p>
      <w:pPr>
        <w:pStyle w:val="Heading2"/>
      </w:pPr>
      <w:r>
        <w:t>2.1 Vulnerability Information</w:t>
      </w:r>
    </w:p>
    <w:p>
      <w:pPr>
        <w:pStyle w:val="ListBullet"/>
      </w:pPr>
      <w:r>
        <w:rPr>
          <w:b/>
        </w:rPr>
        <w:t>Identifier:</w:t>
      </w:r>
      <w:r>
        <w:t xml:space="preserve"> CVE-2025-29927.</w:t>
      </w:r>
    </w:p>
    <w:p>
      <w:pPr>
        <w:pStyle w:val="ListBullet"/>
      </w:pPr>
      <w:r>
        <w:rPr>
          <w:b/>
        </w:rPr>
        <w:t>Disclosure:</w:t>
      </w:r>
      <w:r>
        <w:t xml:space="preserve"> March 2025.</w:t>
      </w:r>
    </w:p>
    <w:p>
      <w:pPr>
        <w:pStyle w:val="ListBullet"/>
      </w:pPr>
      <w:r>
        <w:rPr>
          <w:b/>
        </w:rPr>
        <w:t>Severity:</w:t>
      </w:r>
      <w:r>
        <w:t xml:space="preserve"> Critical; CVSS 3.1 score 9.1, as recorded in the original report.</w:t>
      </w:r>
    </w:p>
    <w:p>
      <w:pPr>
        <w:pStyle w:val="ListBullet"/>
      </w:pPr>
      <w:r>
        <w:rPr>
          <w:b/>
        </w:rPr>
        <w:t>Affected version ranges recorded in the report:</w:t>
      </w:r>
      <w:r>
        <w:t xml:space="preserve"> 11.1.4–12.3.4, 13.0.0–13.5.8, 14.0.0–14.2.24, and 15.0.0–15.2.2.</w:t>
      </w:r>
    </w:p>
    <w:p>
      <w:pPr>
        <w:pStyle w:val="ListBullet"/>
      </w:pPr>
      <w:r>
        <w:rPr>
          <w:b/>
        </w:rPr>
        <w:t>Versions containing the fix:</w:t>
      </w:r>
      <w:r>
        <w:t xml:space="preserve"> 12.3.5, 13.5.9, 14.2.25, and 15.2.3, or later patched versions of the respective branches.</w:t>
      </w:r>
    </w:p>
    <w:p>
      <w:r>
        <w:t>These version numbers identify fixes for this particular CVE; they are not a recommendation to deploy an old release today.</w:t>
      </w:r>
    </w:p>
    <w:p>
      <w:pPr>
        <w:pStyle w:val="Heading2"/>
      </w:pPr>
      <w:r>
        <w:t>2.2 Vulnerability Mechanism</w:t>
      </w:r>
    </w:p>
    <w:p>
      <w:r>
        <w:t xml:space="preserve">Next.js uses the internal </w:t>
      </w:r>
      <w:r>
        <w:rPr>
          <w:rFonts w:ascii="Courier New" w:hAnsi="Courier New"/>
          <w:sz w:val="18"/>
        </w:rPr>
        <w:t>x-middleware-subrequest</w:t>
      </w:r>
      <w:r>
        <w:t xml:space="preserve"> request header to track recursive middleware calls and prevent repeated execution. Vulnerable versions did not adequately validate an externally supplied value. An external request could forge the internal marker and cause the framework to skip middleware execution.</w:t>
      </w:r>
    </w:p>
    <w:p>
      <w:r>
        <w:t>If an application performs its only login or authorization check in middleware, skipping that middleware can expose routes that should require authorization. This is an application authorization boundary failure; the demonstration does not imply that every application running a vulnerable version exposes the same data.</w:t>
      </w:r>
    </w:p>
    <w:p>
      <w:pPr>
        <w:pStyle w:val="Heading2"/>
      </w:pPr>
      <w:r>
        <w:t>2.3 Local Reproduction Environment</w:t>
      </w:r>
    </w:p>
    <w:p>
      <w:r>
        <w:t xml:space="preserve">I built a demonstration application using Next.js 15.2.2. The </w:t>
      </w:r>
      <w:r>
        <w:rPr>
          <w:rFonts w:ascii="Courier New" w:hAnsi="Courier New"/>
          <w:sz w:val="18"/>
        </w:rPr>
        <w:t>middleware.js</w:t>
      </w:r>
      <w:r>
        <w:t xml:space="preserve"> file protected </w:t>
      </w:r>
      <w:r>
        <w:rPr>
          <w:rFonts w:ascii="Courier New" w:hAnsi="Courier New"/>
          <w:sz w:val="18"/>
        </w:rPr>
        <w:t>/admin/:path*</w:t>
      </w:r>
      <w:r>
        <w:t xml:space="preserve"> and redirected requests to </w:t>
      </w:r>
      <w:r>
        <w:rPr>
          <w:rFonts w:ascii="Courier New" w:hAnsi="Courier New"/>
          <w:sz w:val="18"/>
        </w:rPr>
        <w:t>/login</w:t>
      </w:r>
      <w:r>
        <w:t xml:space="preserve"> unless they carried the lab session cookie </w:t>
      </w:r>
      <w:r>
        <w:rPr>
          <w:rFonts w:ascii="Courier New" w:hAnsi="Courier New"/>
          <w:sz w:val="18"/>
        </w:rPr>
        <w:t>session=valid-admin-session</w:t>
      </w:r>
      <w:r>
        <w:t xml:space="preserve">. The protected page was implemented in </w:t>
      </w:r>
      <w:r>
        <w:rPr>
          <w:rFonts w:ascii="Courier New" w:hAnsi="Courier New"/>
          <w:sz w:val="18"/>
        </w:rPr>
        <w:t>app/admin/page.js</w:t>
      </w:r>
      <w:r>
        <w:t>.</w:t>
      </w:r>
    </w:p>
    <w:p>
      <w:r>
        <w:t xml:space="preserve">The page displayed demonstration system settings, an administrator account, and an internal key. Values for the internal host and key are omitted from this public edition. Dependencies were installed with </w:t>
      </w:r>
      <w:r>
        <w:rPr>
          <w:rFonts w:ascii="Courier New" w:hAnsi="Courier New"/>
          <w:sz w:val="18"/>
        </w:rPr>
        <w:t>npm install</w:t>
      </w:r>
      <w:r>
        <w:t xml:space="preserve">; the application was built with </w:t>
      </w:r>
      <w:r>
        <w:rPr>
          <w:rFonts w:ascii="Courier New" w:hAnsi="Courier New"/>
          <w:sz w:val="18"/>
        </w:rPr>
        <w:t>npx next build</w:t>
      </w:r>
      <w:r>
        <w:t xml:space="preserve"> and started with </w:t>
      </w:r>
      <w:r>
        <w:rPr>
          <w:rFonts w:ascii="Courier New" w:hAnsi="Courier New"/>
          <w:sz w:val="18"/>
        </w:rPr>
        <w:t>npm start</w:t>
      </w:r>
      <w:r>
        <w:t xml:space="preserve"> on local port 3111.</w:t>
      </w:r>
    </w:p>
    <w:p>
      <w:r>
        <w:t>The session marker above is a lab fixture, not a production credential.</w:t>
      </w:r>
    </w:p>
    <w:p>
      <w:pPr>
        <w:pStyle w:val="Heading2"/>
      </w:pPr>
      <w:r>
        <w:t>2.4 Reproduction Steps and Evidence</w:t>
      </w:r>
    </w:p>
    <w:p>
      <w:r>
        <w:rPr>
          <w:b/>
        </w:rPr>
        <w:t>Step 1 — Baseline request.</w:t>
      </w:r>
      <w:r>
        <w:t xml:space="preserve"> I requested the protected route without an internal middleware header:</w:t>
      </w:r>
    </w:p>
    <w:p>
      <w:pPr>
        <w:spacing w:after="20"/>
      </w:pPr>
      <w:r>
        <w:rPr>
          <w:rFonts w:ascii="Courier New" w:hAnsi="Courier New"/>
          <w:sz w:val="17"/>
        </w:rPr>
        <w:t>curl http://127.0.0.1:3111/admin</w:t>
      </w:r>
    </w:p>
    <w:p>
      <w:r>
        <w:t xml:space="preserve">The server returned HTTP 307 and redirected the request to </w:t>
      </w:r>
      <w:r>
        <w:rPr>
          <w:rFonts w:ascii="Courier New" w:hAnsi="Courier New"/>
          <w:sz w:val="18"/>
        </w:rPr>
        <w:t>/login</w:t>
      </w:r>
      <w:r>
        <w:t>. The login page instructed the visitor to sign in.</w:t>
      </w:r>
    </w:p>
    <w:p>
      <w:r>
        <w:rPr>
          <w:b/>
        </w:rPr>
        <w:t>Figure 1 — English evidence description.</w:t>
      </w:r>
      <w:r>
        <w:t xml:space="preserve"> The original screenshot shows </w:t>
      </w:r>
      <w:r>
        <w:rPr>
          <w:rFonts w:ascii="Courier New" w:hAnsi="Courier New"/>
          <w:sz w:val="18"/>
        </w:rPr>
        <w:t>/admin</w:t>
      </w:r>
      <w:r>
        <w:t xml:space="preserve"> being blocked by middleware and redirected to the login page when no bypass header is present.</w:t>
      </w:r>
    </w:p>
    <w:p>
      <w:r>
        <w:rPr>
          <w:b/>
        </w:rPr>
        <w:t>Step 2 — Request with the forged internal header.</w:t>
      </w:r>
      <w:r>
        <w:t xml:space="preserve"> I requested the same local route with the following header:</w:t>
      </w:r>
    </w:p>
    <w:p>
      <w:pPr>
        <w:spacing w:after="20"/>
      </w:pPr>
      <w:r>
        <w:rPr>
          <w:rFonts w:ascii="Courier New" w:hAnsi="Courier New"/>
          <w:sz w:val="17"/>
        </w:rPr>
        <w:t>curl -H 'x-middleware-subrequest: middleware:middleware:middleware:middleware:middleware' \</w:t>
      </w:r>
    </w:p>
    <w:p>
      <w:pPr>
        <w:spacing w:after="20"/>
      </w:pPr>
      <w:r>
        <w:rPr>
          <w:rFonts w:ascii="Courier New" w:hAnsi="Courier New"/>
          <w:sz w:val="17"/>
        </w:rPr>
        <w:t>http://127.0.0.1:3111/admin</w:t>
      </w:r>
    </w:p>
    <w:p>
      <w:r>
        <w:t>For this Next.js 15 demonstration, the middleware marker was repeated five times. The response changed to HTTP 200 and included the protected administrator page without the required authenticated session.</w:t>
      </w:r>
    </w:p>
    <w:p>
      <w:r>
        <w:rPr>
          <w:b/>
        </w:rPr>
        <w:t>Figure 2 — English evidence description.</w:t>
      </w:r>
      <w:r>
        <w:t xml:space="preserve"> The original screenshot shows HTTP 200 and the protected administrator page after the request includes the forged </w:t>
      </w:r>
      <w:r>
        <w:rPr>
          <w:rFonts w:ascii="Courier New" w:hAnsi="Courier New"/>
          <w:sz w:val="18"/>
        </w:rPr>
        <w:t>x-middleware-subrequest</w:t>
      </w:r>
      <w:r>
        <w:t xml:space="preserve"> header. Sensitive demonstration values are omitted here.</w:t>
      </w:r>
    </w:p>
    <w:p>
      <w:pPr>
        <w:pStyle w:val="Heading2"/>
      </w:pPr>
      <w:r>
        <w:t>2.5 Reproduction Result</w:t>
      </w:r>
    </w:p>
    <w:p>
      <w:r>
        <w:t>The comparison used the same protected route: the baseline request was redirected with HTTP 307, while the forged-header request returned HTTP 200 and exposed the demonstration administrator content. This reproduced a middleware authorization bypass in the local application.</w:t>
      </w:r>
    </w:p>
    <w:p>
      <w:r>
        <w:t>The screenshots in the original report were evidence of this local test. The English descriptions retain their figure numbers and describe the recorded observations; they are not newly executed tests or reconstructed screenshots.</w:t>
      </w:r>
    </w:p>
    <w:p>
      <w:pPr>
        <w:pStyle w:val="Heading2"/>
      </w:pPr>
      <w:r>
        <w:t>2.6 Remediation Recommendations</w:t>
      </w:r>
    </w:p>
    <w:p>
      <w:pPr>
        <w:ind w:left="288" w:hanging="288"/>
      </w:pPr>
      <w:r>
        <w:t xml:space="preserve">1. </w:t>
      </w:r>
      <w:r>
        <w:t>Upgrade the applicable branch to a version containing the fix or a later supported patched release, then rebuild and redeploy the application.</w:t>
      </w:r>
    </w:p>
    <w:p>
      <w:pPr>
        <w:ind w:left="288" w:hanging="288"/>
      </w:pPr>
      <w:r>
        <w:t xml:space="preserve">2. </w:t>
      </w:r>
      <w:r>
        <w:t xml:space="preserve">Before the upgrade is completed, remove externally supplied </w:t>
      </w:r>
      <w:r>
        <w:rPr>
          <w:rFonts w:ascii="Courier New" w:hAnsi="Courier New"/>
          <w:sz w:val="18"/>
        </w:rPr>
        <w:t>x-middleware-subrequest</w:t>
      </w:r>
      <w:r>
        <w:t xml:space="preserve"> headers at the reverse proxy or gateway, in accordance with the vendor's mitigation guidance.</w:t>
      </w:r>
    </w:p>
    <w:p>
      <w:pPr>
        <w:ind w:left="288" w:hanging="288"/>
      </w:pPr>
      <w:r>
        <w:t xml:space="preserve">3. </w:t>
      </w:r>
      <w:r>
        <w:t>Do not treat middleware as the only authorization boundary. Verify permissions again in server-side components, route handlers, or the data access layer.</w:t>
      </w:r>
    </w:p>
    <w:p>
      <w:pPr>
        <w:pStyle w:val="Heading1"/>
      </w:pPr>
      <w:r>
        <w:t>3 Apache Tomcat Partial PUT File Handling Vulnerability</w:t>
      </w:r>
    </w:p>
    <w:p>
      <w:pPr>
        <w:pStyle w:val="Heading2"/>
      </w:pPr>
      <w:r>
        <w:t>3.1 Vulnerability Information</w:t>
      </w:r>
    </w:p>
    <w:p>
      <w:pPr>
        <w:pStyle w:val="ListBullet"/>
      </w:pPr>
      <w:r>
        <w:rPr>
          <w:b/>
        </w:rPr>
        <w:t>Identifier:</w:t>
      </w:r>
      <w:r>
        <w:t xml:space="preserve"> CVE-2025-24813.</w:t>
      </w:r>
    </w:p>
    <w:p>
      <w:pPr>
        <w:pStyle w:val="ListBullet"/>
      </w:pPr>
      <w:r>
        <w:rPr>
          <w:b/>
        </w:rPr>
        <w:t>Disclosure date recorded in the source report:</w:t>
      </w:r>
      <w:r>
        <w:t xml:space="preserve"> March 10, 2025.</w:t>
      </w:r>
    </w:p>
    <w:p>
      <w:pPr>
        <w:pStyle w:val="ListBullet"/>
      </w:pPr>
      <w:r>
        <w:rPr>
          <w:b/>
        </w:rPr>
        <w:t>Affected branches covered by the report:</w:t>
      </w:r>
      <w:r>
        <w:t xml:space="preserve"> Tomcat 10.1.0-M1–10.1.34 and 9.0.0.M1–9.0.98.</w:t>
      </w:r>
    </w:p>
    <w:p>
      <w:pPr>
        <w:pStyle w:val="ListBullet"/>
      </w:pPr>
      <w:r>
        <w:rPr>
          <w:b/>
        </w:rPr>
        <w:t>Fixed versions for those branches:</w:t>
      </w:r>
      <w:r>
        <w:t xml:space="preserve"> 10.1.35 and 9.0.99, or later patched releases.</w:t>
      </w:r>
    </w:p>
    <w:p>
      <w:pPr>
        <w:pStyle w:val="ListBullet"/>
      </w:pPr>
      <w:r>
        <w:rPr>
          <w:b/>
        </w:rPr>
        <w:t>Verification status:</w:t>
      </w:r>
      <w:r>
        <w:t xml:space="preserve"> Technical analysis and proposed reproduction method only; no successful local exploitation is claimed.</w:t>
      </w:r>
    </w:p>
    <w:p>
      <w:r>
        <w:t>The report covers these two branches rather than providing an exhaustive inventory of all affected Tomcat branches.</w:t>
      </w:r>
    </w:p>
    <w:p>
      <w:pPr>
        <w:pStyle w:val="Heading2"/>
      </w:pPr>
      <w:r>
        <w:t>3.2 Vulnerability Mechanism</w:t>
      </w:r>
    </w:p>
    <w:p>
      <w:r>
        <w:t xml:space="preserve">The issue concerns temporary file naming and path handling when the Default Servlet processes a Partial PUT request containing a </w:t>
      </w:r>
      <w:r>
        <w:rPr>
          <w:rFonts w:ascii="Courier New" w:hAnsi="Courier New"/>
          <w:sz w:val="18"/>
        </w:rPr>
        <w:t>Content-Range</w:t>
      </w:r>
      <w:r>
        <w:t xml:space="preserve"> header. Under a combination of conditions, including write access enabled for the Default Servlet, Partial PUT support, a relationship between public and sensitive upload paths, and predictable filenames, an attacker may be able to disclose sensitive files or inject content into them.</w:t>
      </w:r>
    </w:p>
    <w:p>
      <w:r>
        <w:t xml:space="preserve">Remote code execution requires additional conditions: file-based session persistence and a library available to the application that can be used in an unsafe deserialization chain. An attacker may be able to place serialized content at a session-related file path and trigger deserialization through a corresponding </w:t>
      </w:r>
      <w:r>
        <w:rPr>
          <w:rFonts w:ascii="Courier New" w:hAnsi="Courier New"/>
          <w:sz w:val="18"/>
        </w:rPr>
        <w:t>JSESSIONID</w:t>
      </w:r>
      <w:r>
        <w:t>.</w:t>
      </w:r>
    </w:p>
    <w:p>
      <w:r>
        <w:rPr>
          <w:b/>
        </w:rPr>
        <w:t>Configuration qualification.</w:t>
      </w:r>
      <w:r>
        <w:t xml:space="preserve"> The Default Servlet's write access is disabled by default. The described exploitation conditions must be satisfied; file disclosure or tampering should not be assumed to occur in an unchanged default configuration. This qualification corrects the source report's overly broad statement about default-configuration risk.</w:t>
      </w:r>
    </w:p>
    <w:p>
      <w:pPr>
        <w:pStyle w:val="Heading2"/>
      </w:pPr>
      <w:r>
        <w:t>3.3 Proposed Reproduction Method</w:t>
      </w:r>
    </w:p>
    <w:p>
      <w:r>
        <w:t>The source report proposed the following sequence for an isolated, authorized lab:</w:t>
      </w:r>
    </w:p>
    <w:p>
      <w:pPr>
        <w:ind w:left="288" w:hanging="288"/>
      </w:pPr>
      <w:r>
        <w:t xml:space="preserve">1. </w:t>
      </w:r>
      <w:r>
        <w:t>Use an affected Tomcat version and verify that Default Servlet writes and Partial PUT are enabled. For the deserialization scenario, also confirm file-based session persistence and the required library prerequisite.</w:t>
      </w:r>
    </w:p>
    <w:p>
      <w:pPr>
        <w:ind w:left="288" w:hanging="288"/>
      </w:pPr>
      <w:r>
        <w:t xml:space="preserve">2. </w:t>
      </w:r>
      <w:r>
        <w:t xml:space="preserve">Submit a PUT request with a </w:t>
      </w:r>
      <w:r>
        <w:rPr>
          <w:rFonts w:ascii="Courier New" w:hAnsi="Courier New"/>
          <w:sz w:val="18"/>
        </w:rPr>
        <w:t>Content-Range</w:t>
      </w:r>
      <w:r>
        <w:t xml:space="preserve"> header to investigate whether serialized test data can reach the predictable session-related temporary path.</w:t>
      </w:r>
    </w:p>
    <w:p>
      <w:pPr>
        <w:ind w:left="288" w:hanging="288"/>
      </w:pPr>
      <w:r>
        <w:t xml:space="preserve">3. </w:t>
      </w:r>
      <w:r>
        <w:t xml:space="preserve">Send a subsequent request with the corresponding </w:t>
      </w:r>
      <w:r>
        <w:rPr>
          <w:rFonts w:ascii="Courier New" w:hAnsi="Courier New"/>
          <w:sz w:val="18"/>
        </w:rPr>
        <w:t>JSESSIONID</w:t>
      </w:r>
      <w:r>
        <w:t xml:space="preserve"> and observe whether session loading triggers deserialization. The proposed verification would inspect a controlled execution result.</w:t>
      </w:r>
    </w:p>
    <w:p>
      <w:r>
        <w:t>The source report did not provide an executed Tomcat proof of concept, screenshots, or command-output evidence. The above is a documented plan, not a confirmed test result.</w:t>
      </w:r>
    </w:p>
    <w:p>
      <w:pPr>
        <w:pStyle w:val="Heading2"/>
      </w:pPr>
      <w:r>
        <w:t>3.4 Remediation Recommendations</w:t>
      </w:r>
    </w:p>
    <w:p>
      <w:pPr>
        <w:ind w:left="288" w:hanging="288"/>
      </w:pPr>
      <w:r>
        <w:t xml:space="preserve">1. </w:t>
      </w:r>
      <w:r>
        <w:t>Update the covered branches to versions containing the fix, or later supported patched releases.</w:t>
      </w:r>
    </w:p>
    <w:p>
      <w:pPr>
        <w:ind w:left="288" w:hanging="288"/>
      </w:pPr>
      <w:r>
        <w:t xml:space="preserve">2. </w:t>
      </w:r>
      <w:r>
        <w:t xml:space="preserve">Keep the Default Servlet's </w:t>
      </w:r>
      <w:r>
        <w:rPr>
          <w:rFonts w:ascii="Courier New" w:hAnsi="Courier New"/>
          <w:sz w:val="18"/>
        </w:rPr>
        <w:t>readonly</w:t>
      </w:r>
      <w:r>
        <w:t xml:space="preserve"> option at its default value of </w:t>
      </w:r>
      <w:r>
        <w:rPr>
          <w:rFonts w:ascii="Courier New" w:hAnsi="Courier New"/>
          <w:sz w:val="18"/>
        </w:rPr>
        <w:t>true</w:t>
      </w:r>
      <w:r>
        <w:t>. Disable unnecessary write access and Partial PUT functionality.</w:t>
      </w:r>
    </w:p>
    <w:p>
      <w:pPr>
        <w:ind w:left="288" w:hanging="288"/>
      </w:pPr>
      <w:r>
        <w:t xml:space="preserve">3. </w:t>
      </w:r>
      <w:r>
        <w:t>Disable file-based session persistence if it is not required, and review deserialization risks in application dependencies.</w:t>
      </w:r>
    </w:p>
    <w:p>
      <w:pPr>
        <w:ind w:left="288" w:hanging="288"/>
      </w:pPr>
      <w:r>
        <w:t xml:space="preserve">4. </w:t>
      </w:r>
      <w:r>
        <w:t>Separate public upload directories from sensitive directories, normalize paths, and use unpredictable filenames where appropriate.</w:t>
      </w:r>
    </w:p>
    <w:p>
      <w:pPr>
        <w:ind w:left="288" w:hanging="288"/>
      </w:pPr>
      <w:r>
        <w:t xml:space="preserve">5. </w:t>
      </w:r>
      <w:r>
        <w:t>Run the service with minimal privileges and monitor suspicious upload requests. A WAF is an additional control, not a substitute for patching.</w:t>
      </w:r>
    </w:p>
    <w:p>
      <w:pPr>
        <w:pStyle w:val="Heading1"/>
      </w:pPr>
      <w:r>
        <w:t>4 Learning Summary</w:t>
      </w:r>
    </w:p>
    <w:p>
      <w:r>
        <w:t>This exercise improved my understanding of the risks of performing authorization only in middleware and of vulnerability chains involving file upload handling and deserialization.</w:t>
      </w:r>
    </w:p>
    <w:p>
      <w:r>
        <w:t>The Next.js comparison—HTTP 307 for the baseline and HTTP 200 for the forged-header request—demonstrated why security checks should not rely on a single stage or on internal markers that external requests can forge. The Tomcat analysis showed how several unsafe settings can combine into a more serious outcome, and why safe defaults and timely patching matter.</w:t>
      </w:r>
    </w:p>
    <w:p>
      <w:r>
        <w:t>I plan to continue studying recently disclosed vulnerabilities and strengthen my practical reproduction skills in authorized environments.</w:t>
      </w:r>
    </w:p>
    <w:p>
      <w:pPr>
        <w:pStyle w:val="Heading1"/>
      </w:pPr>
      <w:r>
        <w:t>5 Publication and Evidence Notes</w:t>
      </w:r>
    </w:p>
    <w:p>
      <w:r>
        <w:t>Student identifiers, internal demonstration values, and original images are omitted from this public edition. The original figure numbers are retained in English evidence descriptions. Local lab requests are included to explain the recorded experiment; no production system is presented as an authorized target.</w:t>
      </w:r>
    </w:p>
    <w:p>
      <w:pPr>
        <w:pStyle w:val="Heading1"/>
      </w:pPr>
      <w:r>
        <w:t>6 Vendor References</w:t>
      </w:r>
    </w:p>
    <w:p>
      <w:pPr>
        <w:pStyle w:val="ListBullet"/>
      </w:pPr>
      <w:r>
        <w:t>Vercel postmortem on the Next.js middleware bypass (https://vercel.com/blog/postmortem-on-next-js-middleware-bypass)</w:t>
      </w:r>
      <w:r>
        <w:t>.</w:t>
      </w:r>
    </w:p>
    <w:p>
      <w:pPr>
        <w:pStyle w:val="ListBullet"/>
      </w:pPr>
      <w:r>
        <w:t>Apache Tomcat 10 security advisories (https://tomcat.apache.org/security-10.html)</w:t>
      </w:r>
      <w:r>
        <w:t>, CVE-2025-24813.</w:t>
      </w:r>
    </w:p>
    <w:p>
      <w:pPr>
        <w:pStyle w:val="ListBullet"/>
      </w:pPr>
      <w:r>
        <w:t>Apache Tomcat 9 security advisories (https://tomcat.apache.org/security-9.html)</w:t>
      </w:r>
      <w:r>
        <w:t>, CVE-2025-24813.</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Vulnerability Reproduction Report</dc:title>
  <dc:subject/>
  <dc:creator>Weixing Liu</dc:creator>
  <cp:keywords/>
  <dc:description/>
  <cp:lastModifiedBy/>
  <cp:revision>1</cp:revision>
  <dcterms:created xsi:type="dcterms:W3CDTF">2013-12-23T23:15:00Z</dcterms:created>
  <dcterms:modified xsi:type="dcterms:W3CDTF">2013-12-23T23:15:00Z</dcterms:modified>
  <cp:category/>
</cp:coreProperties>
</file>