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917"/>
          <w:sz w:val="44"/>
          <w:szCs w:val="44"/>
        </w:rPr>
        <w:t xml:space="preserve">Larry Reynolds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B2A27"/>
          <w:sz w:val="22"/>
          <w:szCs w:val="22"/>
        </w:rPr>
        <w:t xml:space="preserve">Digital Product Design &amp; Leadership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Portland, OR (Remote)  |  503-475-7438  |  </w:t>
      </w:r>
      <w:hyperlink w:history="1" r:id="rIdvq4sdqkzfwnqya4_-vq0h">
        <w:r>
          <w:rPr>
            <w:rFonts w:ascii="Calibri" w:cs="Calibri" w:eastAsia="Calibri" w:hAnsi="Calibri"/>
            <w:color w:val="2A52A0"/>
            <w:sz w:val="18"/>
            <w:szCs w:val="18"/>
            <w:u w:val="single"/>
          </w:rPr>
          <w:t xml:space="preserve">larry.jr.design@gmail.com</w:t>
        </w:r>
      </w:hyperlink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  |  </w:t>
      </w:r>
      <w:hyperlink w:history="1" r:id="rIddhnw-trruwezdecwwv9t1">
        <w:r>
          <w:rPr>
            <w:rFonts w:ascii="Calibri" w:cs="Calibri" w:eastAsia="Calibri" w:hAnsi="Calibri"/>
            <w:color w:val="2A52A0"/>
            <w:sz w:val="18"/>
            <w:szCs w:val="18"/>
            <w:u w:val="single"/>
          </w:rPr>
          <w:t xml:space="preserve">larryjr.design</w:t>
        </w:r>
      </w:hyperlink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  |  </w:t>
      </w:r>
      <w:hyperlink w:history="1" r:id="rId3qzev2tc2triysgjcqakh">
        <w:r>
          <w:rPr>
            <w:rFonts w:ascii="Calibri" w:cs="Calibri" w:eastAsia="Calibri" w:hAnsi="Calibri"/>
            <w:color w:val="2A52A0"/>
            <w:sz w:val="18"/>
            <w:szCs w:val="18"/>
            <w:u w:val="single"/>
          </w:rPr>
          <w:t xml:space="preserve">LinkedIn</w:t>
        </w:r>
      </w:hyperlink>
    </w:p>
    <w:p>
      <w:pPr>
        <w:spacing w:after="20" w:line="25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Product designer and design leader who has built or matured a design system in every role, across ecommerce, consumer genetics, DTC, B2B SaaS, and mobile. Works end to end, from research and information architecture through interaction design, prototyping, and implementation.</w:t>
      </w:r>
    </w:p>
    <w:p>
      <w:pPr>
        <w:pBdr>
          <w:bottom w:val="single" w:color="D8D5CC" w:sz="4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6E6C66"/>
          <w:spacing w:val="30"/>
          <w:sz w:val="17"/>
          <w:szCs w:val="17"/>
        </w:rPr>
        <w:t xml:space="preserve">CORE SKILLS</w:t>
      </w:r>
    </w:p>
    <w:p>
      <w:pPr>
        <w:spacing w:after="50" w:before="0" w:line="25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Product &amp; UX:  </w:t>
      </w: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End-to-end product design, user research and usability testing, information architecture, interaction design, design systems, onboarding and activation, subscription and ecommerce UX, accessibility</w:t>
      </w:r>
    </w:p>
    <w:p>
      <w:pPr>
        <w:spacing w:after="50" w:before="0" w:line="25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AI &amp; Prototyping:  </w:t>
      </w: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Figma, Claude, Cursor, AI-assisted design workflows, functional prototyping, design tokens, Tailwind, React, GitHub</w:t>
      </w:r>
    </w:p>
    <w:p>
      <w:pPr>
        <w:spacing w:after="50" w:before="0" w:line="25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Team leadership and mentorship, design direction and critique, cross-functional facilitation, roadmapping, stakeholder alignment, executive communication</w:t>
      </w:r>
    </w:p>
    <w:p>
      <w:pPr>
        <w:pBdr>
          <w:bottom w:val="single" w:color="D8D5CC" w:sz="4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6E6C66"/>
          <w:spacing w:val="30"/>
          <w:sz w:val="17"/>
          <w:szCs w:val="17"/>
        </w:rPr>
        <w:t xml:space="preserve">EXPERIENCE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A1917"/>
          <w:sz w:val="21"/>
          <w:szCs w:val="21"/>
        </w:rPr>
        <w:t xml:space="preserve">Fractional Head of Design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 (Remote)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Jun 2026 to Sep 2026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The Pattern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Designed the interaction model for the app's core personal experience during a mobile app rebuild.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Built the design token foundation across Figma, the component library, and code.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A1917"/>
          <w:sz w:val="21"/>
          <w:szCs w:val="21"/>
        </w:rPr>
        <w:t xml:space="preserve">Principal Product Experience Designer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 (Remote)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Feb 2024 to May 2026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G2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G2 Solutions: </w:t>
      </w: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Designed and launched the seller Solutions framework, contributing to $3M in attributed revenue and a 20% lift in buyer engagement.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Elevate Design System: </w:t>
      </w: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Led a cross-functional rebuild unifying product, brand, and engineering on one component foundation.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Introduced inline editing and AI-generated draft states, which other squads adopted and extended without being asked.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AI-First Vision: </w:t>
      </w: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Co-developed speculative work exploring generative UI, onboarding orchestration, and conversational workflows.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A1917"/>
          <w:sz w:val="21"/>
          <w:szCs w:val="21"/>
        </w:rPr>
        <w:t xml:space="preserve">Head of Product Design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 (Remote)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Oct 2022 to Sep 2023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PetPlate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Led the redesign of onboarding, subscription management, retention, and ecommerce on a consumer DTC platform.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Mentored designers and matured design system practice across product, engineering, and marketing.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A1917"/>
          <w:sz w:val="21"/>
          <w:szCs w:val="21"/>
        </w:rPr>
        <w:t xml:space="preserve">Director, Product Design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 (Hybrid, Portland, OR)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Nov 2019 to Oct 2022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Wisdom Panel (by Mars Petcare)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Led a platform transformation that lifted NPS from roughly 45 to 76, with 94% of customers engaging with their results within 30 days.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Directed scalable design systems and UX foundations improving consistency, accessibility, and collaboration.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Translated complex genetic and health science into approachable consumer experiences.</w:t>
      </w:r>
    </w:p>
    <w:p>
      <w:pPr>
        <w:tabs>
          <w:tab w:val="right" w:pos="10440"/>
        </w:tabs>
        <w:spacing w:after="0" w:before="130"/>
      </w:pPr>
      <w:r>
        <w:rPr>
          <w:rFonts w:ascii="Calibri" w:cs="Calibri" w:eastAsia="Calibri" w:hAnsi="Calibri"/>
          <w:b/>
          <w:bCs/>
          <w:color w:val="1A1917"/>
          <w:sz w:val="21"/>
          <w:szCs w:val="21"/>
        </w:rPr>
        <w:t xml:space="preserve">Lead Product Designer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 (On-Site, Portland, OR)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	</w:t>
      </w:r>
      <w:r>
        <w:rPr>
          <w:rFonts w:ascii="Calibri" w:cs="Calibri" w:eastAsia="Calibri" w:hAnsi="Calibri"/>
          <w:b w:val="false"/>
          <w:bCs w:val="false"/>
          <w:color w:val="6E6C66"/>
          <w:sz w:val="18"/>
          <w:szCs w:val="18"/>
        </w:rPr>
        <w:t xml:space="preserve">May 2016 to Nov 2019</w:t>
      </w:r>
    </w:p>
    <w:p>
      <w:pPr>
        <w:spacing w:after="40" w:before="1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Vacasa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Led design for Vacasa's first native consumer app, contributing to a 9-point gain in guest NPS.</w:t>
      </w:r>
    </w:p>
    <w:p>
      <w:pPr>
        <w:pStyle w:val="ListParagraph"/>
        <w:numPr>
          <w:ilvl w:val="0"/>
          <w:numId w:val="1"/>
        </w:numPr>
        <w:spacing w:after="15" w:before="0" w:line="240"/>
      </w:pPr>
      <w:r>
        <w:rPr>
          <w:rFonts w:ascii="Calibri" w:cs="Calibri" w:eastAsia="Calibri" w:hAnsi="Calibri"/>
          <w:b w:val="false"/>
          <w:bCs w:val="false"/>
          <w:color w:val="2B2A27"/>
          <w:sz w:val="20"/>
          <w:szCs w:val="20"/>
        </w:rPr>
        <w:t xml:space="preserve">Established design system practices across web and native products and led design through the 2018 rebrand.</w:t>
      </w:r>
    </w:p>
    <w:p>
      <w:pPr>
        <w:pBdr>
          <w:bottom w:val="single" w:color="D8D5CC" w:sz="4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6E6C66"/>
          <w:spacing w:val="30"/>
          <w:sz w:val="17"/>
          <w:szCs w:val="17"/>
        </w:rPr>
        <w:t xml:space="preserve">EDUCATION &amp; CERTIFICATIONS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BS, Multimedia &amp; Web Design</w:t>
      </w:r>
      <w:r>
        <w:rPr>
          <w:rFonts w:ascii="Calibri" w:cs="Calibri" w:eastAsia="Calibri" w:hAnsi="Calibri"/>
          <w:b w:val="false"/>
          <w:bCs w:val="false"/>
          <w:color w:val="6E6C66"/>
          <w:sz w:val="20"/>
          <w:szCs w:val="20"/>
        </w:rPr>
        <w:t xml:space="preserve">, Art Institute of Portland, High Honors</w:t>
      </w:r>
      <w:r>
        <w:rPr>
          <w:rFonts w:ascii="Calibri" w:cs="Calibri" w:eastAsia="Calibri" w:hAnsi="Calibri"/>
          <w:b w:val="false"/>
          <w:bCs w:val="false"/>
          <w:color w:val="6E6C66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2B2A27"/>
          <w:sz w:val="20"/>
          <w:szCs w:val="20"/>
        </w:rPr>
        <w:t xml:space="preserve">Design Thinking Certificate</w:t>
      </w:r>
      <w:r>
        <w:rPr>
          <w:rFonts w:ascii="Calibri" w:cs="Calibri" w:eastAsia="Calibri" w:hAnsi="Calibri"/>
          <w:b w:val="false"/>
          <w:bCs w:val="false"/>
          <w:color w:val="6E6C66"/>
          <w:sz w:val="20"/>
          <w:szCs w:val="20"/>
        </w:rPr>
        <w:t xml:space="preserve">, IDEO U</w:t>
      </w:r>
    </w:p>
    <w:sectPr>
      <w:pgSz w:w="12240" w:h="15840" w:orient="portrait"/>
      <w:pgMar w:top="90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A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q4sdqkzfwnqya4_-vq0h" Type="http://schemas.openxmlformats.org/officeDocument/2006/relationships/hyperlink" Target="mailto:larry.jr.design@gmail.com" TargetMode="External"/><Relationship Id="rIddhnw-trruwezdecwwv9t1" Type="http://schemas.openxmlformats.org/officeDocument/2006/relationships/hyperlink" Target="https://www.larryjr.design" TargetMode="External"/><Relationship Id="rId3qzev2tc2triysgjcqakh" Type="http://schemas.openxmlformats.org/officeDocument/2006/relationships/hyperlink" Target="https://www.linkedin.com/in/larryjrdesig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2026-09-24T17:56:41.519Z</dcterms:created>
  <dcterms:modified xsi:type="dcterms:W3CDTF">2026-09-24T17:56:41.519Z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