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80"/>
        <w:jc w:val="center"/>
      </w:pPr>
      <w:r>
        <w:rPr>
          <w:rFonts w:ascii="Calibri" w:hAnsi="Calibri"/>
          <w:b/>
          <w:color w:val="2E74B5"/>
          <w:sz w:val="20"/>
        </w:rPr>
        <w:t>GOOGLE ADS API BASIC ACCESS APPLICATION</w:t>
      </w:r>
    </w:p>
    <w:p>
      <w:pPr>
        <w:spacing w:after="160"/>
        <w:jc w:val="center"/>
      </w:pPr>
      <w:r>
        <w:rPr>
          <w:rFonts w:ascii="Calibri" w:hAnsi="Calibri"/>
          <w:b/>
          <w:color w:val="0B2545"/>
          <w:sz w:val="56"/>
        </w:rPr>
        <w:t>OpenSEO Google Ads Keyword Planner</w:t>
      </w:r>
    </w:p>
    <w:p>
      <w:pPr>
        <w:spacing w:after="560"/>
        <w:jc w:val="center"/>
      </w:pPr>
      <w:r>
        <w:rPr>
          <w:rFonts w:ascii="Calibri" w:hAnsi="Calibri"/>
          <w:color w:val="1F4D78"/>
          <w:sz w:val="30"/>
        </w:rPr>
        <w:t>Tool Design and Compliance Documentation</w:t>
      </w:r>
    </w:p>
    <w:p>
      <w:pPr>
        <w:spacing w:after="920"/>
        <w:jc w:val="center"/>
      </w:pPr>
      <w:r>
        <w:rPr>
          <w:rFonts w:ascii="Calibri" w:hAnsi="Calibri"/>
          <w:i/>
          <w:color w:val="58616B"/>
          <w:sz w:val="22"/>
        </w:rPr>
        <w:t>Keyword research and historical metrics only</w:t>
      </w:r>
    </w:p>
    <w:tbl>
      <w:tblPr>
        <w:tblStyle w:val="TableGrid"/>
        <w:tblW w:type="dxa" w:w="9360"/>
        <w:jc w:val="left"/>
        <w:tblLayout w:type="fixed"/>
        <w:tblLook w:firstColumn="1" w:firstRow="1" w:lastColumn="0" w:lastRow="0" w:noHBand="0" w:noVBand="1" w:val="04A0"/>
        <w:tblInd w:w="120" w:type="dxa"/>
      </w:tblPr>
      <w:tblGrid>
        <w:gridCol w:w="3000"/>
        <w:gridCol w:w="6360"/>
      </w:tblGrid>
      <w:tr>
        <w:tc>
          <w:tcPr>
            <w:tcW w:type="dxa" w:w="3000"/>
            <w:shd w:fill="F2F4F7"/>
            <w:tcMar>
              <w:top w:w="80" w:type="dxa"/>
              <w:start w:w="120" w:type="dxa"/>
              <w:bottom w:w="80" w:type="dxa"/>
              <w:end w:w="120" w:type="dxa"/>
            </w:tcMar>
            <w:vAlign w:val="center"/>
          </w:tcPr>
          <w:p>
            <w:pPr>
              <w:spacing w:after="0"/>
            </w:pPr>
            <w:r>
              <w:rPr>
                <w:rFonts w:ascii="Calibri" w:hAnsi="Calibri"/>
                <w:b/>
                <w:color w:val="0B2545"/>
              </w:rPr>
              <w:t>Applicant / tool</w:t>
            </w:r>
          </w:p>
        </w:tc>
        <w:tc>
          <w:tcPr>
            <w:tcW w:type="dxa" w:w="6360"/>
            <w:tcMar>
              <w:top w:w="80" w:type="dxa"/>
              <w:start w:w="120" w:type="dxa"/>
              <w:bottom w:w="80" w:type="dxa"/>
              <w:end w:w="120" w:type="dxa"/>
            </w:tcMar>
            <w:vAlign w:val="center"/>
          </w:tcPr>
          <w:p>
            <w:pPr>
              <w:spacing w:after="0"/>
            </w:pPr>
            <w:r>
              <w:rPr>
                <w:rFonts w:ascii="Calibri" w:hAnsi="Calibri"/>
                <w:color w:val="000000"/>
              </w:rPr>
              <w:t>OpenSEO - self-hosted SEO research workspace</w:t>
            </w:r>
          </w:p>
        </w:tc>
      </w:tr>
      <w:tr>
        <w:tc>
          <w:tcPr>
            <w:tcW w:type="dxa" w:w="3000"/>
            <w:shd w:fill="F2F4F7"/>
            <w:tcMar>
              <w:top w:w="80" w:type="dxa"/>
              <w:start w:w="120" w:type="dxa"/>
              <w:bottom w:w="80" w:type="dxa"/>
              <w:end w:w="120" w:type="dxa"/>
            </w:tcMar>
            <w:vAlign w:val="center"/>
          </w:tcPr>
          <w:p>
            <w:pPr>
              <w:spacing w:after="0"/>
            </w:pPr>
            <w:r>
              <w:rPr>
                <w:rFonts w:ascii="Calibri" w:hAnsi="Calibri"/>
                <w:b/>
                <w:color w:val="0B2545"/>
              </w:rPr>
              <w:t>Primary website</w:t>
            </w:r>
          </w:p>
        </w:tc>
        <w:tc>
          <w:tcPr>
            <w:tcW w:type="dxa" w:w="6360"/>
            <w:tcMar>
              <w:top w:w="80" w:type="dxa"/>
              <w:start w:w="120" w:type="dxa"/>
              <w:bottom w:w="80" w:type="dxa"/>
              <w:end w:w="120" w:type="dxa"/>
            </w:tcMar>
            <w:vAlign w:val="center"/>
          </w:tcPr>
          <w:p>
            <w:pPr>
              <w:spacing w:after="0"/>
            </w:pPr>
            <w:r>
              <w:rPr>
                <w:rFonts w:ascii="Calibri" w:hAnsi="Calibri"/>
                <w:color w:val="000000"/>
              </w:rPr>
              <w:t>https://openseo.mostee.com</w:t>
            </w:r>
          </w:p>
        </w:tc>
      </w:tr>
      <w:tr>
        <w:tc>
          <w:tcPr>
            <w:tcW w:type="dxa" w:w="3000"/>
            <w:shd w:fill="F2F4F7"/>
            <w:tcMar>
              <w:top w:w="80" w:type="dxa"/>
              <w:start w:w="120" w:type="dxa"/>
              <w:bottom w:w="80" w:type="dxa"/>
              <w:end w:w="120" w:type="dxa"/>
            </w:tcMar>
            <w:vAlign w:val="center"/>
          </w:tcPr>
          <w:p>
            <w:pPr>
              <w:spacing w:after="0"/>
            </w:pPr>
            <w:r>
              <w:rPr>
                <w:rFonts w:ascii="Calibri" w:hAnsi="Calibri"/>
                <w:b/>
                <w:color w:val="0B2545"/>
              </w:rPr>
              <w:t>Google Cloud project</w:t>
            </w:r>
          </w:p>
        </w:tc>
        <w:tc>
          <w:tcPr>
            <w:tcW w:type="dxa" w:w="6360"/>
            <w:tcMar>
              <w:top w:w="80" w:type="dxa"/>
              <w:start w:w="120" w:type="dxa"/>
              <w:bottom w:w="80" w:type="dxa"/>
              <w:end w:w="120" w:type="dxa"/>
            </w:tcMar>
            <w:vAlign w:val="center"/>
          </w:tcPr>
          <w:p>
            <w:pPr>
              <w:spacing w:after="0"/>
            </w:pPr>
            <w:r>
              <w:rPr>
                <w:rFonts w:ascii="Calibri" w:hAnsi="Calibri"/>
                <w:color w:val="000000"/>
              </w:rPr>
              <w:t>321604194945</w:t>
            </w:r>
          </w:p>
        </w:tc>
      </w:tr>
      <w:tr>
        <w:tc>
          <w:tcPr>
            <w:tcW w:type="dxa" w:w="3000"/>
            <w:shd w:fill="F2F4F7"/>
            <w:tcMar>
              <w:top w:w="80" w:type="dxa"/>
              <w:start w:w="120" w:type="dxa"/>
              <w:bottom w:w="80" w:type="dxa"/>
              <w:end w:w="120" w:type="dxa"/>
            </w:tcMar>
            <w:vAlign w:val="center"/>
          </w:tcPr>
          <w:p>
            <w:pPr>
              <w:spacing w:after="0"/>
            </w:pPr>
            <w:r>
              <w:rPr>
                <w:rFonts w:ascii="Calibri" w:hAnsi="Calibri"/>
                <w:b/>
                <w:color w:val="0B2545"/>
              </w:rPr>
              <w:t>Manager account (MCC)</w:t>
            </w:r>
          </w:p>
        </w:tc>
        <w:tc>
          <w:tcPr>
            <w:tcW w:type="dxa" w:w="6360"/>
            <w:tcMar>
              <w:top w:w="80" w:type="dxa"/>
              <w:start w:w="120" w:type="dxa"/>
              <w:bottom w:w="80" w:type="dxa"/>
              <w:end w:w="120" w:type="dxa"/>
            </w:tcMar>
            <w:vAlign w:val="center"/>
          </w:tcPr>
          <w:p>
            <w:pPr>
              <w:spacing w:after="0"/>
            </w:pPr>
            <w:r>
              <w:rPr>
                <w:rFonts w:ascii="Calibri" w:hAnsi="Calibri"/>
                <w:color w:val="000000"/>
              </w:rPr>
              <w:t>604-324-3227</w:t>
            </w:r>
          </w:p>
        </w:tc>
      </w:tr>
      <w:tr>
        <w:tc>
          <w:tcPr>
            <w:tcW w:type="dxa" w:w="3000"/>
            <w:shd w:fill="F2F4F7"/>
            <w:tcMar>
              <w:top w:w="80" w:type="dxa"/>
              <w:start w:w="120" w:type="dxa"/>
              <w:bottom w:w="80" w:type="dxa"/>
              <w:end w:w="120" w:type="dxa"/>
            </w:tcMar>
            <w:vAlign w:val="center"/>
          </w:tcPr>
          <w:p>
            <w:pPr>
              <w:spacing w:after="0"/>
            </w:pPr>
            <w:r>
              <w:rPr>
                <w:rFonts w:ascii="Calibri" w:hAnsi="Calibri"/>
                <w:b/>
                <w:color w:val="0B2545"/>
              </w:rPr>
              <w:t>API contact</w:t>
            </w:r>
          </w:p>
        </w:tc>
        <w:tc>
          <w:tcPr>
            <w:tcW w:type="dxa" w:w="6360"/>
            <w:tcMar>
              <w:top w:w="80" w:type="dxa"/>
              <w:start w:w="120" w:type="dxa"/>
              <w:bottom w:w="80" w:type="dxa"/>
              <w:end w:w="120" w:type="dxa"/>
            </w:tcMar>
            <w:vAlign w:val="center"/>
          </w:tcPr>
          <w:p>
            <w:pPr>
              <w:spacing w:after="0"/>
            </w:pPr>
            <w:r>
              <w:rPr>
                <w:rFonts w:ascii="Calibri" w:hAnsi="Calibri"/>
                <w:color w:val="000000"/>
              </w:rPr>
              <w:t>rainco2026@gmail.com</w:t>
            </w:r>
          </w:p>
        </w:tc>
      </w:tr>
      <w:tr>
        <w:tc>
          <w:tcPr>
            <w:tcW w:type="dxa" w:w="3000"/>
            <w:shd w:fill="F2F4F7"/>
            <w:tcMar>
              <w:top w:w="80" w:type="dxa"/>
              <w:start w:w="120" w:type="dxa"/>
              <w:bottom w:w="80" w:type="dxa"/>
              <w:end w:w="120" w:type="dxa"/>
            </w:tcMar>
            <w:vAlign w:val="center"/>
          </w:tcPr>
          <w:p>
            <w:pPr>
              <w:spacing w:after="0"/>
            </w:pPr>
            <w:r>
              <w:rPr>
                <w:rFonts w:ascii="Calibri" w:hAnsi="Calibri"/>
                <w:b/>
                <w:color w:val="0B2545"/>
              </w:rPr>
              <w:t>Document date</w:t>
            </w:r>
          </w:p>
        </w:tc>
        <w:tc>
          <w:tcPr>
            <w:tcW w:type="dxa" w:w="6360"/>
            <w:tcMar>
              <w:top w:w="80" w:type="dxa"/>
              <w:start w:w="120" w:type="dxa"/>
              <w:bottom w:w="80" w:type="dxa"/>
              <w:end w:w="120" w:type="dxa"/>
            </w:tcMar>
            <w:vAlign w:val="center"/>
          </w:tcPr>
          <w:p>
            <w:pPr>
              <w:spacing w:after="0"/>
            </w:pPr>
            <w:r>
              <w:rPr>
                <w:rFonts w:ascii="Calibri" w:hAnsi="Calibri"/>
                <w:color w:val="000000"/>
              </w:rPr>
              <w:t>16 August 2026</w:t>
            </w:r>
          </w:p>
        </w:tc>
      </w:tr>
    </w:tbl>
    <w:p>
      <w:pPr>
        <w:spacing w:after="0"/>
      </w:pPr>
    </w:p>
    <w:p>
      <w:pPr>
        <w:spacing w:before="480"/>
        <w:jc w:val="center"/>
      </w:pPr>
      <w:r>
        <w:rPr>
          <w:rFonts w:ascii="Calibri" w:hAnsi="Calibri"/>
          <w:color w:val="58616B"/>
          <w:sz w:val="19"/>
        </w:rPr>
        <w:t>Prepared for Google Ads API Basic Access review</w:t>
      </w:r>
    </w:p>
    <w:p>
      <w:r>
        <w:br w:type="page"/>
      </w:r>
    </w:p>
    <w:p>
      <w:pPr>
        <w:keepNext/>
        <w:spacing w:before="0" w:after="80"/>
      </w:pPr>
      <w:r>
        <w:rPr>
          <w:rFonts w:ascii="Calibri" w:hAnsi="Calibri"/>
          <w:b/>
          <w:color w:val="2E74B5"/>
          <w:sz w:val="19"/>
        </w:rPr>
        <w:t>SECTION 1</w:t>
      </w:r>
    </w:p>
    <w:p>
      <w:pPr>
        <w:pStyle w:val="Heading1"/>
        <w:spacing w:before="0"/>
      </w:pPr>
      <w:r>
        <w:t>Product overview</w:t>
      </w:r>
    </w:p>
    <w:p>
      <w:pPr>
        <w:spacing w:after="240"/>
      </w:pPr>
      <w:r>
        <w:rPr>
          <w:rFonts w:ascii="Calibri" w:hAnsi="Calibri"/>
          <w:color w:val="58616B"/>
          <w:sz w:val="21"/>
        </w:rPr>
        <w:t>Purpose, business model, audience, and API scope</w:t>
      </w:r>
    </w:p>
    <w:p>
      <w:r>
        <w:t>OpenSEO is an open-source and self-hostable SEO research and workflow platform. It combines keyword research, rank tracking, competitor analysis, backlink analysis, site auditing, Google Search Console data, and AI-assisted SEO workflows in one project workspace. The software is free and open source; deployments may use third-party data services that are billed separately.</w:t>
      </w:r>
    </w:p>
    <w:p>
      <w:r>
        <w:t>The Google Ads Keyword Planner is a personal extension within OpenSEO. It uses the Google Ads API only to obtain keyword ideas and historical keyword metrics for manual SEO research. It does not create, edit, pause, or delete campaigns, ads, ad groups, budgets, billing arrangements, users, audiences, conversions, or remarketing data.</w:t>
      </w:r>
    </w:p>
    <w:tbl>
      <w:tblPr>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0"/>
            </w:pPr>
            <w:r>
              <w:rPr>
                <w:rFonts w:ascii="Calibri" w:hAnsi="Calibri"/>
                <w:b/>
                <w:color w:val="0B2545"/>
              </w:rPr>
              <w:t xml:space="preserve">Permissible use requested: </w:t>
            </w:r>
            <w:r>
              <w:rPr>
                <w:rFonts w:ascii="Calibri" w:hAnsi="Calibri"/>
                <w:color w:val="0B2545"/>
              </w:rPr>
              <w:t>Researching keywords and recommendations. The tool requires KeywordPlanIdeaService access, which is restricted at Explorer Access and available after Basic Access approval.</w:t>
            </w:r>
          </w:p>
        </w:tc>
      </w:tr>
    </w:tbl>
    <w:p>
      <w:pPr>
        <w:spacing w:after="0"/>
      </w:pPr>
    </w:p>
    <w:p>
      <w:pPr>
        <w:pStyle w:val="Heading2"/>
      </w:pPr>
      <w:r>
        <w:t>Intended audience</w:t>
      </w:r>
    </w:p>
    <w:p>
      <w:pPr>
        <w:numPr>
          <w:ilvl w:val="0"/>
          <w:numId w:val="41"/>
        </w:numPr>
        <w:spacing w:after="160" w:line="280" w:lineRule="auto"/>
      </w:pPr>
      <w:r>
        <w:rPr>
          <w:rFonts w:ascii="Calibri" w:hAnsi="Calibri"/>
          <w:color w:val="000000"/>
        </w:rPr>
        <w:t>The current production deployment is privately controlled and protected by access controls.</w:t>
      </w:r>
    </w:p>
    <w:p>
      <w:pPr>
        <w:numPr>
          <w:ilvl w:val="0"/>
          <w:numId w:val="41"/>
        </w:numPr>
        <w:spacing w:after="160" w:line="280" w:lineRule="auto"/>
      </w:pPr>
      <w:r>
        <w:rPr>
          <w:rFonts w:ascii="Calibri" w:hAnsi="Calibri"/>
          <w:color w:val="000000"/>
        </w:rPr>
        <w:t>Access is limited to the owner and explicitly authorized team members who perform SEO and content research.</w:t>
      </w:r>
    </w:p>
    <w:p>
      <w:pPr>
        <w:numPr>
          <w:ilvl w:val="0"/>
          <w:numId w:val="41"/>
        </w:numPr>
        <w:spacing w:after="160" w:line="280" w:lineRule="auto"/>
      </w:pPr>
      <w:r>
        <w:rPr>
          <w:rFonts w:ascii="Calibri" w:hAnsi="Calibri"/>
          <w:color w:val="000000"/>
        </w:rPr>
        <w:t>The developer token in this application is not distributed with the open-source code and is not shared with unrelated self-hosted deployments.</w:t>
      </w:r>
    </w:p>
    <w:p>
      <w:pPr>
        <w:numPr>
          <w:ilvl w:val="0"/>
          <w:numId w:val="41"/>
        </w:numPr>
        <w:spacing w:after="160" w:line="280" w:lineRule="auto"/>
      </w:pPr>
      <w:r>
        <w:rPr>
          <w:rFonts w:ascii="Calibri" w:hAnsi="Calibri"/>
          <w:color w:val="000000"/>
        </w:rPr>
        <w:t>Each independent self-hosted deployment must configure and secure its own Google credentials and comply with Google Ads API requirements.</w:t>
      </w:r>
    </w:p>
    <w:p>
      <w:pPr>
        <w:pStyle w:val="Heading2"/>
      </w:pPr>
      <w:r>
        <w:t>Business model</w:t>
      </w:r>
    </w:p>
    <w:p>
      <w:r>
        <w:t>OpenSEO is positioned as an open-source alternative to commercial SEO suites. The application supports a hosted website and self-hosted deployments. The Google Ads integration described here is not sold as an advertising-management service and does not allow customers to supply or reuse this developer token.</w:t>
      </w:r>
    </w:p>
    <w:p>
      <w:r>
        <w:br w:type="page"/>
      </w:r>
    </w:p>
    <w:p>
      <w:pPr>
        <w:keepNext/>
        <w:spacing w:before="0" w:after="80"/>
      </w:pPr>
      <w:r>
        <w:rPr>
          <w:rFonts w:ascii="Calibri" w:hAnsi="Calibri"/>
          <w:b/>
          <w:color w:val="2E74B5"/>
          <w:sz w:val="19"/>
        </w:rPr>
        <w:t>SECTION 2</w:t>
      </w:r>
    </w:p>
    <w:p>
      <w:pPr>
        <w:pStyle w:val="Heading1"/>
        <w:spacing w:before="0"/>
      </w:pPr>
      <w:r>
        <w:t>User interface and workflow</w:t>
      </w:r>
    </w:p>
    <w:p>
      <w:pPr>
        <w:spacing w:after="240"/>
      </w:pPr>
      <w:r>
        <w:rPr>
          <w:rFonts w:ascii="Calibri" w:hAnsi="Calibri"/>
          <w:color w:val="58616B"/>
          <w:sz w:val="21"/>
        </w:rPr>
        <w:t>A user-initiated, read-only keyword research flow</w:t>
      </w:r>
    </w:p>
    <w:p>
      <w:pPr>
        <w:spacing w:after="0"/>
        <w:jc w:val="center"/>
      </w:pPr>
      <w:r>
        <w:drawing>
          <wp:inline xmlns:a="http://schemas.openxmlformats.org/drawingml/2006/main" xmlns:pic="http://schemas.openxmlformats.org/drawingml/2006/picture">
            <wp:extent cx="5943600" cy="2949244"/>
            <wp:docPr id="1" name="Picture 1"/>
            <wp:cNvGraphicFramePr>
              <a:graphicFrameLocks noChangeAspect="1"/>
            </wp:cNvGraphicFramePr>
            <a:graphic>
              <a:graphicData uri="http://schemas.openxmlformats.org/drawingml/2006/picture">
                <pic:pic>
                  <pic:nvPicPr>
                    <pic:cNvPr id="0" name="codex-clipboard-baa5307b-2249-4893-930f-ba2262147e1b.png"/>
                    <pic:cNvPicPr/>
                  </pic:nvPicPr>
                  <pic:blipFill>
                    <a:blip r:embed="rId11"/>
                    <a:stretch>
                      <a:fillRect/>
                    </a:stretch>
                  </pic:blipFill>
                  <pic:spPr>
                    <a:xfrm>
                      <a:off x="0" y="0"/>
                      <a:ext cx="5943600" cy="2949244"/>
                    </a:xfrm>
                    <a:prstGeom prst="rect"/>
                  </pic:spPr>
                </pic:pic>
              </a:graphicData>
            </a:graphic>
          </wp:inline>
        </w:drawing>
      </w:r>
    </w:p>
    <w:p>
      <w:pPr>
        <w:pStyle w:val="Caption"/>
        <w:jc w:val="center"/>
      </w:pPr>
      <w:r>
        <w:t>Figure 1. OpenSEO Google Ads Keyword Planner - Keyword Ideas input screen. The customer identifier is masked in the user interface.</w:t>
      </w:r>
    </w:p>
    <w:p>
      <w:pPr>
        <w:pStyle w:val="Heading2"/>
      </w:pPr>
      <w:r>
        <w:t>Keyword Ideas workflow</w:t>
      </w:r>
    </w:p>
    <w:p>
      <w:pPr>
        <w:numPr>
          <w:ilvl w:val="0"/>
          <w:numId w:val="42"/>
        </w:numPr>
        <w:spacing w:after="160" w:line="280" w:lineRule="auto"/>
      </w:pPr>
      <w:r>
        <w:rPr>
          <w:rFonts w:ascii="Calibri" w:hAnsi="Calibri"/>
          <w:color w:val="000000"/>
        </w:rPr>
        <w:t>An authorized user opens a project and selects Google Ads Planner.</w:t>
      </w:r>
    </w:p>
    <w:p>
      <w:pPr>
        <w:numPr>
          <w:ilvl w:val="0"/>
          <w:numId w:val="42"/>
        </w:numPr>
        <w:spacing w:after="160" w:line="280" w:lineRule="auto"/>
      </w:pPr>
      <w:r>
        <w:rPr>
          <w:rFonts w:ascii="Calibri" w:hAnsi="Calibri"/>
          <w:color w:val="000000"/>
        </w:rPr>
        <w:t>The page displays the configured customer in masked form, plus the project-derived language, geographic market, currency, and API version.</w:t>
      </w:r>
    </w:p>
    <w:p>
      <w:pPr>
        <w:numPr>
          <w:ilvl w:val="0"/>
          <w:numId w:val="42"/>
        </w:numPr>
        <w:spacing w:after="160" w:line="280" w:lineRule="auto"/>
      </w:pPr>
      <w:r>
        <w:rPr>
          <w:rFonts w:ascii="Calibri" w:hAnsi="Calibri"/>
          <w:color w:val="000000"/>
        </w:rPr>
        <w:t>The user enters up to ten seed keywords, an optional HTTPS landing page URL, or both.</w:t>
      </w:r>
    </w:p>
    <w:p>
      <w:pPr>
        <w:numPr>
          <w:ilvl w:val="0"/>
          <w:numId w:val="42"/>
        </w:numPr>
        <w:spacing w:after="160" w:line="280" w:lineRule="auto"/>
      </w:pPr>
      <w:r>
        <w:rPr>
          <w:rFonts w:ascii="Calibri" w:hAnsi="Calibri"/>
          <w:color w:val="000000"/>
        </w:rPr>
        <w:t>The user clicks Find ideas. The browser sends the validated request to an authenticated OpenSEO server function.</w:t>
      </w:r>
    </w:p>
    <w:p>
      <w:pPr>
        <w:numPr>
          <w:ilvl w:val="0"/>
          <w:numId w:val="42"/>
        </w:numPr>
        <w:spacing w:after="160" w:line="280" w:lineRule="auto"/>
      </w:pPr>
      <w:r>
        <w:rPr>
          <w:rFonts w:ascii="Calibri" w:hAnsi="Calibri"/>
          <w:color w:val="000000"/>
        </w:rPr>
        <w:t>The Worker exchanges the stored OAuth refresh token for a short-lived access token and calls the Google Ads API from the server.</w:t>
      </w:r>
    </w:p>
    <w:p>
      <w:pPr>
        <w:numPr>
          <w:ilvl w:val="0"/>
          <w:numId w:val="42"/>
        </w:numPr>
        <w:spacing w:after="160" w:line="280" w:lineRule="auto"/>
      </w:pPr>
      <w:r>
        <w:rPr>
          <w:rFonts w:ascii="Calibri" w:hAnsi="Calibri"/>
          <w:color w:val="000000"/>
        </w:rPr>
        <w:t>OpenSEO normalizes the response and displays keyword ideas and metrics. The user manually reviews the results and may explicitly save selected keywords to the project.</w:t>
      </w:r>
    </w:p>
    <w:p>
      <w:r>
        <w:br w:type="page"/>
      </w:r>
    </w:p>
    <w:p>
      <w:pPr>
        <w:keepNext/>
        <w:spacing w:before="0" w:after="80"/>
      </w:pPr>
      <w:r>
        <w:rPr>
          <w:rFonts w:ascii="Calibri" w:hAnsi="Calibri"/>
          <w:b/>
          <w:color w:val="2E74B5"/>
          <w:sz w:val="19"/>
        </w:rPr>
        <w:t>SECTION 3</w:t>
      </w:r>
    </w:p>
    <w:p>
      <w:pPr>
        <w:pStyle w:val="Heading1"/>
        <w:spacing w:before="0"/>
      </w:pPr>
      <w:r>
        <w:t>Functional design</w:t>
      </w:r>
    </w:p>
    <w:p>
      <w:pPr>
        <w:spacing w:after="240"/>
      </w:pPr>
      <w:r>
        <w:rPr>
          <w:rFonts w:ascii="Calibri" w:hAnsi="Calibri"/>
          <w:color w:val="58616B"/>
          <w:sz w:val="21"/>
        </w:rPr>
        <w:t>Supported operations, validation, and returned data</w:t>
      </w:r>
    </w:p>
    <w:tbl>
      <w:tblPr>
        <w:tblStyle w:val="TableGrid"/>
        <w:tblW w:type="dxa" w:w="9360"/>
        <w:jc w:val="left"/>
        <w:tblLayout w:type="fixed"/>
        <w:tblLook w:firstColumn="1" w:firstRow="1" w:lastColumn="0" w:lastRow="0" w:noHBand="0" w:noVBand="1" w:val="04A0"/>
        <w:tblInd w:w="120" w:type="dxa"/>
      </w:tblPr>
      <w:tblGrid>
        <w:gridCol w:w="1600"/>
        <w:gridCol w:w="2500"/>
        <w:gridCol w:w="2660"/>
        <w:gridCol w:w="2600"/>
      </w:tblGrid>
      <w:tr>
        <w:trPr>
          <w:tblHeader w:val="true"/>
        </w:trPr>
        <w:tc>
          <w:tcPr>
            <w:tcW w:type="dxa" w:w="1600"/>
            <w:shd w:fill="E8EEF5"/>
            <w:tcMar>
              <w:top w:w="80" w:type="dxa"/>
              <w:start w:w="120" w:type="dxa"/>
              <w:bottom w:w="80" w:type="dxa"/>
              <w:end w:w="120" w:type="dxa"/>
            </w:tcMar>
            <w:vAlign w:val="center"/>
          </w:tcPr>
          <w:p>
            <w:pPr>
              <w:spacing w:after="0"/>
            </w:pPr>
            <w:r>
              <w:rPr>
                <w:rFonts w:ascii="Calibri" w:hAnsi="Calibri"/>
                <w:b/>
                <w:color w:val="0B2545"/>
                <w:sz w:val="20"/>
              </w:rPr>
              <w:t>User function</w:t>
            </w:r>
          </w:p>
        </w:tc>
        <w:tc>
          <w:tcPr>
            <w:tcW w:type="dxa" w:w="2500"/>
            <w:shd w:fill="E8EEF5"/>
            <w:tcMar>
              <w:top w:w="80" w:type="dxa"/>
              <w:start w:w="120" w:type="dxa"/>
              <w:bottom w:w="80" w:type="dxa"/>
              <w:end w:w="120" w:type="dxa"/>
            </w:tcMar>
            <w:vAlign w:val="center"/>
          </w:tcPr>
          <w:p>
            <w:pPr>
              <w:spacing w:after="0"/>
            </w:pPr>
            <w:r>
              <w:rPr>
                <w:rFonts w:ascii="Calibri" w:hAnsi="Calibri"/>
                <w:b/>
                <w:color w:val="0B2545"/>
                <w:sz w:val="20"/>
              </w:rPr>
              <w:t>Google Ads API method</w:t>
            </w:r>
          </w:p>
        </w:tc>
        <w:tc>
          <w:tcPr>
            <w:tcW w:type="dxa" w:w="2660"/>
            <w:shd w:fill="E8EEF5"/>
            <w:tcMar>
              <w:top w:w="80" w:type="dxa"/>
              <w:start w:w="120" w:type="dxa"/>
              <w:bottom w:w="80" w:type="dxa"/>
              <w:end w:w="120" w:type="dxa"/>
            </w:tcMar>
            <w:vAlign w:val="center"/>
          </w:tcPr>
          <w:p>
            <w:pPr>
              <w:spacing w:after="0"/>
            </w:pPr>
            <w:r>
              <w:rPr>
                <w:rFonts w:ascii="Calibri" w:hAnsi="Calibri"/>
                <w:b/>
                <w:color w:val="0B2545"/>
                <w:sz w:val="20"/>
              </w:rPr>
              <w:t>Inputs</w:t>
            </w:r>
          </w:p>
        </w:tc>
        <w:tc>
          <w:tcPr>
            <w:tcW w:type="dxa" w:w="2600"/>
            <w:shd w:fill="E8EEF5"/>
            <w:tcMar>
              <w:top w:w="80" w:type="dxa"/>
              <w:start w:w="120" w:type="dxa"/>
              <w:bottom w:w="80" w:type="dxa"/>
              <w:end w:w="120" w:type="dxa"/>
            </w:tcMar>
            <w:vAlign w:val="center"/>
          </w:tcPr>
          <w:p>
            <w:pPr>
              <w:spacing w:after="0"/>
            </w:pPr>
            <w:r>
              <w:rPr>
                <w:rFonts w:ascii="Calibri" w:hAnsi="Calibri"/>
                <w:b/>
                <w:color w:val="0B2545"/>
                <w:sz w:val="20"/>
              </w:rPr>
              <w:t>Purpose</w:t>
            </w:r>
          </w:p>
        </w:tc>
      </w:tr>
      <w:tr>
        <w:tc>
          <w:tcPr>
            <w:tcW w:type="dxa" w:w="1600"/>
            <w:tcMar>
              <w:top w:w="80" w:type="dxa"/>
              <w:start w:w="120" w:type="dxa"/>
              <w:bottom w:w="80" w:type="dxa"/>
              <w:end w:w="120" w:type="dxa"/>
            </w:tcMar>
            <w:vAlign w:val="center"/>
          </w:tcPr>
          <w:p>
            <w:pPr>
              <w:spacing w:after="0"/>
            </w:pPr>
            <w:r>
              <w:rPr>
                <w:rFonts w:ascii="Calibri" w:hAnsi="Calibri"/>
                <w:color w:val="000000"/>
                <w:sz w:val="19"/>
              </w:rPr>
              <w:t>Keyword ideas</w:t>
            </w:r>
          </w:p>
        </w:tc>
        <w:tc>
          <w:tcPr>
            <w:tcW w:type="dxa" w:w="2500"/>
            <w:tcMar>
              <w:top w:w="80" w:type="dxa"/>
              <w:start w:w="120" w:type="dxa"/>
              <w:bottom w:w="80" w:type="dxa"/>
              <w:end w:w="120" w:type="dxa"/>
            </w:tcMar>
            <w:vAlign w:val="center"/>
          </w:tcPr>
          <w:p>
            <w:pPr>
              <w:spacing w:after="0"/>
            </w:pPr>
            <w:r>
              <w:rPr>
                <w:rFonts w:ascii="Calibri" w:hAnsi="Calibri"/>
                <w:color w:val="000000"/>
                <w:sz w:val="19"/>
              </w:rPr>
              <w:t>KeywordPlanIdeaService.GenerateKeywordIdeas</w:t>
            </w:r>
          </w:p>
        </w:tc>
        <w:tc>
          <w:tcPr>
            <w:tcW w:type="dxa" w:w="2660"/>
            <w:tcMar>
              <w:top w:w="80" w:type="dxa"/>
              <w:start w:w="120" w:type="dxa"/>
              <w:bottom w:w="80" w:type="dxa"/>
              <w:end w:w="120" w:type="dxa"/>
            </w:tcMar>
            <w:vAlign w:val="center"/>
          </w:tcPr>
          <w:p>
            <w:pPr>
              <w:spacing w:after="0"/>
            </w:pPr>
            <w:r>
              <w:rPr>
                <w:rFonts w:ascii="Calibri" w:hAnsi="Calibri"/>
                <w:color w:val="000000"/>
                <w:sz w:val="19"/>
              </w:rPr>
              <w:t>Seed keywords and/or HTTPS URL; project language and geo target</w:t>
            </w:r>
          </w:p>
        </w:tc>
        <w:tc>
          <w:tcPr>
            <w:tcW w:type="dxa" w:w="2600"/>
            <w:tcMar>
              <w:top w:w="80" w:type="dxa"/>
              <w:start w:w="120" w:type="dxa"/>
              <w:bottom w:w="80" w:type="dxa"/>
              <w:end w:w="120" w:type="dxa"/>
            </w:tcMar>
            <w:vAlign w:val="center"/>
          </w:tcPr>
          <w:p>
            <w:pPr>
              <w:spacing w:after="0"/>
            </w:pPr>
            <w:r>
              <w:rPr>
                <w:rFonts w:ascii="Calibri" w:hAnsi="Calibri"/>
                <w:color w:val="000000"/>
                <w:sz w:val="19"/>
              </w:rPr>
              <w:t>Generate related keyword suggestions and planning metrics</w:t>
            </w:r>
          </w:p>
        </w:tc>
      </w:tr>
      <w:tr>
        <w:tc>
          <w:tcPr>
            <w:tcW w:type="dxa" w:w="1600"/>
            <w:tcMar>
              <w:top w:w="80" w:type="dxa"/>
              <w:start w:w="120" w:type="dxa"/>
              <w:bottom w:w="80" w:type="dxa"/>
              <w:end w:w="120" w:type="dxa"/>
            </w:tcMar>
            <w:vAlign w:val="center"/>
          </w:tcPr>
          <w:p>
            <w:pPr>
              <w:spacing w:after="0"/>
            </w:pPr>
            <w:r>
              <w:rPr>
                <w:rFonts w:ascii="Calibri" w:hAnsi="Calibri"/>
                <w:color w:val="000000"/>
                <w:sz w:val="19"/>
              </w:rPr>
              <w:t>Historical metrics</w:t>
            </w:r>
          </w:p>
        </w:tc>
        <w:tc>
          <w:tcPr>
            <w:tcW w:type="dxa" w:w="2500"/>
            <w:tcMar>
              <w:top w:w="80" w:type="dxa"/>
              <w:start w:w="120" w:type="dxa"/>
              <w:bottom w:w="80" w:type="dxa"/>
              <w:end w:w="120" w:type="dxa"/>
            </w:tcMar>
            <w:vAlign w:val="center"/>
          </w:tcPr>
          <w:p>
            <w:pPr>
              <w:spacing w:after="0"/>
            </w:pPr>
            <w:r>
              <w:rPr>
                <w:rFonts w:ascii="Calibri" w:hAnsi="Calibri"/>
                <w:color w:val="000000"/>
                <w:sz w:val="19"/>
              </w:rPr>
              <w:t>KeywordPlanIdeaService.GenerateKeywordHistoricalMetrics</w:t>
            </w:r>
          </w:p>
        </w:tc>
        <w:tc>
          <w:tcPr>
            <w:tcW w:type="dxa" w:w="2660"/>
            <w:tcMar>
              <w:top w:w="80" w:type="dxa"/>
              <w:start w:w="120" w:type="dxa"/>
              <w:bottom w:w="80" w:type="dxa"/>
              <w:end w:w="120" w:type="dxa"/>
            </w:tcMar>
            <w:vAlign w:val="center"/>
          </w:tcPr>
          <w:p>
            <w:pPr>
              <w:spacing w:after="0"/>
            </w:pPr>
            <w:r>
              <w:rPr>
                <w:rFonts w:ascii="Calibri" w:hAnsi="Calibri"/>
                <w:color w:val="000000"/>
                <w:sz w:val="19"/>
              </w:rPr>
              <w:t>One or more explicit keywords; project language and geo target</w:t>
            </w:r>
          </w:p>
        </w:tc>
        <w:tc>
          <w:tcPr>
            <w:tcW w:type="dxa" w:w="2600"/>
            <w:tcMar>
              <w:top w:w="80" w:type="dxa"/>
              <w:start w:w="120" w:type="dxa"/>
              <w:bottom w:w="80" w:type="dxa"/>
              <w:end w:w="120" w:type="dxa"/>
            </w:tcMar>
            <w:vAlign w:val="center"/>
          </w:tcPr>
          <w:p>
            <w:pPr>
              <w:spacing w:after="0"/>
            </w:pPr>
            <w:r>
              <w:rPr>
                <w:rFonts w:ascii="Calibri" w:hAnsi="Calibri"/>
                <w:color w:val="000000"/>
                <w:sz w:val="19"/>
              </w:rPr>
              <w:t>Retrieve monthly search history and aggregate planning metrics</w:t>
            </w:r>
          </w:p>
        </w:tc>
      </w:tr>
    </w:tbl>
    <w:p>
      <w:pPr>
        <w:spacing w:after="0"/>
      </w:pPr>
    </w:p>
    <w:p>
      <w:pPr>
        <w:pStyle w:val="Heading2"/>
      </w:pPr>
      <w:r>
        <w:t>Inputs and safeguards</w:t>
      </w:r>
    </w:p>
    <w:p>
      <w:pPr>
        <w:numPr>
          <w:ilvl w:val="0"/>
          <w:numId w:val="41"/>
        </w:numPr>
        <w:spacing w:after="160" w:line="280" w:lineRule="auto"/>
      </w:pPr>
      <w:r>
        <w:rPr>
          <w:rFonts w:ascii="Calibri" w:hAnsi="Calibri"/>
          <w:color w:val="000000"/>
        </w:rPr>
        <w:t>Keyword inputs are trimmed, length-limited, deduplicated, and validated at the server trust boundary.</w:t>
      </w:r>
    </w:p>
    <w:p>
      <w:pPr>
        <w:numPr>
          <w:ilvl w:val="0"/>
          <w:numId w:val="41"/>
        </w:numPr>
        <w:spacing w:after="160" w:line="280" w:lineRule="auto"/>
      </w:pPr>
      <w:r>
        <w:rPr>
          <w:rFonts w:ascii="Calibri" w:hAnsi="Calibri"/>
          <w:color w:val="000000"/>
        </w:rPr>
        <w:t>Landing page input, when provided, must be an HTTPS URL.</w:t>
      </w:r>
    </w:p>
    <w:p>
      <w:pPr>
        <w:numPr>
          <w:ilvl w:val="0"/>
          <w:numId w:val="41"/>
        </w:numPr>
        <w:spacing w:after="160" w:line="280" w:lineRule="auto"/>
      </w:pPr>
      <w:r>
        <w:rPr>
          <w:rFonts w:ascii="Calibri" w:hAnsi="Calibri"/>
          <w:color w:val="000000"/>
        </w:rPr>
        <w:t>Adult keyword inclusion is disabled.</w:t>
      </w:r>
    </w:p>
    <w:p>
      <w:pPr>
        <w:numPr>
          <w:ilvl w:val="0"/>
          <w:numId w:val="41"/>
        </w:numPr>
        <w:spacing w:after="160" w:line="280" w:lineRule="auto"/>
      </w:pPr>
      <w:r>
        <w:rPr>
          <w:rFonts w:ascii="Calibri" w:hAnsi="Calibri"/>
          <w:color w:val="000000"/>
        </w:rPr>
        <w:t>The project market determines the Google Ads language and geographic targeting constants automatically.</w:t>
      </w:r>
    </w:p>
    <w:p>
      <w:pPr>
        <w:numPr>
          <w:ilvl w:val="0"/>
          <w:numId w:val="41"/>
        </w:numPr>
        <w:spacing w:after="160" w:line="280" w:lineRule="auto"/>
      </w:pPr>
      <w:r>
        <w:rPr>
          <w:rFonts w:ascii="Calibri" w:hAnsi="Calibri"/>
          <w:color w:val="000000"/>
        </w:rPr>
        <w:t>Requests use GOOGLE_SEARCH as the keyword plan network.</w:t>
      </w:r>
    </w:p>
    <w:p>
      <w:pPr>
        <w:numPr>
          <w:ilvl w:val="0"/>
          <w:numId w:val="41"/>
        </w:numPr>
        <w:spacing w:after="160" w:line="280" w:lineRule="auto"/>
      </w:pPr>
      <w:r>
        <w:rPr>
          <w:rFonts w:ascii="Calibri" w:hAnsi="Calibri"/>
          <w:color w:val="000000"/>
        </w:rPr>
        <w:t>The application applies timeouts, limited retries for transient failures, and rate-limit handling.</w:t>
      </w:r>
    </w:p>
    <w:p>
      <w:pPr>
        <w:pStyle w:val="Heading2"/>
      </w:pPr>
      <w:r>
        <w:t>Data returned to the user</w:t>
      </w:r>
    </w:p>
    <w:tbl>
      <w:tblPr>
        <w:tblStyle w:val="TableGrid"/>
        <w:tblW w:type="dxa" w:w="9360"/>
        <w:jc w:val="left"/>
        <w:tblLayout w:type="fixed"/>
        <w:tblLook w:firstColumn="1" w:firstRow="1" w:lastColumn="0" w:lastRow="0" w:noHBand="0" w:noVBand="1" w:val="04A0"/>
        <w:tblInd w:w="120" w:type="dxa"/>
      </w:tblPr>
      <w:tblGrid>
        <w:gridCol w:w="2300"/>
        <w:gridCol w:w="3300"/>
        <w:gridCol w:w="3760"/>
      </w:tblGrid>
      <w:tr>
        <w:trPr>
          <w:tblHeader w:val="true"/>
        </w:trPr>
        <w:tc>
          <w:tcPr>
            <w:tcW w:type="dxa" w:w="2300"/>
            <w:shd w:fill="E8EEF5"/>
            <w:tcMar>
              <w:top w:w="80" w:type="dxa"/>
              <w:start w:w="120" w:type="dxa"/>
              <w:bottom w:w="80" w:type="dxa"/>
              <w:end w:w="120" w:type="dxa"/>
            </w:tcMar>
            <w:vAlign w:val="center"/>
          </w:tcPr>
          <w:p>
            <w:pPr>
              <w:spacing w:after="0"/>
            </w:pPr>
            <w:r>
              <w:rPr>
                <w:rFonts w:ascii="Calibri" w:hAnsi="Calibri"/>
                <w:b/>
                <w:color w:val="0B2545"/>
                <w:sz w:val="20"/>
              </w:rPr>
              <w:t>Field</w:t>
            </w:r>
          </w:p>
        </w:tc>
        <w:tc>
          <w:tcPr>
            <w:tcW w:type="dxa" w:w="3300"/>
            <w:shd w:fill="E8EEF5"/>
            <w:tcMar>
              <w:top w:w="80" w:type="dxa"/>
              <w:start w:w="120" w:type="dxa"/>
              <w:bottom w:w="80" w:type="dxa"/>
              <w:end w:w="120" w:type="dxa"/>
            </w:tcMar>
            <w:vAlign w:val="center"/>
          </w:tcPr>
          <w:p>
            <w:pPr>
              <w:spacing w:after="0"/>
            </w:pPr>
            <w:r>
              <w:rPr>
                <w:rFonts w:ascii="Calibri" w:hAnsi="Calibri"/>
                <w:b/>
                <w:color w:val="0B2545"/>
                <w:sz w:val="20"/>
              </w:rPr>
              <w:t>Use in OpenSEO</w:t>
            </w:r>
          </w:p>
        </w:tc>
        <w:tc>
          <w:tcPr>
            <w:tcW w:type="dxa" w:w="3760"/>
            <w:shd w:fill="E8EEF5"/>
            <w:tcMar>
              <w:top w:w="80" w:type="dxa"/>
              <w:start w:w="120" w:type="dxa"/>
              <w:bottom w:w="80" w:type="dxa"/>
              <w:end w:w="120" w:type="dxa"/>
            </w:tcMar>
            <w:vAlign w:val="center"/>
          </w:tcPr>
          <w:p>
            <w:pPr>
              <w:spacing w:after="0"/>
            </w:pPr>
            <w:r>
              <w:rPr>
                <w:rFonts w:ascii="Calibri" w:hAnsi="Calibri"/>
                <w:b/>
                <w:color w:val="0B2545"/>
                <w:sz w:val="20"/>
              </w:rPr>
              <w:t>Storage behavior</w:t>
            </w:r>
          </w:p>
        </w:tc>
      </w:tr>
      <w:tr>
        <w:tc>
          <w:tcPr>
            <w:tcW w:type="dxa" w:w="2300"/>
            <w:tcMar>
              <w:top w:w="80" w:type="dxa"/>
              <w:start w:w="120" w:type="dxa"/>
              <w:bottom w:w="80" w:type="dxa"/>
              <w:end w:w="120" w:type="dxa"/>
            </w:tcMar>
            <w:vAlign w:val="center"/>
          </w:tcPr>
          <w:p>
            <w:pPr>
              <w:spacing w:after="0"/>
            </w:pPr>
            <w:r>
              <w:rPr>
                <w:rFonts w:ascii="Calibri" w:hAnsi="Calibri"/>
                <w:color w:val="000000"/>
                <w:sz w:val="19"/>
              </w:rPr>
              <w:t>Keyword and close variants</w:t>
            </w:r>
          </w:p>
        </w:tc>
        <w:tc>
          <w:tcPr>
            <w:tcW w:type="dxa" w:w="3300"/>
            <w:tcMar>
              <w:top w:w="80" w:type="dxa"/>
              <w:start w:w="120" w:type="dxa"/>
              <w:bottom w:w="80" w:type="dxa"/>
              <w:end w:w="120" w:type="dxa"/>
            </w:tcMar>
            <w:vAlign w:val="center"/>
          </w:tcPr>
          <w:p>
            <w:pPr>
              <w:spacing w:after="0"/>
            </w:pPr>
            <w:r>
              <w:rPr>
                <w:rFonts w:ascii="Calibri" w:hAnsi="Calibri"/>
                <w:color w:val="000000"/>
                <w:sz w:val="19"/>
              </w:rPr>
              <w:t>Display and keyword selection</w:t>
            </w:r>
          </w:p>
        </w:tc>
        <w:tc>
          <w:tcPr>
            <w:tcW w:type="dxa" w:w="3760"/>
            <w:tcMar>
              <w:top w:w="80" w:type="dxa"/>
              <w:start w:w="120" w:type="dxa"/>
              <w:bottom w:w="80" w:type="dxa"/>
              <w:end w:w="120" w:type="dxa"/>
            </w:tcMar>
            <w:vAlign w:val="center"/>
          </w:tcPr>
          <w:p>
            <w:pPr>
              <w:spacing w:after="0"/>
            </w:pPr>
            <w:r>
              <w:rPr>
                <w:rFonts w:ascii="Calibri" w:hAnsi="Calibri"/>
                <w:color w:val="000000"/>
                <w:sz w:val="19"/>
              </w:rPr>
              <w:t>Saved only when the user explicitly saves selected rows</w:t>
            </w:r>
          </w:p>
        </w:tc>
      </w:tr>
      <w:tr>
        <w:tc>
          <w:tcPr>
            <w:tcW w:type="dxa" w:w="2300"/>
            <w:tcMar>
              <w:top w:w="80" w:type="dxa"/>
              <w:start w:w="120" w:type="dxa"/>
              <w:bottom w:w="80" w:type="dxa"/>
              <w:end w:w="120" w:type="dxa"/>
            </w:tcMar>
            <w:vAlign w:val="center"/>
          </w:tcPr>
          <w:p>
            <w:pPr>
              <w:spacing w:after="0"/>
            </w:pPr>
            <w:r>
              <w:rPr>
                <w:rFonts w:ascii="Calibri" w:hAnsi="Calibri"/>
                <w:color w:val="000000"/>
                <w:sz w:val="19"/>
              </w:rPr>
              <w:t>Average monthly searches</w:t>
            </w:r>
          </w:p>
        </w:tc>
        <w:tc>
          <w:tcPr>
            <w:tcW w:type="dxa" w:w="3300"/>
            <w:tcMar>
              <w:top w:w="80" w:type="dxa"/>
              <w:start w:w="120" w:type="dxa"/>
              <w:bottom w:w="80" w:type="dxa"/>
              <w:end w:w="120" w:type="dxa"/>
            </w:tcMar>
            <w:vAlign w:val="center"/>
          </w:tcPr>
          <w:p>
            <w:pPr>
              <w:spacing w:after="0"/>
            </w:pPr>
            <w:r>
              <w:rPr>
                <w:rFonts w:ascii="Calibri" w:hAnsi="Calibri"/>
                <w:color w:val="000000"/>
                <w:sz w:val="19"/>
              </w:rPr>
              <w:t>Search-demand assessment</w:t>
            </w:r>
          </w:p>
        </w:tc>
        <w:tc>
          <w:tcPr>
            <w:tcW w:type="dxa" w:w="3760"/>
            <w:tcMar>
              <w:top w:w="80" w:type="dxa"/>
              <w:start w:w="120" w:type="dxa"/>
              <w:bottom w:w="80" w:type="dxa"/>
              <w:end w:w="120" w:type="dxa"/>
            </w:tcMar>
            <w:vAlign w:val="center"/>
          </w:tcPr>
          <w:p>
            <w:pPr>
              <w:spacing w:after="0"/>
            </w:pPr>
            <w:r>
              <w:rPr>
                <w:rFonts w:ascii="Calibri" w:hAnsi="Calibri"/>
                <w:color w:val="000000"/>
                <w:sz w:val="19"/>
              </w:rPr>
              <w:t>Mapped to a normalized project keyword record when saved</w:t>
            </w:r>
          </w:p>
        </w:tc>
      </w:tr>
      <w:tr>
        <w:tc>
          <w:tcPr>
            <w:tcW w:type="dxa" w:w="2300"/>
            <w:tcMar>
              <w:top w:w="80" w:type="dxa"/>
              <w:start w:w="120" w:type="dxa"/>
              <w:bottom w:w="80" w:type="dxa"/>
              <w:end w:w="120" w:type="dxa"/>
            </w:tcMar>
            <w:vAlign w:val="center"/>
          </w:tcPr>
          <w:p>
            <w:pPr>
              <w:spacing w:after="0"/>
            </w:pPr>
            <w:r>
              <w:rPr>
                <w:rFonts w:ascii="Calibri" w:hAnsi="Calibri"/>
                <w:color w:val="000000"/>
                <w:sz w:val="19"/>
              </w:rPr>
              <w:t>Monthly search volumes</w:t>
            </w:r>
          </w:p>
        </w:tc>
        <w:tc>
          <w:tcPr>
            <w:tcW w:type="dxa" w:w="3300"/>
            <w:tcMar>
              <w:top w:w="80" w:type="dxa"/>
              <w:start w:w="120" w:type="dxa"/>
              <w:bottom w:w="80" w:type="dxa"/>
              <w:end w:w="120" w:type="dxa"/>
            </w:tcMar>
            <w:vAlign w:val="center"/>
          </w:tcPr>
          <w:p>
            <w:pPr>
              <w:spacing w:after="0"/>
            </w:pPr>
            <w:r>
              <w:rPr>
                <w:rFonts w:ascii="Calibri" w:hAnsi="Calibri"/>
                <w:color w:val="000000"/>
                <w:sz w:val="19"/>
              </w:rPr>
              <w:t>Trend and seasonality review</w:t>
            </w:r>
          </w:p>
        </w:tc>
        <w:tc>
          <w:tcPr>
            <w:tcW w:type="dxa" w:w="3760"/>
            <w:tcMar>
              <w:top w:w="80" w:type="dxa"/>
              <w:start w:w="120" w:type="dxa"/>
              <w:bottom w:w="80" w:type="dxa"/>
              <w:end w:w="120" w:type="dxa"/>
            </w:tcMar>
            <w:vAlign w:val="center"/>
          </w:tcPr>
          <w:p>
            <w:pPr>
              <w:spacing w:after="0"/>
            </w:pPr>
            <w:r>
              <w:rPr>
                <w:rFonts w:ascii="Calibri" w:hAnsi="Calibri"/>
                <w:color w:val="000000"/>
                <w:sz w:val="19"/>
              </w:rPr>
              <w:t>Returned for display; retained only through explicit project actions</w:t>
            </w:r>
          </w:p>
        </w:tc>
      </w:tr>
      <w:tr>
        <w:tc>
          <w:tcPr>
            <w:tcW w:type="dxa" w:w="2300"/>
            <w:tcMar>
              <w:top w:w="80" w:type="dxa"/>
              <w:start w:w="120" w:type="dxa"/>
              <w:bottom w:w="80" w:type="dxa"/>
              <w:end w:w="120" w:type="dxa"/>
            </w:tcMar>
            <w:vAlign w:val="center"/>
          </w:tcPr>
          <w:p>
            <w:pPr>
              <w:spacing w:after="0"/>
            </w:pPr>
            <w:r>
              <w:rPr>
                <w:rFonts w:ascii="Calibri" w:hAnsi="Calibri"/>
                <w:color w:val="000000"/>
                <w:sz w:val="19"/>
              </w:rPr>
              <w:t>Competition and index</w:t>
            </w:r>
          </w:p>
        </w:tc>
        <w:tc>
          <w:tcPr>
            <w:tcW w:type="dxa" w:w="3300"/>
            <w:tcMar>
              <w:top w:w="80" w:type="dxa"/>
              <w:start w:w="120" w:type="dxa"/>
              <w:bottom w:w="80" w:type="dxa"/>
              <w:end w:w="120" w:type="dxa"/>
            </w:tcMar>
            <w:vAlign w:val="center"/>
          </w:tcPr>
          <w:p>
            <w:pPr>
              <w:spacing w:after="0"/>
            </w:pPr>
            <w:r>
              <w:rPr>
                <w:rFonts w:ascii="Calibri" w:hAnsi="Calibri"/>
                <w:color w:val="000000"/>
                <w:sz w:val="19"/>
              </w:rPr>
              <w:t>Relative advertising competition signal</w:t>
            </w:r>
          </w:p>
        </w:tc>
        <w:tc>
          <w:tcPr>
            <w:tcW w:type="dxa" w:w="3760"/>
            <w:tcMar>
              <w:top w:w="80" w:type="dxa"/>
              <w:start w:w="120" w:type="dxa"/>
              <w:bottom w:w="80" w:type="dxa"/>
              <w:end w:w="120" w:type="dxa"/>
            </w:tcMar>
            <w:vAlign w:val="center"/>
          </w:tcPr>
          <w:p>
            <w:pPr>
              <w:spacing w:after="0"/>
            </w:pPr>
            <w:r>
              <w:rPr>
                <w:rFonts w:ascii="Calibri" w:hAnsi="Calibri"/>
                <w:color w:val="000000"/>
                <w:sz w:val="19"/>
              </w:rPr>
              <w:t>Displayed as planning context</w:t>
            </w:r>
          </w:p>
        </w:tc>
      </w:tr>
      <w:tr>
        <w:tc>
          <w:tcPr>
            <w:tcW w:type="dxa" w:w="2300"/>
            <w:tcMar>
              <w:top w:w="80" w:type="dxa"/>
              <w:start w:w="120" w:type="dxa"/>
              <w:bottom w:w="80" w:type="dxa"/>
              <w:end w:w="120" w:type="dxa"/>
            </w:tcMar>
            <w:vAlign w:val="center"/>
          </w:tcPr>
          <w:p>
            <w:pPr>
              <w:spacing w:after="0"/>
            </w:pPr>
            <w:r>
              <w:rPr>
                <w:rFonts w:ascii="Calibri" w:hAnsi="Calibri"/>
                <w:color w:val="000000"/>
                <w:sz w:val="19"/>
              </w:rPr>
              <w:t>Average CPC and bid ranges</w:t>
            </w:r>
          </w:p>
        </w:tc>
        <w:tc>
          <w:tcPr>
            <w:tcW w:type="dxa" w:w="3300"/>
            <w:tcMar>
              <w:top w:w="80" w:type="dxa"/>
              <w:start w:w="120" w:type="dxa"/>
              <w:bottom w:w="80" w:type="dxa"/>
              <w:end w:w="120" w:type="dxa"/>
            </w:tcMar>
            <w:vAlign w:val="center"/>
          </w:tcPr>
          <w:p>
            <w:pPr>
              <w:spacing w:after="0"/>
            </w:pPr>
            <w:r>
              <w:rPr>
                <w:rFonts w:ascii="Calibri" w:hAnsi="Calibri"/>
                <w:color w:val="000000"/>
                <w:sz w:val="19"/>
              </w:rPr>
              <w:t>Commercial-intent context</w:t>
            </w:r>
          </w:p>
        </w:tc>
        <w:tc>
          <w:tcPr>
            <w:tcW w:type="dxa" w:w="3760"/>
            <w:tcMar>
              <w:top w:w="80" w:type="dxa"/>
              <w:start w:w="120" w:type="dxa"/>
              <w:bottom w:w="80" w:type="dxa"/>
              <w:end w:w="120" w:type="dxa"/>
            </w:tcMar>
            <w:vAlign w:val="center"/>
          </w:tcPr>
          <w:p>
            <w:pPr>
              <w:spacing w:after="0"/>
            </w:pPr>
            <w:r>
              <w:rPr>
                <w:rFonts w:ascii="Calibri" w:hAnsi="Calibri"/>
                <w:color w:val="000000"/>
                <w:sz w:val="19"/>
              </w:rPr>
              <w:t>Converted from micros to the configured currency</w:t>
            </w:r>
          </w:p>
        </w:tc>
      </w:tr>
    </w:tbl>
    <w:p>
      <w:pPr>
        <w:spacing w:after="0"/>
      </w:pPr>
    </w:p>
    <w:p>
      <w:r>
        <w:br w:type="page"/>
      </w:r>
    </w:p>
    <w:p>
      <w:pPr>
        <w:keepNext/>
        <w:spacing w:before="0" w:after="80"/>
      </w:pPr>
      <w:r>
        <w:rPr>
          <w:rFonts w:ascii="Calibri" w:hAnsi="Calibri"/>
          <w:b/>
          <w:color w:val="2E74B5"/>
          <w:sz w:val="19"/>
        </w:rPr>
        <w:t>SECTION 4</w:t>
      </w:r>
    </w:p>
    <w:p>
      <w:pPr>
        <w:pStyle w:val="Heading1"/>
        <w:spacing w:before="0"/>
      </w:pPr>
      <w:r>
        <w:t>System architecture and account model</w:t>
      </w:r>
    </w:p>
    <w:p>
      <w:pPr>
        <w:spacing w:after="240"/>
      </w:pPr>
      <w:r>
        <w:rPr>
          <w:rFonts w:ascii="Calibri" w:hAnsi="Calibri"/>
          <w:color w:val="58616B"/>
          <w:sz w:val="21"/>
        </w:rPr>
        <w:t>Server-side OAuth, explicit account relationships, and least exposure</w:t>
      </w:r>
    </w:p>
    <w:p>
      <w:pPr>
        <w:pStyle w:val="Heading2"/>
      </w:pPr>
      <w:r>
        <w:t>Request path</w:t>
      </w:r>
    </w:p>
    <w:p>
      <w:pPr>
        <w:numPr>
          <w:ilvl w:val="0"/>
          <w:numId w:val="42"/>
        </w:numPr>
        <w:spacing w:after="160" w:line="280" w:lineRule="auto"/>
      </w:pPr>
      <w:r>
        <w:rPr>
          <w:rFonts w:ascii="Calibri" w:hAnsi="Calibri"/>
          <w:color w:val="000000"/>
        </w:rPr>
        <w:t>Authorized browser session - the user submits a keyword research request inside an OpenSEO project.</w:t>
      </w:r>
    </w:p>
    <w:p>
      <w:pPr>
        <w:numPr>
          <w:ilvl w:val="0"/>
          <w:numId w:val="42"/>
        </w:numPr>
        <w:spacing w:after="160" w:line="280" w:lineRule="auto"/>
      </w:pPr>
      <w:r>
        <w:rPr>
          <w:rFonts w:ascii="Calibri" w:hAnsi="Calibri"/>
          <w:color w:val="000000"/>
        </w:rPr>
        <w:t>OpenSEO server function - authenticates the session, validates inputs, and resolves project market settings.</w:t>
      </w:r>
    </w:p>
    <w:p>
      <w:pPr>
        <w:numPr>
          <w:ilvl w:val="0"/>
          <w:numId w:val="42"/>
        </w:numPr>
        <w:spacing w:after="160" w:line="280" w:lineRule="auto"/>
      </w:pPr>
      <w:r>
        <w:rPr>
          <w:rFonts w:ascii="Calibri" w:hAnsi="Calibri"/>
          <w:color w:val="000000"/>
        </w:rPr>
        <w:t>Keyword Planner service - prepares the permitted read-only planning request.</w:t>
      </w:r>
    </w:p>
    <w:p>
      <w:pPr>
        <w:numPr>
          <w:ilvl w:val="0"/>
          <w:numId w:val="42"/>
        </w:numPr>
        <w:spacing w:after="160" w:line="280" w:lineRule="auto"/>
      </w:pPr>
      <w:r>
        <w:rPr>
          <w:rFonts w:ascii="Calibri" w:hAnsi="Calibri"/>
          <w:color w:val="000000"/>
        </w:rPr>
        <w:t>OAuth token exchange - the Cloudflare Worker obtains a short-lived access token from Google's OAuth service.</w:t>
      </w:r>
    </w:p>
    <w:p>
      <w:pPr>
        <w:numPr>
          <w:ilvl w:val="0"/>
          <w:numId w:val="42"/>
        </w:numPr>
        <w:spacing w:after="160" w:line="280" w:lineRule="auto"/>
      </w:pPr>
      <w:r>
        <w:rPr>
          <w:rFonts w:ascii="Calibri" w:hAnsi="Calibri"/>
          <w:color w:val="000000"/>
        </w:rPr>
        <w:t>Google Ads API - the Worker sends the OAuth bearer token, developer token, login customer ID, and target customer ID.</w:t>
      </w:r>
    </w:p>
    <w:p>
      <w:pPr>
        <w:numPr>
          <w:ilvl w:val="0"/>
          <w:numId w:val="42"/>
        </w:numPr>
        <w:spacing w:after="160" w:line="280" w:lineRule="auto"/>
      </w:pPr>
      <w:r>
        <w:rPr>
          <w:rFonts w:ascii="Calibri" w:hAnsi="Calibri"/>
          <w:color w:val="000000"/>
        </w:rPr>
        <w:t>Normalized response - only fields used by the product are returned to the interface; credentials never enter the browser response.</w:t>
      </w:r>
    </w:p>
    <w:p>
      <w:pPr>
        <w:pStyle w:val="Heading2"/>
      </w:pPr>
      <w:r>
        <w:t>Account relationship</w:t>
      </w:r>
    </w:p>
    <w:tbl>
      <w:tblPr>
        <w:tblStyle w:val="TableGrid"/>
        <w:tblW w:type="dxa" w:w="9360"/>
        <w:jc w:val="left"/>
        <w:tblLayout w:type="fixed"/>
        <w:tblLook w:firstColumn="1" w:firstRow="1" w:lastColumn="0" w:lastRow="0" w:noHBand="0" w:noVBand="1" w:val="04A0"/>
        <w:tblInd w:w="120" w:type="dxa"/>
      </w:tblPr>
      <w:tblGrid>
        <w:gridCol w:w="3000"/>
        <w:gridCol w:w="6360"/>
      </w:tblGrid>
      <w:tr>
        <w:tc>
          <w:tcPr>
            <w:tcW w:type="dxa" w:w="3000"/>
            <w:shd w:fill="F2F4F7"/>
            <w:tcMar>
              <w:top w:w="80" w:type="dxa"/>
              <w:start w:w="120" w:type="dxa"/>
              <w:bottom w:w="80" w:type="dxa"/>
              <w:end w:w="120" w:type="dxa"/>
            </w:tcMar>
            <w:vAlign w:val="center"/>
          </w:tcPr>
          <w:p>
            <w:pPr>
              <w:spacing w:after="0"/>
            </w:pPr>
            <w:r>
              <w:rPr>
                <w:rFonts w:ascii="Calibri" w:hAnsi="Calibri"/>
                <w:b/>
                <w:color w:val="0B2545"/>
              </w:rPr>
              <w:t>OAuth user</w:t>
            </w:r>
          </w:p>
        </w:tc>
        <w:tc>
          <w:tcPr>
            <w:tcW w:type="dxa" w:w="6360"/>
            <w:tcMar>
              <w:top w:w="80" w:type="dxa"/>
              <w:start w:w="120" w:type="dxa"/>
              <w:bottom w:w="80" w:type="dxa"/>
              <w:end w:w="120" w:type="dxa"/>
            </w:tcMar>
            <w:vAlign w:val="center"/>
          </w:tcPr>
          <w:p>
            <w:pPr>
              <w:spacing w:after="0"/>
            </w:pPr>
            <w:r>
              <w:rPr>
                <w:rFonts w:ascii="Calibri" w:hAnsi="Calibri"/>
                <w:color w:val="000000"/>
              </w:rPr>
              <w:t>A Google user authorized for the manager/client hierarchy</w:t>
            </w:r>
          </w:p>
        </w:tc>
      </w:tr>
      <w:tr>
        <w:tc>
          <w:tcPr>
            <w:tcW w:type="dxa" w:w="3000"/>
            <w:shd w:fill="F2F4F7"/>
            <w:tcMar>
              <w:top w:w="80" w:type="dxa"/>
              <w:start w:w="120" w:type="dxa"/>
              <w:bottom w:w="80" w:type="dxa"/>
              <w:end w:w="120" w:type="dxa"/>
            </w:tcMar>
            <w:vAlign w:val="center"/>
          </w:tcPr>
          <w:p>
            <w:pPr>
              <w:spacing w:after="0"/>
            </w:pPr>
            <w:r>
              <w:rPr>
                <w:rFonts w:ascii="Calibri" w:hAnsi="Calibri"/>
                <w:b/>
                <w:color w:val="0B2545"/>
              </w:rPr>
              <w:t>Manager account</w:t>
            </w:r>
          </w:p>
        </w:tc>
        <w:tc>
          <w:tcPr>
            <w:tcW w:type="dxa" w:w="6360"/>
            <w:tcMar>
              <w:top w:w="80" w:type="dxa"/>
              <w:start w:w="120" w:type="dxa"/>
              <w:bottom w:w="80" w:type="dxa"/>
              <w:end w:w="120" w:type="dxa"/>
            </w:tcMar>
            <w:vAlign w:val="center"/>
          </w:tcPr>
          <w:p>
            <w:pPr>
              <w:spacing w:after="0"/>
            </w:pPr>
            <w:r>
              <w:rPr>
                <w:rFonts w:ascii="Calibri" w:hAnsi="Calibri"/>
                <w:color w:val="000000"/>
              </w:rPr>
              <w:t>604-324-3227 - supplied as login-customer-id</w:t>
            </w:r>
          </w:p>
        </w:tc>
      </w:tr>
      <w:tr>
        <w:tc>
          <w:tcPr>
            <w:tcW w:type="dxa" w:w="3000"/>
            <w:shd w:fill="F2F4F7"/>
            <w:tcMar>
              <w:top w:w="80" w:type="dxa"/>
              <w:start w:w="120" w:type="dxa"/>
              <w:bottom w:w="80" w:type="dxa"/>
              <w:end w:w="120" w:type="dxa"/>
            </w:tcMar>
            <w:vAlign w:val="center"/>
          </w:tcPr>
          <w:p>
            <w:pPr>
              <w:spacing w:after="0"/>
            </w:pPr>
            <w:r>
              <w:rPr>
                <w:rFonts w:ascii="Calibri" w:hAnsi="Calibri"/>
                <w:b/>
                <w:color w:val="0B2545"/>
              </w:rPr>
              <w:t>Target customer</w:t>
            </w:r>
          </w:p>
        </w:tc>
        <w:tc>
          <w:tcPr>
            <w:tcW w:type="dxa" w:w="6360"/>
            <w:tcMar>
              <w:top w:w="80" w:type="dxa"/>
              <w:start w:w="120" w:type="dxa"/>
              <w:bottom w:w="80" w:type="dxa"/>
              <w:end w:w="120" w:type="dxa"/>
            </w:tcMar>
            <w:vAlign w:val="center"/>
          </w:tcPr>
          <w:p>
            <w:pPr>
              <w:spacing w:after="0"/>
            </w:pPr>
            <w:r>
              <w:rPr>
                <w:rFonts w:ascii="Calibri" w:hAnsi="Calibri"/>
                <w:color w:val="000000"/>
              </w:rPr>
              <w:t>920-177-7964 - supplied as the customer resource in requests</w:t>
            </w:r>
          </w:p>
        </w:tc>
      </w:tr>
      <w:tr>
        <w:tc>
          <w:tcPr>
            <w:tcW w:type="dxa" w:w="3000"/>
            <w:shd w:fill="F2F4F7"/>
            <w:tcMar>
              <w:top w:w="80" w:type="dxa"/>
              <w:start w:w="120" w:type="dxa"/>
              <w:bottom w:w="80" w:type="dxa"/>
              <w:end w:w="120" w:type="dxa"/>
            </w:tcMar>
            <w:vAlign w:val="center"/>
          </w:tcPr>
          <w:p>
            <w:pPr>
              <w:spacing w:after="0"/>
            </w:pPr>
            <w:r>
              <w:rPr>
                <w:rFonts w:ascii="Calibri" w:hAnsi="Calibri"/>
                <w:b/>
                <w:color w:val="0B2545"/>
              </w:rPr>
              <w:t>Google Cloud project</w:t>
            </w:r>
          </w:p>
        </w:tc>
        <w:tc>
          <w:tcPr>
            <w:tcW w:type="dxa" w:w="6360"/>
            <w:tcMar>
              <w:top w:w="80" w:type="dxa"/>
              <w:start w:w="120" w:type="dxa"/>
              <w:bottom w:w="80" w:type="dxa"/>
              <w:end w:w="120" w:type="dxa"/>
            </w:tcMar>
            <w:vAlign w:val="center"/>
          </w:tcPr>
          <w:p>
            <w:pPr>
              <w:spacing w:after="0"/>
            </w:pPr>
            <w:r>
              <w:rPr>
                <w:rFonts w:ascii="Calibri" w:hAnsi="Calibri"/>
                <w:color w:val="000000"/>
              </w:rPr>
              <w:t>321604194945 - owns the OAuth client and has Google Ads API enabled</w:t>
            </w:r>
          </w:p>
        </w:tc>
      </w:tr>
      <w:tr>
        <w:tc>
          <w:tcPr>
            <w:tcW w:type="dxa" w:w="3000"/>
            <w:shd w:fill="F2F4F7"/>
            <w:tcMar>
              <w:top w:w="80" w:type="dxa"/>
              <w:start w:w="120" w:type="dxa"/>
              <w:bottom w:w="80" w:type="dxa"/>
              <w:end w:w="120" w:type="dxa"/>
            </w:tcMar>
            <w:vAlign w:val="center"/>
          </w:tcPr>
          <w:p>
            <w:pPr>
              <w:spacing w:after="0"/>
            </w:pPr>
            <w:r>
              <w:rPr>
                <w:rFonts w:ascii="Calibri" w:hAnsi="Calibri"/>
                <w:b/>
                <w:color w:val="0B2545"/>
              </w:rPr>
              <w:t>Developer token</w:t>
            </w:r>
          </w:p>
        </w:tc>
        <w:tc>
          <w:tcPr>
            <w:tcW w:type="dxa" w:w="6360"/>
            <w:tcMar>
              <w:top w:w="80" w:type="dxa"/>
              <w:start w:w="120" w:type="dxa"/>
              <w:bottom w:w="80" w:type="dxa"/>
              <w:end w:w="120" w:type="dxa"/>
            </w:tcMar>
            <w:vAlign w:val="center"/>
          </w:tcPr>
          <w:p>
            <w:pPr>
              <w:spacing w:after="0"/>
            </w:pPr>
            <w:r>
              <w:rPr>
                <w:rFonts w:ascii="Calibri" w:hAnsi="Calibri"/>
                <w:color w:val="000000"/>
              </w:rPr>
              <w:t>Issued from the manager account API Center; requested access level: Basic</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0"/>
            </w:pPr>
            <w:r>
              <w:rPr>
                <w:rFonts w:ascii="Calibri" w:hAnsi="Calibri"/>
                <w:b/>
                <w:color w:val="0B2545"/>
              </w:rPr>
              <w:t xml:space="preserve">Credential boundary: </w:t>
            </w:r>
            <w:r>
              <w:rPr>
                <w:rFonts w:ascii="Calibri" w:hAnsi="Calibri"/>
                <w:color w:val="0B2545"/>
              </w:rPr>
              <w:t>OAuth client secret, refresh token, and developer token are Worker secrets. They are never rendered in HTML, sent to the browser, included in exported keyword data, or committed to the source repository.</w:t>
            </w:r>
          </w:p>
        </w:tc>
      </w:tr>
    </w:tbl>
    <w:p>
      <w:pPr>
        <w:spacing w:after="0"/>
      </w:pPr>
    </w:p>
    <w:p>
      <w:r>
        <w:br w:type="page"/>
      </w:r>
    </w:p>
    <w:p>
      <w:pPr>
        <w:keepNext/>
        <w:spacing w:before="0" w:after="80"/>
      </w:pPr>
      <w:r>
        <w:rPr>
          <w:rFonts w:ascii="Calibri" w:hAnsi="Calibri"/>
          <w:b/>
          <w:color w:val="2E74B5"/>
          <w:sz w:val="19"/>
        </w:rPr>
        <w:t>SECTION 5</w:t>
      </w:r>
    </w:p>
    <w:p>
      <w:pPr>
        <w:pStyle w:val="Heading1"/>
        <w:spacing w:before="0"/>
      </w:pPr>
      <w:r>
        <w:t>Data handling and security controls</w:t>
      </w:r>
    </w:p>
    <w:p>
      <w:pPr>
        <w:spacing w:after="240"/>
      </w:pPr>
      <w:r>
        <w:rPr>
          <w:rFonts w:ascii="Calibri" w:hAnsi="Calibri"/>
          <w:color w:val="58616B"/>
          <w:sz w:val="21"/>
        </w:rPr>
        <w:t>How credentials, requests, responses, and logs are protected</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80" w:type="dxa"/>
              <w:start w:w="120" w:type="dxa"/>
              <w:bottom w:w="80" w:type="dxa"/>
              <w:end w:w="120" w:type="dxa"/>
            </w:tcMar>
            <w:vAlign w:val="center"/>
          </w:tcPr>
          <w:p>
            <w:pPr>
              <w:spacing w:after="0"/>
            </w:pPr>
            <w:r>
              <w:rPr>
                <w:rFonts w:ascii="Calibri" w:hAnsi="Calibri"/>
                <w:b/>
                <w:color w:val="0B2545"/>
                <w:sz w:val="20"/>
              </w:rPr>
              <w:t>Control area</w:t>
            </w:r>
          </w:p>
        </w:tc>
        <w:tc>
          <w:tcPr>
            <w:tcW w:type="dxa" w:w="6860"/>
            <w:shd w:fill="E8EEF5"/>
            <w:tcMar>
              <w:top w:w="80" w:type="dxa"/>
              <w:start w:w="120" w:type="dxa"/>
              <w:bottom w:w="80" w:type="dxa"/>
              <w:end w:w="120" w:type="dxa"/>
            </w:tcMar>
            <w:vAlign w:val="center"/>
          </w:tcPr>
          <w:p>
            <w:pPr>
              <w:spacing w:after="0"/>
            </w:pPr>
            <w:r>
              <w:rPr>
                <w:rFonts w:ascii="Calibri" w:hAnsi="Calibri"/>
                <w:b/>
                <w:color w:val="0B2545"/>
                <w:sz w:val="20"/>
              </w:rPr>
              <w:t>Implementation</w:t>
            </w:r>
          </w:p>
        </w:tc>
      </w:tr>
      <w:tr>
        <w:tc>
          <w:tcPr>
            <w:tcW w:type="dxa" w:w="2500"/>
            <w:tcMar>
              <w:top w:w="80" w:type="dxa"/>
              <w:start w:w="120" w:type="dxa"/>
              <w:bottom w:w="80" w:type="dxa"/>
              <w:end w:w="120" w:type="dxa"/>
            </w:tcMar>
            <w:vAlign w:val="center"/>
          </w:tcPr>
          <w:p>
            <w:pPr>
              <w:spacing w:after="0"/>
            </w:pPr>
            <w:r>
              <w:rPr>
                <w:rFonts w:ascii="Calibri" w:hAnsi="Calibri"/>
                <w:color w:val="000000"/>
                <w:sz w:val="19"/>
              </w:rPr>
              <w:t>Authentication</w:t>
            </w:r>
          </w:p>
        </w:tc>
        <w:tc>
          <w:tcPr>
            <w:tcW w:type="dxa" w:w="6860"/>
            <w:tcMar>
              <w:top w:w="80" w:type="dxa"/>
              <w:start w:w="120" w:type="dxa"/>
              <w:bottom w:w="80" w:type="dxa"/>
              <w:end w:w="120" w:type="dxa"/>
            </w:tcMar>
            <w:vAlign w:val="center"/>
          </w:tcPr>
          <w:p>
            <w:pPr>
              <w:spacing w:after="0"/>
            </w:pPr>
            <w:r>
              <w:rPr>
                <w:rFonts w:ascii="Calibri" w:hAnsi="Calibri"/>
                <w:color w:val="000000"/>
                <w:sz w:val="19"/>
              </w:rPr>
              <w:t>The deployed application is protected by access controls. Server functions require an authenticated application session and project context.</w:t>
            </w:r>
          </w:p>
        </w:tc>
      </w:tr>
      <w:tr>
        <w:tc>
          <w:tcPr>
            <w:tcW w:type="dxa" w:w="2500"/>
            <w:tcMar>
              <w:top w:w="80" w:type="dxa"/>
              <w:start w:w="120" w:type="dxa"/>
              <w:bottom w:w="80" w:type="dxa"/>
              <w:end w:w="120" w:type="dxa"/>
            </w:tcMar>
            <w:vAlign w:val="center"/>
          </w:tcPr>
          <w:p>
            <w:pPr>
              <w:spacing w:after="0"/>
            </w:pPr>
            <w:r>
              <w:rPr>
                <w:rFonts w:ascii="Calibri" w:hAnsi="Calibri"/>
                <w:color w:val="000000"/>
                <w:sz w:val="19"/>
              </w:rPr>
              <w:t>Secret storage</w:t>
            </w:r>
          </w:p>
        </w:tc>
        <w:tc>
          <w:tcPr>
            <w:tcW w:type="dxa" w:w="6860"/>
            <w:tcMar>
              <w:top w:w="80" w:type="dxa"/>
              <w:start w:w="120" w:type="dxa"/>
              <w:bottom w:w="80" w:type="dxa"/>
              <w:end w:w="120" w:type="dxa"/>
            </w:tcMar>
            <w:vAlign w:val="center"/>
          </w:tcPr>
          <w:p>
            <w:pPr>
              <w:spacing w:after="0"/>
            </w:pPr>
            <w:r>
              <w:rPr>
                <w:rFonts w:ascii="Calibri" w:hAnsi="Calibri"/>
                <w:color w:val="000000"/>
                <w:sz w:val="19"/>
              </w:rPr>
              <w:t>OAuth client secret, refresh token, and developer token are stored as Cloudflare Worker secrets and read only at runtime.</w:t>
            </w:r>
          </w:p>
        </w:tc>
      </w:tr>
      <w:tr>
        <w:tc>
          <w:tcPr>
            <w:tcW w:type="dxa" w:w="2500"/>
            <w:tcMar>
              <w:top w:w="80" w:type="dxa"/>
              <w:start w:w="120" w:type="dxa"/>
              <w:bottom w:w="80" w:type="dxa"/>
              <w:end w:w="120" w:type="dxa"/>
            </w:tcMar>
            <w:vAlign w:val="center"/>
          </w:tcPr>
          <w:p>
            <w:pPr>
              <w:spacing w:after="0"/>
            </w:pPr>
            <w:r>
              <w:rPr>
                <w:rFonts w:ascii="Calibri" w:hAnsi="Calibri"/>
                <w:color w:val="000000"/>
                <w:sz w:val="19"/>
              </w:rPr>
              <w:t>Transport</w:t>
            </w:r>
          </w:p>
        </w:tc>
        <w:tc>
          <w:tcPr>
            <w:tcW w:type="dxa" w:w="6860"/>
            <w:tcMar>
              <w:top w:w="80" w:type="dxa"/>
              <w:start w:w="120" w:type="dxa"/>
              <w:bottom w:w="80" w:type="dxa"/>
              <w:end w:w="120" w:type="dxa"/>
            </w:tcMar>
            <w:vAlign w:val="center"/>
          </w:tcPr>
          <w:p>
            <w:pPr>
              <w:spacing w:after="0"/>
            </w:pPr>
            <w:r>
              <w:rPr>
                <w:rFonts w:ascii="Calibri" w:hAnsi="Calibri"/>
                <w:color w:val="000000"/>
                <w:sz w:val="19"/>
              </w:rPr>
              <w:t>Browser-to-Worker, OAuth token exchange, and Google Ads API requests use HTTPS.</w:t>
            </w:r>
          </w:p>
        </w:tc>
      </w:tr>
      <w:tr>
        <w:tc>
          <w:tcPr>
            <w:tcW w:type="dxa" w:w="2500"/>
            <w:tcMar>
              <w:top w:w="80" w:type="dxa"/>
              <w:start w:w="120" w:type="dxa"/>
              <w:bottom w:w="80" w:type="dxa"/>
              <w:end w:w="120" w:type="dxa"/>
            </w:tcMar>
            <w:vAlign w:val="center"/>
          </w:tcPr>
          <w:p>
            <w:pPr>
              <w:spacing w:after="0"/>
            </w:pPr>
            <w:r>
              <w:rPr>
                <w:rFonts w:ascii="Calibri" w:hAnsi="Calibri"/>
                <w:color w:val="000000"/>
                <w:sz w:val="19"/>
              </w:rPr>
              <w:t>Token handling</w:t>
            </w:r>
          </w:p>
        </w:tc>
        <w:tc>
          <w:tcPr>
            <w:tcW w:type="dxa" w:w="6860"/>
            <w:tcMar>
              <w:top w:w="80" w:type="dxa"/>
              <w:start w:w="120" w:type="dxa"/>
              <w:bottom w:w="80" w:type="dxa"/>
              <w:end w:w="120" w:type="dxa"/>
            </w:tcMar>
            <w:vAlign w:val="center"/>
          </w:tcPr>
          <w:p>
            <w:pPr>
              <w:spacing w:after="0"/>
            </w:pPr>
            <w:r>
              <w:rPr>
                <w:rFonts w:ascii="Calibri" w:hAnsi="Calibri"/>
                <w:color w:val="000000"/>
                <w:sz w:val="19"/>
              </w:rPr>
              <w:t>The refresh token remains server-side. Short-lived access tokens are obtained only as needed and are not persisted in browser storage.</w:t>
            </w:r>
          </w:p>
        </w:tc>
      </w:tr>
      <w:tr>
        <w:tc>
          <w:tcPr>
            <w:tcW w:type="dxa" w:w="2500"/>
            <w:tcMar>
              <w:top w:w="80" w:type="dxa"/>
              <w:start w:w="120" w:type="dxa"/>
              <w:bottom w:w="80" w:type="dxa"/>
              <w:end w:w="120" w:type="dxa"/>
            </w:tcMar>
            <w:vAlign w:val="center"/>
          </w:tcPr>
          <w:p>
            <w:pPr>
              <w:spacing w:after="0"/>
            </w:pPr>
            <w:r>
              <w:rPr>
                <w:rFonts w:ascii="Calibri" w:hAnsi="Calibri"/>
                <w:color w:val="000000"/>
                <w:sz w:val="19"/>
              </w:rPr>
              <w:t>Input validation</w:t>
            </w:r>
          </w:p>
        </w:tc>
        <w:tc>
          <w:tcPr>
            <w:tcW w:type="dxa" w:w="6860"/>
            <w:tcMar>
              <w:top w:w="80" w:type="dxa"/>
              <w:start w:w="120" w:type="dxa"/>
              <w:bottom w:w="80" w:type="dxa"/>
              <w:end w:w="120" w:type="dxa"/>
            </w:tcMar>
            <w:vAlign w:val="center"/>
          </w:tcPr>
          <w:p>
            <w:pPr>
              <w:spacing w:after="0"/>
            </w:pPr>
            <w:r>
              <w:rPr>
                <w:rFonts w:ascii="Calibri" w:hAnsi="Calibri"/>
                <w:color w:val="000000"/>
                <w:sz w:val="19"/>
              </w:rPr>
              <w:t>Runtime schemas validate keywords, URLs, identifiers, currency codes, configuration shape, and Google response fields.</w:t>
            </w:r>
          </w:p>
        </w:tc>
      </w:tr>
      <w:tr>
        <w:tc>
          <w:tcPr>
            <w:tcW w:type="dxa" w:w="2500"/>
            <w:tcMar>
              <w:top w:w="80" w:type="dxa"/>
              <w:start w:w="120" w:type="dxa"/>
              <w:bottom w:w="80" w:type="dxa"/>
              <w:end w:w="120" w:type="dxa"/>
            </w:tcMar>
            <w:vAlign w:val="center"/>
          </w:tcPr>
          <w:p>
            <w:pPr>
              <w:spacing w:after="0"/>
            </w:pPr>
            <w:r>
              <w:rPr>
                <w:rFonts w:ascii="Calibri" w:hAnsi="Calibri"/>
                <w:color w:val="000000"/>
                <w:sz w:val="19"/>
              </w:rPr>
              <w:t>Response minimization</w:t>
            </w:r>
          </w:p>
        </w:tc>
        <w:tc>
          <w:tcPr>
            <w:tcW w:type="dxa" w:w="6860"/>
            <w:tcMar>
              <w:top w:w="80" w:type="dxa"/>
              <w:start w:w="120" w:type="dxa"/>
              <w:bottom w:w="80" w:type="dxa"/>
              <w:end w:w="120" w:type="dxa"/>
            </w:tcMar>
            <w:vAlign w:val="center"/>
          </w:tcPr>
          <w:p>
            <w:pPr>
              <w:spacing w:after="0"/>
            </w:pPr>
            <w:r>
              <w:rPr>
                <w:rFonts w:ascii="Calibri" w:hAnsi="Calibri"/>
                <w:color w:val="000000"/>
                <w:sz w:val="19"/>
              </w:rPr>
              <w:t>The application maps only the keyword planning fields required by the user interface rather than exposing the full upstream response.</w:t>
            </w:r>
          </w:p>
        </w:tc>
      </w:tr>
      <w:tr>
        <w:tc>
          <w:tcPr>
            <w:tcW w:type="dxa" w:w="2500"/>
            <w:tcMar>
              <w:top w:w="80" w:type="dxa"/>
              <w:start w:w="120" w:type="dxa"/>
              <w:bottom w:w="80" w:type="dxa"/>
              <w:end w:w="120" w:type="dxa"/>
            </w:tcMar>
            <w:vAlign w:val="center"/>
          </w:tcPr>
          <w:p>
            <w:pPr>
              <w:spacing w:after="0"/>
            </w:pPr>
            <w:r>
              <w:rPr>
                <w:rFonts w:ascii="Calibri" w:hAnsi="Calibri"/>
                <w:color w:val="000000"/>
                <w:sz w:val="19"/>
              </w:rPr>
              <w:t>Logging</w:t>
            </w:r>
          </w:p>
        </w:tc>
        <w:tc>
          <w:tcPr>
            <w:tcW w:type="dxa" w:w="6860"/>
            <w:tcMar>
              <w:top w:w="80" w:type="dxa"/>
              <w:start w:w="120" w:type="dxa"/>
              <w:bottom w:w="80" w:type="dxa"/>
              <w:end w:w="120" w:type="dxa"/>
            </w:tcMar>
            <w:vAlign w:val="center"/>
          </w:tcPr>
          <w:p>
            <w:pPr>
              <w:spacing w:after="0"/>
            </w:pPr>
            <w:r>
              <w:rPr>
                <w:rFonts w:ascii="Calibri" w:hAnsi="Calibri"/>
                <w:color w:val="000000"/>
                <w:sz w:val="19"/>
              </w:rPr>
              <w:t>Structured error logs retain status, safe error classification, message, and request ID. Authorization headers and credential values are excluded.</w:t>
            </w:r>
          </w:p>
        </w:tc>
      </w:tr>
      <w:tr>
        <w:tc>
          <w:tcPr>
            <w:tcW w:type="dxa" w:w="2500"/>
            <w:tcMar>
              <w:top w:w="80" w:type="dxa"/>
              <w:start w:w="120" w:type="dxa"/>
              <w:bottom w:w="80" w:type="dxa"/>
              <w:end w:w="120" w:type="dxa"/>
            </w:tcMar>
            <w:vAlign w:val="center"/>
          </w:tcPr>
          <w:p>
            <w:pPr>
              <w:spacing w:after="0"/>
            </w:pPr>
            <w:r>
              <w:rPr>
                <w:rFonts w:ascii="Calibri" w:hAnsi="Calibri"/>
                <w:color w:val="000000"/>
                <w:sz w:val="19"/>
              </w:rPr>
              <w:t>User-visible identifiers</w:t>
            </w:r>
          </w:p>
        </w:tc>
        <w:tc>
          <w:tcPr>
            <w:tcW w:type="dxa" w:w="6860"/>
            <w:tcMar>
              <w:top w:w="80" w:type="dxa"/>
              <w:start w:w="120" w:type="dxa"/>
              <w:bottom w:w="80" w:type="dxa"/>
              <w:end w:w="120" w:type="dxa"/>
            </w:tcMar>
            <w:vAlign w:val="center"/>
          </w:tcPr>
          <w:p>
            <w:pPr>
              <w:spacing w:after="0"/>
            </w:pPr>
            <w:r>
              <w:rPr>
                <w:rFonts w:ascii="Calibri" w:hAnsi="Calibri"/>
                <w:color w:val="000000"/>
                <w:sz w:val="19"/>
              </w:rPr>
              <w:t>The target customer ID is masked in the interface; only the last four digits are shown.</w:t>
            </w:r>
          </w:p>
        </w:tc>
      </w:tr>
    </w:tbl>
    <w:p>
      <w:pPr>
        <w:spacing w:after="0"/>
      </w:pPr>
    </w:p>
    <w:p>
      <w:pPr>
        <w:pStyle w:val="Heading2"/>
      </w:pPr>
      <w:r>
        <w:t>Retention and user control</w:t>
      </w:r>
    </w:p>
    <w:p>
      <w:r>
        <w:t>Keyword ideas and metrics are displayed in response to a user request. OpenSEO does not automatically create permanent records for every API result. A user must select rows and invoke the save action before normalized keyword records are stored in the project database. Project data remains under the control of the deployment owner and authorized users.</w:t>
      </w:r>
    </w:p>
    <w:tbl>
      <w:tblPr>
        <w:tblW w:type="dxa" w:w="9360"/>
        <w:jc w:val="left"/>
        <w:tblLayout w:type="fixed"/>
        <w:tblLook w:firstColumn="1" w:firstRow="1" w:lastColumn="0" w:lastRow="0" w:noHBand="0" w:noVBand="1" w:val="04A0"/>
        <w:tblInd w:w="120" w:type="dxa"/>
      </w:tblPr>
      <w:tblGrid>
        <w:gridCol w:w="9360"/>
      </w:tblGrid>
      <w:tr>
        <w:tc>
          <w:tcPr>
            <w:tcW w:type="dxa" w:w="9360"/>
            <w:shd w:fill="F2F4F7"/>
            <w:tcMar>
              <w:top w:w="80" w:type="dxa"/>
              <w:start w:w="120" w:type="dxa"/>
              <w:bottom w:w="80" w:type="dxa"/>
              <w:end w:w="120" w:type="dxa"/>
            </w:tcMar>
            <w:vAlign w:val="center"/>
          </w:tcPr>
          <w:p>
            <w:pPr>
              <w:spacing w:after="0"/>
            </w:pPr>
            <w:r>
              <w:rPr>
                <w:rFonts w:ascii="Calibri" w:hAnsi="Calibri"/>
                <w:b/>
                <w:color w:val="0B2545"/>
              </w:rPr>
              <w:t xml:space="preserve">No advertising mutations: </w:t>
            </w:r>
            <w:r>
              <w:rPr>
                <w:rFonts w:ascii="Calibri" w:hAnsi="Calibri"/>
                <w:color w:val="0B2545"/>
              </w:rPr>
              <w:t>The integration contains no workflow or API call for campaign management, account creation, user management, billing, payment, conversion tracking, Customer Match, audience creation, or remarketing.</w:t>
            </w:r>
          </w:p>
        </w:tc>
      </w:tr>
    </w:tbl>
    <w:p>
      <w:pPr>
        <w:spacing w:after="0"/>
      </w:pPr>
    </w:p>
    <w:p>
      <w:r>
        <w:br w:type="page"/>
      </w:r>
    </w:p>
    <w:p>
      <w:pPr>
        <w:keepNext/>
        <w:spacing w:before="0" w:after="80"/>
      </w:pPr>
      <w:r>
        <w:rPr>
          <w:rFonts w:ascii="Calibri" w:hAnsi="Calibri"/>
          <w:b/>
          <w:color w:val="2E74B5"/>
          <w:sz w:val="19"/>
        </w:rPr>
        <w:t>SECTION 6</w:t>
      </w:r>
    </w:p>
    <w:p>
      <w:pPr>
        <w:pStyle w:val="Heading1"/>
        <w:spacing w:before="0"/>
      </w:pPr>
      <w:r>
        <w:t>Policy boundaries and operational controls</w:t>
      </w:r>
    </w:p>
    <w:p>
      <w:pPr>
        <w:spacing w:after="240"/>
      </w:pPr>
      <w:r>
        <w:rPr>
          <w:rFonts w:ascii="Calibri" w:hAnsi="Calibri"/>
          <w:color w:val="58616B"/>
          <w:sz w:val="21"/>
        </w:rPr>
        <w:t>Designed for transparent, user-directed keyword research</w:t>
      </w:r>
    </w:p>
    <w:p>
      <w:pPr>
        <w:pStyle w:val="Heading2"/>
      </w:pPr>
      <w:r>
        <w:t>Permitted behavior</w:t>
      </w:r>
    </w:p>
    <w:p>
      <w:pPr>
        <w:numPr>
          <w:ilvl w:val="0"/>
          <w:numId w:val="41"/>
        </w:numPr>
        <w:spacing w:after="160" w:line="280" w:lineRule="auto"/>
      </w:pPr>
      <w:r>
        <w:rPr>
          <w:rFonts w:ascii="Calibri" w:hAnsi="Calibri"/>
          <w:color w:val="000000"/>
        </w:rPr>
        <w:t>Every Google Ads API request is initiated by an authorized user action.</w:t>
      </w:r>
    </w:p>
    <w:p>
      <w:pPr>
        <w:numPr>
          <w:ilvl w:val="0"/>
          <w:numId w:val="41"/>
        </w:numPr>
        <w:spacing w:after="160" w:line="280" w:lineRule="auto"/>
      </w:pPr>
      <w:r>
        <w:rPr>
          <w:rFonts w:ascii="Calibri" w:hAnsi="Calibri"/>
          <w:color w:val="000000"/>
        </w:rPr>
        <w:t>The purpose is limited to keyword research, recommendations, and historical planning metrics.</w:t>
      </w:r>
    </w:p>
    <w:p>
      <w:pPr>
        <w:numPr>
          <w:ilvl w:val="0"/>
          <w:numId w:val="41"/>
        </w:numPr>
        <w:spacing w:after="160" w:line="280" w:lineRule="auto"/>
      </w:pPr>
      <w:r>
        <w:rPr>
          <w:rFonts w:ascii="Calibri" w:hAnsi="Calibri"/>
          <w:color w:val="000000"/>
        </w:rPr>
        <w:t>Results support manual SEO and content-planning decisions; they are not used to impersonate Google or claim guaranteed advertising outcomes.</w:t>
      </w:r>
    </w:p>
    <w:p>
      <w:pPr>
        <w:numPr>
          <w:ilvl w:val="0"/>
          <w:numId w:val="41"/>
        </w:numPr>
        <w:spacing w:after="160" w:line="280" w:lineRule="auto"/>
      </w:pPr>
      <w:r>
        <w:rPr>
          <w:rFonts w:ascii="Calibri" w:hAnsi="Calibri"/>
          <w:color w:val="000000"/>
        </w:rPr>
        <w:t>Google Ads data is labeled by source and presented with the configured market and currency context.</w:t>
      </w:r>
    </w:p>
    <w:p>
      <w:pPr>
        <w:numPr>
          <w:ilvl w:val="0"/>
          <w:numId w:val="41"/>
        </w:numPr>
        <w:spacing w:after="160" w:line="280" w:lineRule="auto"/>
      </w:pPr>
      <w:r>
        <w:rPr>
          <w:rFonts w:ascii="Calibri" w:hAnsi="Calibri"/>
          <w:color w:val="000000"/>
        </w:rPr>
        <w:t>The application respects Google API errors, quota responses, token revocation, and access-level restrictions.</w:t>
      </w:r>
    </w:p>
    <w:p>
      <w:pPr>
        <w:pStyle w:val="Heading2"/>
      </w:pPr>
      <w:r>
        <w:t>Explicitly out of scope</w:t>
      </w:r>
    </w:p>
    <w:p>
      <w:pPr>
        <w:numPr>
          <w:ilvl w:val="0"/>
          <w:numId w:val="41"/>
        </w:numPr>
        <w:spacing w:after="160" w:line="280" w:lineRule="auto"/>
      </w:pPr>
      <w:r>
        <w:rPr>
          <w:rFonts w:ascii="Calibri" w:hAnsi="Calibri"/>
          <w:color w:val="000000"/>
        </w:rPr>
        <w:t>Automated campaign, ad, budget, bidding, billing, or account changes</w:t>
      </w:r>
    </w:p>
    <w:p>
      <w:pPr>
        <w:numPr>
          <w:ilvl w:val="0"/>
          <w:numId w:val="41"/>
        </w:numPr>
        <w:spacing w:after="160" w:line="280" w:lineRule="auto"/>
      </w:pPr>
      <w:r>
        <w:rPr>
          <w:rFonts w:ascii="Calibri" w:hAnsi="Calibri"/>
          <w:color w:val="000000"/>
        </w:rPr>
        <w:t>User invitations or Google Ads account access management</w:t>
      </w:r>
    </w:p>
    <w:p>
      <w:pPr>
        <w:numPr>
          <w:ilvl w:val="0"/>
          <w:numId w:val="41"/>
        </w:numPr>
        <w:spacing w:after="160" w:line="280" w:lineRule="auto"/>
      </w:pPr>
      <w:r>
        <w:rPr>
          <w:rFonts w:ascii="Calibri" w:hAnsi="Calibri"/>
          <w:color w:val="000000"/>
        </w:rPr>
        <w:t>App conversion tracking, offline conversions, Customer Match, or remarketing</w:t>
      </w:r>
    </w:p>
    <w:p>
      <w:pPr>
        <w:numPr>
          <w:ilvl w:val="0"/>
          <w:numId w:val="41"/>
        </w:numPr>
        <w:spacing w:after="160" w:line="280" w:lineRule="auto"/>
      </w:pPr>
      <w:r>
        <w:rPr>
          <w:rFonts w:ascii="Calibri" w:hAnsi="Calibri"/>
          <w:color w:val="000000"/>
        </w:rPr>
        <w:t>Resale, sublicensing, publication, or distribution of the developer token</w:t>
      </w:r>
    </w:p>
    <w:p>
      <w:pPr>
        <w:numPr>
          <w:ilvl w:val="0"/>
          <w:numId w:val="41"/>
        </w:numPr>
        <w:spacing w:after="160" w:line="280" w:lineRule="auto"/>
      </w:pPr>
      <w:r>
        <w:rPr>
          <w:rFonts w:ascii="Calibri" w:hAnsi="Calibri"/>
          <w:color w:val="000000"/>
        </w:rPr>
        <w:t>Providing unrelated third parties with direct or indirect credential access</w:t>
      </w:r>
    </w:p>
    <w:p>
      <w:pPr>
        <w:numPr>
          <w:ilvl w:val="0"/>
          <w:numId w:val="41"/>
        </w:numPr>
        <w:spacing w:after="160" w:line="280" w:lineRule="auto"/>
      </w:pPr>
      <w:r>
        <w:rPr>
          <w:rFonts w:ascii="Calibri" w:hAnsi="Calibri"/>
          <w:color w:val="000000"/>
        </w:rPr>
        <w:t>Bulk scraping or unattended harvesting of Google Ads data</w:t>
      </w:r>
    </w:p>
    <w:p>
      <w:pPr>
        <w:pStyle w:val="Heading2"/>
      </w:pPr>
      <w:r>
        <w:t>Monitoring and incident response</w:t>
      </w:r>
    </w:p>
    <w:p>
      <w:r>
        <w:t>The deployment owner monitors structured Worker logs and Google Ads API responses. If a credential is suspected to be exposed, it is rotated or revoked and the Worker secret is updated. Authentication failures, expired grants, quota limits, permission errors, malformed responses, and upstream availability failures are handled as explicit error categories.</w:t>
      </w:r>
    </w:p>
    <w:tbl>
      <w:tblPr>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0"/>
            </w:pPr>
            <w:r>
              <w:rPr>
                <w:rFonts w:ascii="Calibri" w:hAnsi="Calibri"/>
                <w:b/>
                <w:color w:val="0B2545"/>
              </w:rPr>
              <w:t xml:space="preserve">Access request: </w:t>
            </w:r>
            <w:r>
              <w:rPr>
                <w:rFonts w:ascii="Calibri" w:hAnsi="Calibri"/>
                <w:color w:val="0B2545"/>
              </w:rPr>
              <w:t>Basic Access is requested because KeywordPlanIdeaService planning methods are restricted under Explorer Access. The requested scope does not require unlimited Standard Access operations.</w:t>
            </w:r>
          </w:p>
        </w:tc>
      </w:tr>
    </w:tbl>
    <w:p>
      <w:pPr>
        <w:spacing w:after="0"/>
      </w:pPr>
    </w:p>
    <w:p>
      <w:r>
        <w:br w:type="page"/>
      </w:r>
    </w:p>
    <w:p>
      <w:pPr>
        <w:keepNext/>
        <w:spacing w:before="0" w:after="80"/>
      </w:pPr>
      <w:r>
        <w:rPr>
          <w:rFonts w:ascii="Calibri" w:hAnsi="Calibri"/>
          <w:b/>
          <w:color w:val="2E74B5"/>
          <w:sz w:val="19"/>
        </w:rPr>
        <w:t>APPENDIX</w:t>
      </w:r>
    </w:p>
    <w:p>
      <w:pPr>
        <w:pStyle w:val="Heading1"/>
        <w:spacing w:before="0"/>
      </w:pPr>
      <w:r>
        <w:t>Technical inventory and reviewer references</w:t>
      </w:r>
    </w:p>
    <w:p>
      <w:pPr>
        <w:spacing w:after="240"/>
      </w:pPr>
      <w:r>
        <w:rPr>
          <w:rFonts w:ascii="Calibri" w:hAnsi="Calibri"/>
          <w:color w:val="58616B"/>
          <w:sz w:val="21"/>
        </w:rPr>
        <w:t>Endpoints, configuration categories, and official documentation</w:t>
      </w:r>
    </w:p>
    <w:p>
      <w:pPr>
        <w:pStyle w:val="Heading2"/>
      </w:pPr>
      <w:r>
        <w:t>External endpoints used</w:t>
      </w:r>
    </w:p>
    <w:tbl>
      <w:tblPr>
        <w:tblStyle w:val="TableGrid"/>
        <w:tblW w:type="dxa" w:w="9360"/>
        <w:jc w:val="left"/>
        <w:tblLayout w:type="fixed"/>
        <w:tblLook w:firstColumn="1" w:firstRow="1" w:lastColumn="0" w:lastRow="0" w:noHBand="0" w:noVBand="1" w:val="04A0"/>
        <w:tblInd w:w="120" w:type="dxa"/>
      </w:tblPr>
      <w:tblGrid>
        <w:gridCol w:w="4100"/>
        <w:gridCol w:w="1000"/>
        <w:gridCol w:w="4260"/>
      </w:tblGrid>
      <w:tr>
        <w:trPr>
          <w:tblHeader w:val="true"/>
        </w:trPr>
        <w:tc>
          <w:tcPr>
            <w:tcW w:type="dxa" w:w="4100"/>
            <w:shd w:fill="E8EEF5"/>
            <w:tcMar>
              <w:top w:w="80" w:type="dxa"/>
              <w:start w:w="120" w:type="dxa"/>
              <w:bottom w:w="80" w:type="dxa"/>
              <w:end w:w="120" w:type="dxa"/>
            </w:tcMar>
            <w:vAlign w:val="center"/>
          </w:tcPr>
          <w:p>
            <w:pPr>
              <w:spacing w:after="0"/>
            </w:pPr>
            <w:r>
              <w:rPr>
                <w:rFonts w:ascii="Calibri" w:hAnsi="Calibri"/>
                <w:b/>
                <w:color w:val="0B2545"/>
                <w:sz w:val="20"/>
              </w:rPr>
              <w:t>Endpoint / service</w:t>
            </w:r>
          </w:p>
        </w:tc>
        <w:tc>
          <w:tcPr>
            <w:tcW w:type="dxa" w:w="1000"/>
            <w:shd w:fill="E8EEF5"/>
            <w:tcMar>
              <w:top w:w="80" w:type="dxa"/>
              <w:start w:w="120" w:type="dxa"/>
              <w:bottom w:w="80" w:type="dxa"/>
              <w:end w:w="120" w:type="dxa"/>
            </w:tcMar>
            <w:vAlign w:val="center"/>
          </w:tcPr>
          <w:p>
            <w:pPr>
              <w:spacing w:after="0"/>
            </w:pPr>
            <w:r>
              <w:rPr>
                <w:rFonts w:ascii="Calibri" w:hAnsi="Calibri"/>
                <w:b/>
                <w:color w:val="0B2545"/>
                <w:sz w:val="20"/>
              </w:rPr>
              <w:t>Method</w:t>
            </w:r>
          </w:p>
        </w:tc>
        <w:tc>
          <w:tcPr>
            <w:tcW w:type="dxa" w:w="4260"/>
            <w:shd w:fill="E8EEF5"/>
            <w:tcMar>
              <w:top w:w="80" w:type="dxa"/>
              <w:start w:w="120" w:type="dxa"/>
              <w:bottom w:w="80" w:type="dxa"/>
              <w:end w:w="120" w:type="dxa"/>
            </w:tcMar>
            <w:vAlign w:val="center"/>
          </w:tcPr>
          <w:p>
            <w:pPr>
              <w:spacing w:after="0"/>
            </w:pPr>
            <w:r>
              <w:rPr>
                <w:rFonts w:ascii="Calibri" w:hAnsi="Calibri"/>
                <w:b/>
                <w:color w:val="0B2545"/>
                <w:sz w:val="20"/>
              </w:rPr>
              <w:t>Purpose</w:t>
            </w:r>
          </w:p>
        </w:tc>
      </w:tr>
      <w:tr>
        <w:tc>
          <w:tcPr>
            <w:tcW w:type="dxa" w:w="4100"/>
            <w:tcMar>
              <w:top w:w="80" w:type="dxa"/>
              <w:start w:w="120" w:type="dxa"/>
              <w:bottom w:w="80" w:type="dxa"/>
              <w:end w:w="120" w:type="dxa"/>
            </w:tcMar>
            <w:vAlign w:val="center"/>
          </w:tcPr>
          <w:p>
            <w:pPr>
              <w:spacing w:after="0"/>
            </w:pPr>
            <w:r>
              <w:rPr>
                <w:rFonts w:ascii="Calibri" w:hAnsi="Calibri"/>
                <w:color w:val="000000"/>
                <w:sz w:val="19"/>
              </w:rPr>
              <w:t>https://oauth2.googleapis.com/token</w:t>
            </w:r>
          </w:p>
        </w:tc>
        <w:tc>
          <w:tcPr>
            <w:tcW w:type="dxa" w:w="1000"/>
            <w:tcMar>
              <w:top w:w="80" w:type="dxa"/>
              <w:start w:w="120" w:type="dxa"/>
              <w:bottom w:w="80" w:type="dxa"/>
              <w:end w:w="120" w:type="dxa"/>
            </w:tcMar>
            <w:vAlign w:val="center"/>
          </w:tcPr>
          <w:p>
            <w:pPr>
              <w:spacing w:after="0"/>
            </w:pPr>
            <w:r>
              <w:rPr>
                <w:rFonts w:ascii="Calibri" w:hAnsi="Calibri"/>
                <w:color w:val="000000"/>
                <w:sz w:val="19"/>
              </w:rPr>
              <w:t>POST</w:t>
            </w:r>
          </w:p>
        </w:tc>
        <w:tc>
          <w:tcPr>
            <w:tcW w:type="dxa" w:w="4260"/>
            <w:tcMar>
              <w:top w:w="80" w:type="dxa"/>
              <w:start w:w="120" w:type="dxa"/>
              <w:bottom w:w="80" w:type="dxa"/>
              <w:end w:w="120" w:type="dxa"/>
            </w:tcMar>
            <w:vAlign w:val="center"/>
          </w:tcPr>
          <w:p>
            <w:pPr>
              <w:spacing w:after="0"/>
            </w:pPr>
            <w:r>
              <w:rPr>
                <w:rFonts w:ascii="Calibri" w:hAnsi="Calibri"/>
                <w:color w:val="000000"/>
                <w:sz w:val="19"/>
              </w:rPr>
              <w:t>Exchange the server-held refresh token for a short-lived OAuth access token</w:t>
            </w:r>
          </w:p>
        </w:tc>
      </w:tr>
      <w:tr>
        <w:tc>
          <w:tcPr>
            <w:tcW w:type="dxa" w:w="4100"/>
            <w:tcMar>
              <w:top w:w="80" w:type="dxa"/>
              <w:start w:w="120" w:type="dxa"/>
              <w:bottom w:w="80" w:type="dxa"/>
              <w:end w:w="120" w:type="dxa"/>
            </w:tcMar>
            <w:vAlign w:val="center"/>
          </w:tcPr>
          <w:p>
            <w:pPr>
              <w:spacing w:after="0"/>
            </w:pPr>
            <w:r>
              <w:rPr>
                <w:rFonts w:ascii="Calibri" w:hAnsi="Calibri"/>
                <w:color w:val="000000"/>
                <w:sz w:val="19"/>
              </w:rPr>
              <w:t>googleads.googleapis.com/v25/...:generateKeywordIdeas</w:t>
            </w:r>
          </w:p>
        </w:tc>
        <w:tc>
          <w:tcPr>
            <w:tcW w:type="dxa" w:w="1000"/>
            <w:tcMar>
              <w:top w:w="80" w:type="dxa"/>
              <w:start w:w="120" w:type="dxa"/>
              <w:bottom w:w="80" w:type="dxa"/>
              <w:end w:w="120" w:type="dxa"/>
            </w:tcMar>
            <w:vAlign w:val="center"/>
          </w:tcPr>
          <w:p>
            <w:pPr>
              <w:spacing w:after="0"/>
            </w:pPr>
            <w:r>
              <w:rPr>
                <w:rFonts w:ascii="Calibri" w:hAnsi="Calibri"/>
                <w:color w:val="000000"/>
                <w:sz w:val="19"/>
              </w:rPr>
              <w:t>POST</w:t>
            </w:r>
          </w:p>
        </w:tc>
        <w:tc>
          <w:tcPr>
            <w:tcW w:type="dxa" w:w="4260"/>
            <w:tcMar>
              <w:top w:w="80" w:type="dxa"/>
              <w:start w:w="120" w:type="dxa"/>
              <w:bottom w:w="80" w:type="dxa"/>
              <w:end w:w="120" w:type="dxa"/>
            </w:tcMar>
            <w:vAlign w:val="center"/>
          </w:tcPr>
          <w:p>
            <w:pPr>
              <w:spacing w:after="0"/>
            </w:pPr>
            <w:r>
              <w:rPr>
                <w:rFonts w:ascii="Calibri" w:hAnsi="Calibri"/>
                <w:color w:val="000000"/>
                <w:sz w:val="19"/>
              </w:rPr>
              <w:t>Retrieve keyword ideas and associated planning metrics</w:t>
            </w:r>
          </w:p>
        </w:tc>
      </w:tr>
      <w:tr>
        <w:tc>
          <w:tcPr>
            <w:tcW w:type="dxa" w:w="4100"/>
            <w:tcMar>
              <w:top w:w="80" w:type="dxa"/>
              <w:start w:w="120" w:type="dxa"/>
              <w:bottom w:w="80" w:type="dxa"/>
              <w:end w:w="120" w:type="dxa"/>
            </w:tcMar>
            <w:vAlign w:val="center"/>
          </w:tcPr>
          <w:p>
            <w:pPr>
              <w:spacing w:after="0"/>
            </w:pPr>
            <w:r>
              <w:rPr>
                <w:rFonts w:ascii="Calibri" w:hAnsi="Calibri"/>
                <w:color w:val="000000"/>
                <w:sz w:val="19"/>
              </w:rPr>
              <w:t>googleads.googleapis.com/v25/...:generateKeywordHistoricalMetrics</w:t>
            </w:r>
          </w:p>
        </w:tc>
        <w:tc>
          <w:tcPr>
            <w:tcW w:type="dxa" w:w="1000"/>
            <w:tcMar>
              <w:top w:w="80" w:type="dxa"/>
              <w:start w:w="120" w:type="dxa"/>
              <w:bottom w:w="80" w:type="dxa"/>
              <w:end w:w="120" w:type="dxa"/>
            </w:tcMar>
            <w:vAlign w:val="center"/>
          </w:tcPr>
          <w:p>
            <w:pPr>
              <w:spacing w:after="0"/>
            </w:pPr>
            <w:r>
              <w:rPr>
                <w:rFonts w:ascii="Calibri" w:hAnsi="Calibri"/>
                <w:color w:val="000000"/>
                <w:sz w:val="19"/>
              </w:rPr>
              <w:t>POST</w:t>
            </w:r>
          </w:p>
        </w:tc>
        <w:tc>
          <w:tcPr>
            <w:tcW w:type="dxa" w:w="4260"/>
            <w:tcMar>
              <w:top w:w="80" w:type="dxa"/>
              <w:start w:w="120" w:type="dxa"/>
              <w:bottom w:w="80" w:type="dxa"/>
              <w:end w:w="120" w:type="dxa"/>
            </w:tcMar>
            <w:vAlign w:val="center"/>
          </w:tcPr>
          <w:p>
            <w:pPr>
              <w:spacing w:after="0"/>
            </w:pPr>
            <w:r>
              <w:rPr>
                <w:rFonts w:ascii="Calibri" w:hAnsi="Calibri"/>
                <w:color w:val="000000"/>
                <w:sz w:val="19"/>
              </w:rPr>
              <w:t>Retrieve historical search metrics for supplied keywords</w:t>
            </w:r>
          </w:p>
        </w:tc>
      </w:tr>
    </w:tbl>
    <w:p>
      <w:pPr>
        <w:spacing w:after="0"/>
      </w:pPr>
    </w:p>
    <w:p>
      <w:pPr>
        <w:pStyle w:val="Heading2"/>
      </w:pPr>
      <w:r>
        <w:t>Configuration categories</w:t>
      </w:r>
    </w:p>
    <w:tbl>
      <w:tblPr>
        <w:tblStyle w:val="TableGrid"/>
        <w:tblW w:type="dxa" w:w="9360"/>
        <w:jc w:val="left"/>
        <w:tblLayout w:type="fixed"/>
        <w:tblLook w:firstColumn="1" w:firstRow="1" w:lastColumn="0" w:lastRow="0" w:noHBand="0" w:noVBand="1" w:val="04A0"/>
        <w:tblInd w:w="120" w:type="dxa"/>
      </w:tblPr>
      <w:tblGrid>
        <w:gridCol w:w="2200"/>
        <w:gridCol w:w="3300"/>
        <w:gridCol w:w="3860"/>
      </w:tblGrid>
      <w:tr>
        <w:trPr>
          <w:tblHeader w:val="true"/>
        </w:trPr>
        <w:tc>
          <w:tcPr>
            <w:tcW w:type="dxa" w:w="2200"/>
            <w:shd w:fill="E8EEF5"/>
            <w:tcMar>
              <w:top w:w="80" w:type="dxa"/>
              <w:start w:w="120" w:type="dxa"/>
              <w:bottom w:w="80" w:type="dxa"/>
              <w:end w:w="120" w:type="dxa"/>
            </w:tcMar>
            <w:vAlign w:val="center"/>
          </w:tcPr>
          <w:p>
            <w:pPr>
              <w:spacing w:after="0"/>
            </w:pPr>
            <w:r>
              <w:rPr>
                <w:rFonts w:ascii="Calibri" w:hAnsi="Calibri"/>
                <w:b/>
                <w:color w:val="0B2545"/>
                <w:sz w:val="20"/>
              </w:rPr>
              <w:t>Category</w:t>
            </w:r>
          </w:p>
        </w:tc>
        <w:tc>
          <w:tcPr>
            <w:tcW w:type="dxa" w:w="3300"/>
            <w:shd w:fill="E8EEF5"/>
            <w:tcMar>
              <w:top w:w="80" w:type="dxa"/>
              <w:start w:w="120" w:type="dxa"/>
              <w:bottom w:w="80" w:type="dxa"/>
              <w:end w:w="120" w:type="dxa"/>
            </w:tcMar>
            <w:vAlign w:val="center"/>
          </w:tcPr>
          <w:p>
            <w:pPr>
              <w:spacing w:after="0"/>
            </w:pPr>
            <w:r>
              <w:rPr>
                <w:rFonts w:ascii="Calibri" w:hAnsi="Calibri"/>
                <w:b/>
                <w:color w:val="0B2545"/>
                <w:sz w:val="20"/>
              </w:rPr>
              <w:t>Examples</w:t>
            </w:r>
          </w:p>
        </w:tc>
        <w:tc>
          <w:tcPr>
            <w:tcW w:type="dxa" w:w="3860"/>
            <w:shd w:fill="E8EEF5"/>
            <w:tcMar>
              <w:top w:w="80" w:type="dxa"/>
              <w:start w:w="120" w:type="dxa"/>
              <w:bottom w:w="80" w:type="dxa"/>
              <w:end w:w="120" w:type="dxa"/>
            </w:tcMar>
            <w:vAlign w:val="center"/>
          </w:tcPr>
          <w:p>
            <w:pPr>
              <w:spacing w:after="0"/>
            </w:pPr>
            <w:r>
              <w:rPr>
                <w:rFonts w:ascii="Calibri" w:hAnsi="Calibri"/>
                <w:b/>
                <w:color w:val="0B2545"/>
                <w:sz w:val="20"/>
              </w:rPr>
              <w:t>Location</w:t>
            </w:r>
          </w:p>
        </w:tc>
      </w:tr>
      <w:tr>
        <w:tc>
          <w:tcPr>
            <w:tcW w:type="dxa" w:w="2200"/>
            <w:tcMar>
              <w:top w:w="80" w:type="dxa"/>
              <w:start w:w="120" w:type="dxa"/>
              <w:bottom w:w="80" w:type="dxa"/>
              <w:end w:w="120" w:type="dxa"/>
            </w:tcMar>
            <w:vAlign w:val="center"/>
          </w:tcPr>
          <w:p>
            <w:pPr>
              <w:spacing w:after="0"/>
            </w:pPr>
            <w:r>
              <w:rPr>
                <w:rFonts w:ascii="Calibri" w:hAnsi="Calibri"/>
                <w:color w:val="000000"/>
                <w:sz w:val="19"/>
              </w:rPr>
              <w:t>OAuth application</w:t>
            </w:r>
          </w:p>
        </w:tc>
        <w:tc>
          <w:tcPr>
            <w:tcW w:type="dxa" w:w="3300"/>
            <w:tcMar>
              <w:top w:w="80" w:type="dxa"/>
              <w:start w:w="120" w:type="dxa"/>
              <w:bottom w:w="80" w:type="dxa"/>
              <w:end w:w="120" w:type="dxa"/>
            </w:tcMar>
            <w:vAlign w:val="center"/>
          </w:tcPr>
          <w:p>
            <w:pPr>
              <w:spacing w:after="0"/>
            </w:pPr>
            <w:r>
              <w:rPr>
                <w:rFonts w:ascii="Calibri" w:hAnsi="Calibri"/>
                <w:color w:val="000000"/>
                <w:sz w:val="19"/>
              </w:rPr>
              <w:t>Client ID and client secret</w:t>
            </w:r>
          </w:p>
        </w:tc>
        <w:tc>
          <w:tcPr>
            <w:tcW w:type="dxa" w:w="3860"/>
            <w:tcMar>
              <w:top w:w="80" w:type="dxa"/>
              <w:start w:w="120" w:type="dxa"/>
              <w:bottom w:w="80" w:type="dxa"/>
              <w:end w:w="120" w:type="dxa"/>
            </w:tcMar>
            <w:vAlign w:val="center"/>
          </w:tcPr>
          <w:p>
            <w:pPr>
              <w:spacing w:after="0"/>
            </w:pPr>
            <w:r>
              <w:rPr>
                <w:rFonts w:ascii="Calibri" w:hAnsi="Calibri"/>
                <w:color w:val="000000"/>
                <w:sz w:val="19"/>
              </w:rPr>
              <w:t>Server runtime; secret value stored in Worker secrets</w:t>
            </w:r>
          </w:p>
        </w:tc>
      </w:tr>
      <w:tr>
        <w:tc>
          <w:tcPr>
            <w:tcW w:type="dxa" w:w="2200"/>
            <w:tcMar>
              <w:top w:w="80" w:type="dxa"/>
              <w:start w:w="120" w:type="dxa"/>
              <w:bottom w:w="80" w:type="dxa"/>
              <w:end w:w="120" w:type="dxa"/>
            </w:tcMar>
            <w:vAlign w:val="center"/>
          </w:tcPr>
          <w:p>
            <w:pPr>
              <w:spacing w:after="0"/>
            </w:pPr>
            <w:r>
              <w:rPr>
                <w:rFonts w:ascii="Calibri" w:hAnsi="Calibri"/>
                <w:color w:val="000000"/>
                <w:sz w:val="19"/>
              </w:rPr>
              <w:t>Google Ads authorization</w:t>
            </w:r>
          </w:p>
        </w:tc>
        <w:tc>
          <w:tcPr>
            <w:tcW w:type="dxa" w:w="3300"/>
            <w:tcMar>
              <w:top w:w="80" w:type="dxa"/>
              <w:start w:w="120" w:type="dxa"/>
              <w:bottom w:w="80" w:type="dxa"/>
              <w:end w:w="120" w:type="dxa"/>
            </w:tcMar>
            <w:vAlign w:val="center"/>
          </w:tcPr>
          <w:p>
            <w:pPr>
              <w:spacing w:after="0"/>
            </w:pPr>
            <w:r>
              <w:rPr>
                <w:rFonts w:ascii="Calibri" w:hAnsi="Calibri"/>
                <w:color w:val="000000"/>
                <w:sz w:val="19"/>
              </w:rPr>
              <w:t>Refresh token and developer token</w:t>
            </w:r>
          </w:p>
        </w:tc>
        <w:tc>
          <w:tcPr>
            <w:tcW w:type="dxa" w:w="3860"/>
            <w:tcMar>
              <w:top w:w="80" w:type="dxa"/>
              <w:start w:w="120" w:type="dxa"/>
              <w:bottom w:w="80" w:type="dxa"/>
              <w:end w:w="120" w:type="dxa"/>
            </w:tcMar>
            <w:vAlign w:val="center"/>
          </w:tcPr>
          <w:p>
            <w:pPr>
              <w:spacing w:after="0"/>
            </w:pPr>
            <w:r>
              <w:rPr>
                <w:rFonts w:ascii="Calibri" w:hAnsi="Calibri"/>
                <w:color w:val="000000"/>
                <w:sz w:val="19"/>
              </w:rPr>
              <w:t>Worker secrets only</w:t>
            </w:r>
          </w:p>
        </w:tc>
      </w:tr>
      <w:tr>
        <w:tc>
          <w:tcPr>
            <w:tcW w:type="dxa" w:w="2200"/>
            <w:tcMar>
              <w:top w:w="80" w:type="dxa"/>
              <w:start w:w="120" w:type="dxa"/>
              <w:bottom w:w="80" w:type="dxa"/>
              <w:end w:w="120" w:type="dxa"/>
            </w:tcMar>
            <w:vAlign w:val="center"/>
          </w:tcPr>
          <w:p>
            <w:pPr>
              <w:spacing w:after="0"/>
            </w:pPr>
            <w:r>
              <w:rPr>
                <w:rFonts w:ascii="Calibri" w:hAnsi="Calibri"/>
                <w:color w:val="000000"/>
                <w:sz w:val="19"/>
              </w:rPr>
              <w:t>Account routing</w:t>
            </w:r>
          </w:p>
        </w:tc>
        <w:tc>
          <w:tcPr>
            <w:tcW w:type="dxa" w:w="3300"/>
            <w:tcMar>
              <w:top w:w="80" w:type="dxa"/>
              <w:start w:w="120" w:type="dxa"/>
              <w:bottom w:w="80" w:type="dxa"/>
              <w:end w:w="120" w:type="dxa"/>
            </w:tcMar>
            <w:vAlign w:val="center"/>
          </w:tcPr>
          <w:p>
            <w:pPr>
              <w:spacing w:after="0"/>
            </w:pPr>
            <w:r>
              <w:rPr>
                <w:rFonts w:ascii="Calibri" w:hAnsi="Calibri"/>
                <w:color w:val="000000"/>
                <w:sz w:val="19"/>
              </w:rPr>
              <w:t>Target customer ID and login customer ID</w:t>
            </w:r>
          </w:p>
        </w:tc>
        <w:tc>
          <w:tcPr>
            <w:tcW w:type="dxa" w:w="3860"/>
            <w:tcMar>
              <w:top w:w="80" w:type="dxa"/>
              <w:start w:w="120" w:type="dxa"/>
              <w:bottom w:w="80" w:type="dxa"/>
              <w:end w:w="120" w:type="dxa"/>
            </w:tcMar>
            <w:vAlign w:val="center"/>
          </w:tcPr>
          <w:p>
            <w:pPr>
              <w:spacing w:after="0"/>
            </w:pPr>
            <w:r>
              <w:rPr>
                <w:rFonts w:ascii="Calibri" w:hAnsi="Calibri"/>
                <w:color w:val="000000"/>
                <w:sz w:val="19"/>
              </w:rPr>
              <w:t>Validated server configuration</w:t>
            </w:r>
          </w:p>
        </w:tc>
      </w:tr>
      <w:tr>
        <w:tc>
          <w:tcPr>
            <w:tcW w:type="dxa" w:w="2200"/>
            <w:tcMar>
              <w:top w:w="80" w:type="dxa"/>
              <w:start w:w="120" w:type="dxa"/>
              <w:bottom w:w="80" w:type="dxa"/>
              <w:end w:w="120" w:type="dxa"/>
            </w:tcMar>
            <w:vAlign w:val="center"/>
          </w:tcPr>
          <w:p>
            <w:pPr>
              <w:spacing w:after="0"/>
            </w:pPr>
            <w:r>
              <w:rPr>
                <w:rFonts w:ascii="Calibri" w:hAnsi="Calibri"/>
                <w:color w:val="000000"/>
                <w:sz w:val="19"/>
              </w:rPr>
              <w:t>Presentation</w:t>
            </w:r>
          </w:p>
        </w:tc>
        <w:tc>
          <w:tcPr>
            <w:tcW w:type="dxa" w:w="3300"/>
            <w:tcMar>
              <w:top w:w="80" w:type="dxa"/>
              <w:start w:w="120" w:type="dxa"/>
              <w:bottom w:w="80" w:type="dxa"/>
              <w:end w:w="120" w:type="dxa"/>
            </w:tcMar>
            <w:vAlign w:val="center"/>
          </w:tcPr>
          <w:p>
            <w:pPr>
              <w:spacing w:after="0"/>
            </w:pPr>
            <w:r>
              <w:rPr>
                <w:rFonts w:ascii="Calibri" w:hAnsi="Calibri"/>
                <w:color w:val="000000"/>
                <w:sz w:val="19"/>
              </w:rPr>
              <w:t>API version and currency code</w:t>
            </w:r>
          </w:p>
        </w:tc>
        <w:tc>
          <w:tcPr>
            <w:tcW w:type="dxa" w:w="3860"/>
            <w:tcMar>
              <w:top w:w="80" w:type="dxa"/>
              <w:start w:w="120" w:type="dxa"/>
              <w:bottom w:w="80" w:type="dxa"/>
              <w:end w:w="120" w:type="dxa"/>
            </w:tcMar>
            <w:vAlign w:val="center"/>
          </w:tcPr>
          <w:p>
            <w:pPr>
              <w:spacing w:after="0"/>
            </w:pPr>
            <w:r>
              <w:rPr>
                <w:rFonts w:ascii="Calibri" w:hAnsi="Calibri"/>
                <w:color w:val="000000"/>
                <w:sz w:val="19"/>
              </w:rPr>
              <w:t>Validated server configuration and masked UI metadata</w:t>
            </w:r>
          </w:p>
        </w:tc>
      </w:tr>
    </w:tbl>
    <w:p>
      <w:pPr>
        <w:spacing w:after="0"/>
      </w:pPr>
    </w:p>
    <w:p>
      <w:pPr>
        <w:pStyle w:val="Heading2"/>
      </w:pPr>
      <w:r>
        <w:t>Official reviewer references</w:t>
      </w:r>
    </w:p>
    <w:p>
      <w:pPr>
        <w:numPr>
          <w:ilvl w:val="0"/>
          <w:numId w:val="41"/>
        </w:numPr>
        <w:spacing w:after="160" w:line="280" w:lineRule="auto"/>
      </w:pPr>
      <w:r>
        <w:rPr>
          <w:rFonts w:ascii="Calibri" w:hAnsi="Calibri"/>
          <w:color w:val="000000"/>
        </w:rPr>
        <w:t>Google Ads API developer token: https://developers.google.com/google-ads/api/docs/api-policy/developer-token</w:t>
      </w:r>
    </w:p>
    <w:p>
      <w:pPr>
        <w:numPr>
          <w:ilvl w:val="0"/>
          <w:numId w:val="41"/>
        </w:numPr>
        <w:spacing w:after="160" w:line="280" w:lineRule="auto"/>
      </w:pPr>
      <w:r>
        <w:rPr>
          <w:rFonts w:ascii="Calibri" w:hAnsi="Calibri"/>
          <w:color w:val="000000"/>
        </w:rPr>
        <w:t>Access levels and permissible use: https://developers.google.com/google-ads/api/docs/api-policy/access-levels</w:t>
      </w:r>
    </w:p>
    <w:p>
      <w:pPr>
        <w:numPr>
          <w:ilvl w:val="0"/>
          <w:numId w:val="41"/>
        </w:numPr>
        <w:spacing w:after="160" w:line="280" w:lineRule="auto"/>
      </w:pPr>
      <w:r>
        <w:rPr>
          <w:rFonts w:ascii="Calibri" w:hAnsi="Calibri"/>
          <w:color w:val="000000"/>
        </w:rPr>
        <w:t>OAuth and REST authorization headers: https://developers.google.com/google-ads/api/rest/auth</w:t>
      </w:r>
    </w:p>
    <w:p>
      <w:pPr>
        <w:numPr>
          <w:ilvl w:val="0"/>
          <w:numId w:val="41"/>
        </w:numPr>
        <w:spacing w:after="160" w:line="280" w:lineRule="auto"/>
      </w:pPr>
      <w:r>
        <w:rPr>
          <w:rFonts w:ascii="Calibri" w:hAnsi="Calibri"/>
          <w:color w:val="000000"/>
        </w:rPr>
        <w:t>Google Ads API call structure: https://developers.google.com/google-ads/api/docs/concepts/call-structure</w:t>
      </w:r>
    </w:p>
    <w:p>
      <w:pPr>
        <w:pStyle w:val="Heading2"/>
      </w:pPr>
      <w:r>
        <w:t>Application contact</w:t>
      </w:r>
    </w:p>
    <w:tbl>
      <w:tblPr>
        <w:tblStyle w:val="TableGrid"/>
        <w:tblW w:type="dxa" w:w="9360"/>
        <w:jc w:val="left"/>
        <w:tblLayout w:type="fixed"/>
        <w:tblLook w:firstColumn="1" w:firstRow="1" w:lastColumn="0" w:lastRow="0" w:noHBand="0" w:noVBand="1" w:val="04A0"/>
        <w:tblInd w:w="120" w:type="dxa"/>
      </w:tblPr>
      <w:tblGrid>
        <w:gridCol w:w="3000"/>
        <w:gridCol w:w="6360"/>
      </w:tblGrid>
      <w:tr>
        <w:tc>
          <w:tcPr>
            <w:tcW w:type="dxa" w:w="3000"/>
            <w:shd w:fill="F2F4F7"/>
            <w:tcMar>
              <w:top w:w="80" w:type="dxa"/>
              <w:start w:w="120" w:type="dxa"/>
              <w:bottom w:w="80" w:type="dxa"/>
              <w:end w:w="120" w:type="dxa"/>
            </w:tcMar>
            <w:vAlign w:val="center"/>
          </w:tcPr>
          <w:p>
            <w:pPr>
              <w:spacing w:after="0"/>
            </w:pPr>
            <w:r>
              <w:rPr>
                <w:rFonts w:ascii="Calibri" w:hAnsi="Calibri"/>
                <w:b/>
                <w:color w:val="0B2545"/>
              </w:rPr>
              <w:t>Contact email</w:t>
            </w:r>
          </w:p>
        </w:tc>
        <w:tc>
          <w:tcPr>
            <w:tcW w:type="dxa" w:w="6360"/>
            <w:tcMar>
              <w:top w:w="80" w:type="dxa"/>
              <w:start w:w="120" w:type="dxa"/>
              <w:bottom w:w="80" w:type="dxa"/>
              <w:end w:w="120" w:type="dxa"/>
            </w:tcMar>
            <w:vAlign w:val="center"/>
          </w:tcPr>
          <w:p>
            <w:pPr>
              <w:spacing w:after="0"/>
            </w:pPr>
            <w:r>
              <w:rPr>
                <w:rFonts w:ascii="Calibri" w:hAnsi="Calibri"/>
                <w:color w:val="000000"/>
              </w:rPr>
              <w:t>rainco2026@gmail.com</w:t>
            </w:r>
          </w:p>
        </w:tc>
      </w:tr>
      <w:tr>
        <w:tc>
          <w:tcPr>
            <w:tcW w:type="dxa" w:w="3000"/>
            <w:shd w:fill="F2F4F7"/>
            <w:tcMar>
              <w:top w:w="80" w:type="dxa"/>
              <w:start w:w="120" w:type="dxa"/>
              <w:bottom w:w="80" w:type="dxa"/>
              <w:end w:w="120" w:type="dxa"/>
            </w:tcMar>
            <w:vAlign w:val="center"/>
          </w:tcPr>
          <w:p>
            <w:pPr>
              <w:spacing w:after="0"/>
            </w:pPr>
            <w:r>
              <w:rPr>
                <w:rFonts w:ascii="Calibri" w:hAnsi="Calibri"/>
                <w:b/>
                <w:color w:val="0B2545"/>
              </w:rPr>
              <w:t>Product website</w:t>
            </w:r>
          </w:p>
        </w:tc>
        <w:tc>
          <w:tcPr>
            <w:tcW w:type="dxa" w:w="6360"/>
            <w:tcMar>
              <w:top w:w="80" w:type="dxa"/>
              <w:start w:w="120" w:type="dxa"/>
              <w:bottom w:w="80" w:type="dxa"/>
              <w:end w:w="120" w:type="dxa"/>
            </w:tcMar>
            <w:vAlign w:val="center"/>
          </w:tcPr>
          <w:p>
            <w:pPr>
              <w:spacing w:after="0"/>
            </w:pPr>
            <w:r>
              <w:rPr>
                <w:rFonts w:ascii="Calibri" w:hAnsi="Calibri"/>
                <w:color w:val="000000"/>
              </w:rPr>
              <w:t>https://openseo.mostee.com</w:t>
            </w:r>
          </w:p>
        </w:tc>
      </w:tr>
      <w:tr>
        <w:tc>
          <w:tcPr>
            <w:tcW w:type="dxa" w:w="3000"/>
            <w:shd w:fill="F2F4F7"/>
            <w:tcMar>
              <w:top w:w="80" w:type="dxa"/>
              <w:start w:w="120" w:type="dxa"/>
              <w:bottom w:w="80" w:type="dxa"/>
              <w:end w:w="120" w:type="dxa"/>
            </w:tcMar>
            <w:vAlign w:val="center"/>
          </w:tcPr>
          <w:p>
            <w:pPr>
              <w:spacing w:after="0"/>
            </w:pPr>
            <w:r>
              <w:rPr>
                <w:rFonts w:ascii="Calibri" w:hAnsi="Calibri"/>
                <w:b/>
                <w:color w:val="0B2545"/>
              </w:rPr>
              <w:t>Production deployment</w:t>
            </w:r>
          </w:p>
        </w:tc>
        <w:tc>
          <w:tcPr>
            <w:tcW w:type="dxa" w:w="6360"/>
            <w:tcMar>
              <w:top w:w="80" w:type="dxa"/>
              <w:start w:w="120" w:type="dxa"/>
              <w:bottom w:w="80" w:type="dxa"/>
              <w:end w:w="120" w:type="dxa"/>
            </w:tcMar>
            <w:vAlign w:val="center"/>
          </w:tcPr>
          <w:p>
            <w:pPr>
              <w:spacing w:after="0"/>
            </w:pPr>
            <w:r>
              <w:rPr>
                <w:rFonts w:ascii="Calibri" w:hAnsi="Calibri"/>
                <w:color w:val="000000"/>
              </w:rPr>
              <w:t>https://openseo.steer.workers.dev</w:t>
            </w:r>
          </w:p>
        </w:tc>
      </w:tr>
      <w:tr>
        <w:tc>
          <w:tcPr>
            <w:tcW w:type="dxa" w:w="3000"/>
            <w:shd w:fill="F2F4F7"/>
            <w:tcMar>
              <w:top w:w="80" w:type="dxa"/>
              <w:start w:w="120" w:type="dxa"/>
              <w:bottom w:w="80" w:type="dxa"/>
              <w:end w:w="120" w:type="dxa"/>
            </w:tcMar>
            <w:vAlign w:val="center"/>
          </w:tcPr>
          <w:p>
            <w:pPr>
              <w:spacing w:after="0"/>
            </w:pPr>
            <w:r>
              <w:rPr>
                <w:rFonts w:ascii="Calibri" w:hAnsi="Calibri"/>
                <w:b/>
                <w:color w:val="0B2545"/>
              </w:rPr>
              <w:t>Requested access</w:t>
            </w:r>
          </w:p>
        </w:tc>
        <w:tc>
          <w:tcPr>
            <w:tcW w:type="dxa" w:w="6360"/>
            <w:tcMar>
              <w:top w:w="80" w:type="dxa"/>
              <w:start w:w="120" w:type="dxa"/>
              <w:bottom w:w="80" w:type="dxa"/>
              <w:end w:w="120" w:type="dxa"/>
            </w:tcMar>
            <w:vAlign w:val="center"/>
          </w:tcPr>
          <w:p>
            <w:pPr>
              <w:spacing w:after="0"/>
            </w:pPr>
            <w:r>
              <w:rPr>
                <w:rFonts w:ascii="Calibri" w:hAnsi="Calibri"/>
                <w:color w:val="000000"/>
              </w:rPr>
              <w:t>Google Ads API Basic Access - Researching keywords and recommendations</w:t>
            </w:r>
          </w:p>
        </w:tc>
      </w:tr>
    </w:tbl>
    <w:p>
      <w:pPr>
        <w:spacing w:after="0"/>
      </w:pPr>
    </w:p>
    <w:p>
      <w:pPr>
        <w:spacing w:before="320"/>
        <w:jc w:val="center"/>
      </w:pPr>
      <w:r>
        <w:rPr>
          <w:rFonts w:ascii="Calibri" w:hAnsi="Calibri"/>
          <w:i/>
          <w:color w:val="58616B"/>
          <w:sz w:val="18"/>
        </w:rPr>
        <w:t>End of document</w:t>
      </w:r>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8616B"/>
        <w:sz w:val="16"/>
      </w:rPr>
      <w:t xml:space="preserve">CONFIDENTIAL APPLICATION DOCUMENT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8616B"/>
        <w:sz w:val="17"/>
      </w:rPr>
      <w:t>OpenSEO | Google Ads API Tool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41">
    <w:multiLevelType w:val="singleLevel"/>
    <w:lvl w:ilvl="0">
      <w:start w:val="1"/>
      <w:numFmt w:val="bullet"/>
      <w:lvlText w:val="•"/>
      <w:suff w:val="tab"/>
      <w:pPr>
        <w:tabs>
          <w:tab w:val="num" w:pos="720"/>
        </w:tabs>
        <w:ind w:left="720" w:hanging="360"/>
        <w:spacing w:after="160" w:line="280" w:lineRule="auto"/>
      </w:pPr>
    </w:lvl>
  </w:abstractNum>
  <w:num w:numId="41">
    <w:abstractNumId w:val="141"/>
  </w:num>
  <w:abstractNum w:abstractNumId="142">
    <w:multiLevelType w:val="singleLevel"/>
    <w:lvl w:ilvl="0">
      <w:start w:val="1"/>
      <w:numFmt w:val="decimal"/>
      <w:lvlText w:val="%1."/>
      <w:suff w:val="tab"/>
      <w:pPr>
        <w:tabs>
          <w:tab w:val="num" w:pos="720"/>
        </w:tabs>
        <w:ind w:left="720" w:hanging="360"/>
        <w:spacing w:after="160" w:line="280" w:lineRule="auto"/>
      </w:pPr>
    </w:lvl>
  </w:abstractNum>
  <w:num w:numId="42">
    <w:abstractNumId w:val="1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color w:val="58616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OpenSEO Google Ads API Tool Design and Compliance Documentation</dc:title>
  <dc:subject>Google Ads API Basic Access application</dc:subject>
  <dc:creator/>
  <cp:keywords>OpenSEO, Google Ads API, Basic Access, Keyword Planner</cp:keywords>
  <dc:description>Contains no credential values or access tokens.</dc:description>
  <cp:lastModifiedBy/>
  <cp:revision>1</cp:revision>
  <dcterms:created xsi:type="dcterms:W3CDTF">2013-12-23T23:15:00Z</dcterms:created>
  <dcterms:modified xsi:type="dcterms:W3CDTF">2013-12-23T23:15:00Z</dcterms:modified>
  <cp:category/>
</cp:coreProperties>
</file>