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sz w:val="36"/>
        </w:rPr>
        <w:t>(주)나린테크 인사팀 업무 매뉴얼 (SOP)</w:t>
      </w:r>
    </w:p>
    <w:p>
      <w:r>
        <w:rPr>
          <w:rFonts w:ascii="맑은 고딕" w:hAnsi="맑은 고딕"/>
        </w:rPr>
        <w:t>문서번호: HR-SOP-001 · 작성 2026-02-15 · 대상: 인사담당 신규 인력 온보딩용</w:t>
      </w:r>
    </w:p>
    <w:p>
      <w:r>
        <w:rPr>
          <w:rFonts w:ascii="맑은 고딕" w:hAnsi="맑은 고딕"/>
          <w:i/>
          <w:color w:val="888888"/>
          <w:sz w:val="18"/>
        </w:rPr>
        <w:t>※ 본 문서는 지식관리 파이프라인 검증용 가상 샘플이다. 실존 기업·인물과 무관하다.</w:t>
      </w:r>
    </w:p>
    <w:p/>
    <w:p>
      <w:r>
        <w:rPr>
          <w:rFonts w:ascii="맑은 고딕" w:hAnsi="맑은 고딕"/>
        </w:rPr>
        <w:t>이 매뉴얼은 인사담당 부서의 반복 업무를 절차화한 것이다. 개별 규정의 상세는 각 규정 문서를 참조하고, 이 문서는 "언제 무엇을 하는가"의 실행 순서에 집중한다.</w:t>
      </w:r>
    </w:p>
    <w:p>
      <w:pPr>
        <w:pStyle w:val="Heading2"/>
      </w:pPr>
      <w:r>
        <w:rPr>
          <w:rFonts w:ascii="맑은 고딕" w:hAnsi="맑은 고딕"/>
          <w:sz w:val="26"/>
        </w:rPr>
        <w:t>1. 반기 평가 운영 타임라인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19"/>
              </w:rPr>
              <w:t>시점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19"/>
              </w:rPr>
              <w:t>작업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19"/>
              </w:rPr>
              <w:t>근거 조문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대상기간 개시일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OKR 확정 마감 공지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지침 제5조 제3항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대상기간 종료 + 1주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자기평가 오픈 공지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지침 제9조 제2항(2024) / 관행상 유지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대상기간 종료 + 3주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1차 평가 마감 확인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지침 제9조 제3항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대상기간 종료 + 4주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2차 평가 마감 확인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지침 제9조 제4항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2차 평가 마감 + 1주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보정회의 일정 조율·개최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지침 제11조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보정회의 종료 + 3일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결과 확정 및 통보 발송 (등급 근거 포함)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지침 제12조 제1항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통보일 + 7일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이의신청 접수 마감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지침 제12조 제2항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접수 마감 + 14일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이의신청 심의 완료·통보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지침 제12조 제3항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결과 확정 익월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연봉 인상·상여 반영 급여 지급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급여규정 제7조·제9조</w:t>
            </w:r>
          </w:p>
        </w:tc>
      </w:tr>
    </w:tbl>
    <w:p>
      <w:pPr>
        <w:pStyle w:val="Heading2"/>
      </w:pPr>
      <w:r>
        <w:rPr>
          <w:rFonts w:ascii="맑은 고딕" w:hAnsi="맑은 고딕"/>
          <w:sz w:val="26"/>
        </w:rPr>
        <w:t>2. 채용 프로세스 체크리스트</w:t>
      </w:r>
    </w:p>
    <w:p>
      <w:pPr>
        <w:pStyle w:val="ListBullet"/>
      </w:pPr>
      <w:r>
        <w:rPr>
          <w:rFonts w:ascii="맑은 고딕" w:hAnsi="맑은 고딕"/>
        </w:rPr>
        <w:t>채용 요청서 접수 — 본부장 승인 확인</w:t>
      </w:r>
    </w:p>
    <w:p>
      <w:pPr>
        <w:pStyle w:val="ListBullet"/>
      </w:pPr>
      <w:r>
        <w:rPr>
          <w:rFonts w:ascii="맑은 고딕" w:hAnsi="맑은 고딕"/>
        </w:rPr>
        <w:t>채용 공고 게시 (사내 채용공고 페이지 + 외부 채널)</w:t>
      </w:r>
    </w:p>
    <w:p>
      <w:pPr>
        <w:pStyle w:val="ListBullet"/>
      </w:pPr>
      <w:r>
        <w:rPr>
          <w:rFonts w:ascii="맑은 고딕" w:hAnsi="맑은 고딕"/>
        </w:rPr>
        <w:t>서류전형 — 접수 마감 후 3영업일 이내 1차 스크리닝</w:t>
      </w:r>
    </w:p>
    <w:p>
      <w:pPr>
        <w:pStyle w:val="ListBullet"/>
      </w:pPr>
      <w:r>
        <w:rPr>
          <w:rFonts w:ascii="맑은 고딕" w:hAnsi="맑은 고딕"/>
        </w:rPr>
        <w:t>직무면접 일정 조율 — 현업 면접관 2인 이상 배정</w:t>
      </w:r>
    </w:p>
    <w:p>
      <w:pPr>
        <w:pStyle w:val="ListBullet"/>
      </w:pPr>
      <w:r>
        <w:rPr>
          <w:rFonts w:ascii="맑은 고딕" w:hAnsi="맑은 고딕"/>
        </w:rPr>
        <w:t>임원면접 — 최종 후보자 대상</w:t>
      </w:r>
    </w:p>
    <w:p>
      <w:pPr>
        <w:pStyle w:val="ListBullet"/>
      </w:pPr>
      <w:r>
        <w:rPr>
          <w:rFonts w:ascii="맑은 고딕" w:hAnsi="맑은 고딕"/>
        </w:rPr>
        <w:t>합격 통보 및 처우 협의 — 「급여규정」 제3조 직급별 범위 내에서 결정</w:t>
      </w:r>
    </w:p>
    <w:p>
      <w:pPr>
        <w:pStyle w:val="ListBullet"/>
      </w:pPr>
      <w:r>
        <w:rPr>
          <w:rFonts w:ascii="맑은 고딕" w:hAnsi="맑은 고딕"/>
        </w:rPr>
        <w:t>근로계약서 작성 — 「표준근로계약서」(HR-FORM-001) 사용</w:t>
      </w:r>
    </w:p>
    <w:p>
      <w:pPr>
        <w:pStyle w:val="ListBullet"/>
      </w:pPr>
      <w:r>
        <w:rPr>
          <w:rFonts w:ascii="맑은 고딕" w:hAnsi="맑은 고딕"/>
        </w:rPr>
        <w:t>입사 D-3 — 장비·계정 신청, 멘토 배정 요청</w:t>
      </w:r>
    </w:p>
    <w:p>
      <w:pPr>
        <w:pStyle w:val="Heading2"/>
      </w:pPr>
      <w:r>
        <w:rPr>
          <w:rFonts w:ascii="맑은 고딕" w:hAnsi="맑은 고딕"/>
          <w:sz w:val="26"/>
        </w:rPr>
        <w:t>3. 온보딩 지원 체크리스트</w:t>
      </w:r>
    </w:p>
    <w:p>
      <w:pPr>
        <w:pStyle w:val="ListBullet"/>
      </w:pPr>
      <w:r>
        <w:rPr>
          <w:rFonts w:ascii="맑은 고딕" w:hAnsi="맑은 고딕"/>
        </w:rPr>
        <w:t>입사 당일 — 오리엔테이션(급여·복리후생·근태 안내)</w:t>
      </w:r>
    </w:p>
    <w:p>
      <w:pPr>
        <w:pStyle w:val="ListBullet"/>
      </w:pPr>
      <w:r>
        <w:rPr>
          <w:rFonts w:ascii="맑은 고딕" w:hAnsi="맑은 고딕"/>
        </w:rPr>
        <w:t>입사 D+3 — 멘토·신규입사자의 30-60-90일 목표 초안 확인</w:t>
      </w:r>
    </w:p>
    <w:p>
      <w:pPr>
        <w:pStyle w:val="ListBullet"/>
      </w:pPr>
      <w:r>
        <w:rPr>
          <w:rFonts w:ascii="맑은 고딕" w:hAnsi="맑은 고딕"/>
        </w:rPr>
        <w:t>입사 30일 — 목표 진행 상황 체크인</w:t>
      </w:r>
    </w:p>
    <w:p>
      <w:pPr>
        <w:pStyle w:val="ListBullet"/>
      </w:pPr>
      <w:r>
        <w:rPr>
          <w:rFonts w:ascii="맑은 고딕" w:hAnsi="맑은 고딕"/>
        </w:rPr>
        <w:t>입사 60일 — 목표 진행 상황 체크인</w:t>
      </w:r>
    </w:p>
    <w:p>
      <w:pPr>
        <w:pStyle w:val="ListBullet"/>
      </w:pPr>
      <w:r>
        <w:rPr>
          <w:rFonts w:ascii="맑은 고딕" w:hAnsi="맑은 고딕"/>
        </w:rPr>
        <w:t>수습종료 D-14 — 수습평가 실시 안내</w:t>
      </w:r>
    </w:p>
    <w:p>
      <w:pPr>
        <w:pStyle w:val="ListBullet"/>
      </w:pPr>
      <w:r>
        <w:rPr>
          <w:rFonts w:ascii="맑은 고딕" w:hAnsi="맑은 고딕"/>
        </w:rPr>
        <w:t>수습종료 D-7 — 수습평가 결과 취합, 필요 시 연장 절차 안내</w:t>
      </w:r>
    </w:p>
    <w:p>
      <w:pPr>
        <w:pStyle w:val="ListBullet"/>
      </w:pPr>
      <w:r>
        <w:rPr>
          <w:rFonts w:ascii="맑은 고딕" w:hAnsi="맑은 고딕"/>
        </w:rPr>
        <w:t>수습종료일 — 정규 전환 통보 또는 연장·미전환 사유 서면 통지</w:t>
      </w:r>
    </w:p>
    <w:p>
      <w:pPr>
        <w:pStyle w:val="Heading2"/>
      </w:pPr>
      <w:r>
        <w:rPr>
          <w:rFonts w:ascii="맑은 고딕" w:hAnsi="맑은 고딕"/>
          <w:sz w:val="26"/>
        </w:rPr>
        <w:t>4. 퇴사(오프보딩) 체크리스트</w:t>
      </w:r>
    </w:p>
    <w:p>
      <w:pPr>
        <w:pStyle w:val="ListBullet"/>
      </w:pPr>
      <w:r>
        <w:rPr>
          <w:rFonts w:ascii="맑은 고딕" w:hAnsi="맑은 고딕"/>
        </w:rPr>
        <w:t>퇴사 통보 접수 — 사유 구분(자발/비자발) 기록</w:t>
      </w:r>
    </w:p>
    <w:p>
      <w:pPr>
        <w:pStyle w:val="ListBullet"/>
      </w:pPr>
      <w:r>
        <w:rPr>
          <w:rFonts w:ascii="맑은 고딕" w:hAnsi="맑은 고딕"/>
        </w:rPr>
        <w:t>인수인계 계획서 제출 요청 (최소 2주 전)</w:t>
      </w:r>
    </w:p>
    <w:p>
      <w:pPr>
        <w:pStyle w:val="ListBullet"/>
      </w:pPr>
      <w:r>
        <w:rPr>
          <w:rFonts w:ascii="맑은 고딕" w:hAnsi="맑은 고딕"/>
        </w:rPr>
        <w:t>최종 근무일 확인 및 급여·연차 정산 계산</w:t>
      </w:r>
    </w:p>
    <w:p>
      <w:pPr>
        <w:pStyle w:val="ListBullet"/>
      </w:pPr>
      <w:r>
        <w:rPr>
          <w:rFonts w:ascii="맑은 고딕" w:hAnsi="맑은 고딕"/>
        </w:rPr>
        <w:t>계정·장비 회수 일정 조율</w:t>
      </w:r>
    </w:p>
    <w:p>
      <w:pPr>
        <w:pStyle w:val="ListBullet"/>
      </w:pPr>
      <w:r>
        <w:rPr>
          <w:rFonts w:ascii="맑은 고딕" w:hAnsi="맑은 고딕"/>
        </w:rPr>
        <w:t>퇴직금 산정 — 근로자퇴직급여보장법 기준 (급여규정 제12조)</w:t>
      </w:r>
    </w:p>
    <w:p>
      <w:pPr>
        <w:pStyle w:val="ListBullet"/>
      </w:pPr>
      <w:r>
        <w:rPr>
          <w:rFonts w:ascii="맑은 고딕" w:hAnsi="맑은 고딕"/>
        </w:rPr>
        <w:t>퇴사 사유 분류 결과를 분기 채용·이직 리포트에 반영</w:t>
      </w:r>
    </w:p>
    <w:p>
      <w:pPr>
        <w:pStyle w:val="Heading2"/>
      </w:pPr>
      <w:r>
        <w:rPr>
          <w:rFonts w:ascii="맑은 고딕" w:hAnsi="맑은 고딕"/>
          <w:sz w:val="26"/>
        </w:rPr>
        <w:t>5. 문서 체계 한눈에 보기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19"/>
              </w:rPr>
              <w:t>문서번호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19"/>
              </w:rPr>
              <w:t>문서명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HR-REG-001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인사평가 운영지침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평가 절차·등급·보정회의·이의신청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HR-REG-002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취업규칙 (발췌)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근로시간·채용수습·복무·휴가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HR-REG-003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급여규정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직급·인상률·상여·성과급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HR-REG-004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복무규정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근태·연차·경조사·병가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HR-FORM-001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표준근로계약서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채용 확정자용 계약 템플릿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HR-SOP-001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인사팀 업무 매뉴얼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이 문서 — 실행 절차</w:t>
            </w:r>
          </w:p>
        </w:tc>
      </w:tr>
    </w:tbl>
    <w:p>
      <w:pPr>
        <w:pStyle w:val="Heading2"/>
      </w:pPr>
      <w:r>
        <w:rPr>
          <w:rFonts w:ascii="맑은 고딕" w:hAnsi="맑은 고딕"/>
          <w:sz w:val="26"/>
        </w:rPr>
        <w:t>6. 자주 참조하는 산출물</w:t>
      </w:r>
    </w:p>
    <w:p>
      <w:pPr>
        <w:pStyle w:val="ListBullet"/>
      </w:pPr>
      <w:r>
        <w:rPr>
          <w:rFonts w:ascii="맑은 고딕" w:hAnsi="맑은 고딕"/>
        </w:rPr>
        <w:t>반기 인사평가 결과 리포트 — 평가 차수 종료 후 인사위원회 보고용</w:t>
      </w:r>
    </w:p>
    <w:p>
      <w:pPr>
        <w:pStyle w:val="ListBullet"/>
      </w:pPr>
      <w:r>
        <w:rPr>
          <w:rFonts w:ascii="맑은 고딕" w:hAnsi="맑은 고딕"/>
        </w:rPr>
        <w:t>연간 인사운영 보고서 — 연 1회, 익년 초 작성</w:t>
      </w:r>
    </w:p>
    <w:p>
      <w:pPr>
        <w:pStyle w:val="ListBullet"/>
      </w:pPr>
      <w:r>
        <w:rPr>
          <w:rFonts w:ascii="맑은 고딕" w:hAnsi="맑은 고딕"/>
        </w:rPr>
        <w:t>분기 채용·이직 리포트 — 매 분기 종료 후 작성</w:t>
      </w:r>
    </w:p>
    <w:p>
      <w:pPr>
        <w:pStyle w:val="ListBullet"/>
      </w:pPr>
      <w:r>
        <w:rPr>
          <w:rFonts w:ascii="맑은 고딕" w:hAnsi="맑은 고딕"/>
        </w:rPr>
        <w:t>인사위원회 회의록 — 안건별 결정 사항의 유일한 근거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