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REGULAMENT DE DESFĂȘURARE 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CAMPIONATULUI NAȚIONAL DE PERECHI MIXTE FAZA DE CALIFICĂRI</w:t>
      </w:r>
      <w:r w:rsidDel="00000000" w:rsidR="00000000" w:rsidRPr="00000000">
        <w:rPr>
          <w:rtl w:val="0"/>
        </w:rPr>
      </w:r>
    </w:p>
    <w:p w:rsidR="00000000" w:rsidDel="00000000" w:rsidP="00000000" w:rsidRDefault="00000000" w:rsidRPr="00000000" w14:paraId="00000001">
      <w:pPr>
        <w:spacing w:line="240" w:lineRule="auto"/>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EDIȚIA 2018 – 2019</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Concursul de Perechi Mixte din cadrul Festivalului Internațional de la Mamaia 2018 va conta şi ca f</w:t>
      </w:r>
      <w:r w:rsidDel="00000000" w:rsidR="00000000" w:rsidRPr="00000000">
        <w:rPr>
          <w:sz w:val="32"/>
          <w:szCs w:val="32"/>
          <w:rtl w:val="0"/>
        </w:rPr>
        <w:t xml:space="preserve">ază de calificări a Campionatului Național de Perechi Mixte - ediția 2018 - 2019.</w:t>
      </w:r>
    </w:p>
    <w:p w:rsidR="00000000" w:rsidDel="00000000" w:rsidP="00000000" w:rsidRDefault="00000000" w:rsidRPr="00000000" w14:paraId="00000004">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Faza de calificări a C.N. de Perechi Mixte este open şi se va desfășura după Regulamentul şi Programul Specific Festivalului de la Mamaia.</w:t>
      </w:r>
    </w:p>
    <w:p w:rsidR="00000000" w:rsidDel="00000000" w:rsidP="00000000" w:rsidRDefault="00000000" w:rsidRPr="00000000" w14:paraId="00000005">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Obiectivul fazei de calificări este dreptul de a juca în finala C.N. de Perechi Mixte.</w:t>
      </w:r>
    </w:p>
    <w:p w:rsidR="00000000" w:rsidDel="00000000" w:rsidP="00000000" w:rsidRDefault="00000000" w:rsidRPr="00000000" w14:paraId="00000006">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Doar jucătorii sau jucătoarele care sunt membri ai F.R. de Bridge au drept de calificare pentru faza finală.</w:t>
      </w:r>
    </w:p>
    <w:p w:rsidR="00000000" w:rsidDel="00000000" w:rsidP="00000000" w:rsidRDefault="00000000" w:rsidRPr="00000000" w14:paraId="00000007">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Numărul de axe calificate pentru faza finală, care se va desfășura la București în perioada 6-7 Octombrie 2018, va fi de minim 12 axe, în ordinea clasamentului cumulat al fazei de calificări, cu condiția confirmării participării la faza finală până la data de   1.Octombrie.2019.</w:t>
      </w: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Jucătorii/jucătoarele de seria I sau națională au drept de participare direct în finală, cu condiția de a juca cu un partener/parteneră care face parte din Seria 1 sau națională.</w:t>
      </w:r>
    </w:p>
    <w:p w:rsidR="00000000" w:rsidDel="00000000" w:rsidP="00000000" w:rsidRDefault="00000000" w:rsidRPr="00000000" w14:paraId="00000009">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Dacă jucătorii/jucătoarele de serie I sau naționala joacă în cadrul fazei de calificări şi obțin calificarea în finală în condițiile de la art. 5, nu pot juca finala decât cu același partener/parteneră cu care au obținut calificarea în urma fazei de calificări.</w:t>
      </w:r>
    </w:p>
    <w:p w:rsidR="00000000" w:rsidDel="00000000" w:rsidP="00000000" w:rsidRDefault="00000000" w:rsidRPr="00000000" w14:paraId="0000000A">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Dacă jucătorii/jucătoarele de serie I sau naționala joaca în cadrul fazei de calificări şi nu obțin calificarea în finala în condițiile de la art. 5, pot juca finala în condițiile de la art. 6, dar nu cu parteneri/partenere de seria I sau națională care au obținut calificarea în finală în urma fazei de calificări, dar cu alt partener/parteneră.</w:t>
      </w:r>
    </w:p>
    <w:p w:rsidR="00000000" w:rsidDel="00000000" w:rsidP="00000000" w:rsidRDefault="00000000" w:rsidRPr="00000000" w14:paraId="0000000B">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Axele calificate care nu confirmă participarea în condițiile de la art.5 vor fi înlocuite cu axele clasate pe următoarele locuri, în ordinea clasamentului fazei de calificări.</w:t>
      </w:r>
    </w:p>
    <w:p w:rsidR="00000000" w:rsidDel="00000000" w:rsidP="00000000" w:rsidRDefault="00000000" w:rsidRPr="00000000" w14:paraId="0000000C">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În funcție de formatul de desfășurare al fazei finale, impus de numărul de axe cu drept de joc direct în faza finală, se va putea califica şi a 13-a axă, numărul total de axe participante la faza finală fiind stabilit printr-un regulament separat, astfel încât să se evite existenta releelor.</w:t>
      </w:r>
    </w:p>
    <w:p w:rsidR="00000000" w:rsidDel="00000000" w:rsidP="00000000" w:rsidRDefault="00000000" w:rsidRPr="00000000" w14:paraId="0000000D">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Rezultatul fazei de calificări nu are nici o pondere pentru faza finală.</w:t>
      </w:r>
    </w:p>
    <w:p w:rsidR="00000000" w:rsidDel="00000000" w:rsidP="00000000" w:rsidRDefault="00000000" w:rsidRPr="00000000" w14:paraId="0000000E">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În cazul retragerii sau eliminării din concurs a unei axe, toate rezultatele acesteia rămân valabile, indiferent de numărul lor, pentru toate celelalte axe cu care axa în cauza nu s-a mai întâlnit, acordându-se medie plus.</w:t>
      </w:r>
    </w:p>
    <w:p w:rsidR="00000000" w:rsidDel="00000000" w:rsidP="00000000" w:rsidRDefault="00000000" w:rsidRPr="00000000" w14:paraId="0000000F">
      <w:pPr>
        <w:numPr>
          <w:ilvl w:val="0"/>
          <w:numId w:val="1"/>
        </w:numPr>
        <w:spacing w:line="240" w:lineRule="auto"/>
        <w:ind w:left="720" w:hanging="360"/>
        <w:contextualSpacing w:val="1"/>
        <w:jc w:val="both"/>
        <w:rPr>
          <w:sz w:val="32"/>
          <w:szCs w:val="32"/>
        </w:rPr>
      </w:pPr>
      <w:r w:rsidDel="00000000" w:rsidR="00000000" w:rsidRPr="00000000">
        <w:rPr>
          <w:sz w:val="32"/>
          <w:szCs w:val="32"/>
          <w:rtl w:val="0"/>
        </w:rPr>
        <w:t xml:space="preserve">Abaterile disciplinare, retragerile din concurs sau neprezentările vor cădea sub incidenta regulamentelor Comisiei de Disciplină.</w:t>
      </w:r>
    </w:p>
    <w:p w:rsidR="00000000" w:rsidDel="00000000" w:rsidP="00000000" w:rsidRDefault="00000000" w:rsidRPr="00000000" w14:paraId="00000010">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Taxele de participare sunt cele prevazute în Regulamentul de desfășurarea a Festivalului Internațional de Bridge Mamaia 2018.</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Taxa de participare este inclusa în costul abonamentului Festivalului de Bridge de la Mamaia, iar jucătorii care se cazează prin federație în zilele desfășurării concursului vor beneficia de o reducere de 20% la taxa de participare.</w:t>
      </w:r>
    </w:p>
    <w:p w:rsidR="00000000" w:rsidDel="00000000" w:rsidP="00000000" w:rsidRDefault="00000000" w:rsidRPr="00000000" w14:paraId="00000012">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Cluburile au obligația de a face cunoscute în timp util membrilor lor prevederile prezentului regulament.</w:t>
      </w: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contextualSpacing w:val="1"/>
        <w:jc w:val="both"/>
        <w:rPr>
          <w:sz w:val="32"/>
          <w:szCs w:val="32"/>
          <w:u w:val="none"/>
        </w:rPr>
      </w:pPr>
      <w:r w:rsidDel="00000000" w:rsidR="00000000" w:rsidRPr="00000000">
        <w:rPr>
          <w:sz w:val="32"/>
          <w:szCs w:val="32"/>
          <w:rtl w:val="0"/>
        </w:rPr>
        <w:t xml:space="preserve">Prezentele prevederi se completează cu cele cuprinse în regulamentul cadru de desfășurare a competițiilor sub egida F.R.de Bridge.</w:t>
      </w:r>
    </w:p>
    <w:p w:rsidR="00000000" w:rsidDel="00000000" w:rsidP="00000000" w:rsidRDefault="00000000" w:rsidRPr="00000000" w14:paraId="00000014">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15">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tbl>
      <w:tblPr>
        <w:tblStyle w:val="Table1"/>
        <w:tblW w:w="11057.0" w:type="dxa"/>
        <w:jc w:val="left"/>
        <w:tblInd w:w="100.0" w:type="pct"/>
        <w:tblLayout w:type="fixed"/>
        <w:tblLook w:val="0600"/>
      </w:tblPr>
      <w:tblGrid>
        <w:gridCol w:w="5528.5"/>
        <w:gridCol w:w="5528.5"/>
        <w:tblGridChange w:id="0">
          <w:tblGrid>
            <w:gridCol w:w="5528.5"/>
            <w:gridCol w:w="55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C.C.C.E.</w:t>
            </w:r>
          </w:p>
          <w:p w:rsidR="00000000" w:rsidDel="00000000" w:rsidP="00000000" w:rsidRDefault="00000000" w:rsidRPr="00000000" w14:paraId="00000018">
            <w:pPr>
              <w:spacing w:line="240" w:lineRule="auto"/>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PREȘEDINTE</w:t>
            </w:r>
          </w:p>
          <w:p w:rsidR="00000000" w:rsidDel="00000000" w:rsidP="00000000" w:rsidRDefault="00000000" w:rsidRPr="00000000" w14:paraId="00000019">
            <w:pPr>
              <w:spacing w:line="240" w:lineRule="auto"/>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Răzvan SPIRIDONESCU</w:t>
            </w:r>
          </w:p>
        </w:tc>
        <w:tc>
          <w:tcPr>
            <w:tcMar>
              <w:top w:w="100.0" w:type="dxa"/>
              <w:left w:w="100.0" w:type="dxa"/>
              <w:bottom w:w="100.0" w:type="dxa"/>
              <w:right w:w="100.0" w:type="dxa"/>
            </w:tcMar>
            <w:vAlign w:val="top"/>
          </w:tcPr>
          <w:p w:rsidR="00000000" w:rsidDel="00000000" w:rsidP="00000000" w:rsidRDefault="00000000" w:rsidRPr="00000000" w14:paraId="0000001A">
            <w:pPr>
              <w:pStyle w:val="Heading2"/>
              <w:keepLines w:val="0"/>
              <w:spacing w:after="0" w:before="0" w:line="240" w:lineRule="auto"/>
              <w:contextualSpacing w:val="0"/>
              <w:jc w:val="right"/>
              <w:rPr>
                <w:rFonts w:ascii="Times New Roman" w:cs="Times New Roman" w:eastAsia="Times New Roman" w:hAnsi="Times New Roman"/>
                <w:sz w:val="36"/>
                <w:szCs w:val="36"/>
              </w:rPr>
            </w:pPr>
            <w:bookmarkStart w:colFirst="0" w:colLast="0" w:name="_3viuw4z1htpp" w:id="0"/>
            <w:bookmarkEnd w:id="0"/>
            <w:r w:rsidDel="00000000" w:rsidR="00000000" w:rsidRPr="00000000">
              <w:rPr>
                <w:rFonts w:ascii="Times New Roman" w:cs="Times New Roman" w:eastAsia="Times New Roman" w:hAnsi="Times New Roman"/>
                <w:sz w:val="36"/>
                <w:szCs w:val="36"/>
                <w:rtl w:val="0"/>
              </w:rPr>
              <w:t xml:space="preserve">SECRETAR GENERAL</w:t>
            </w:r>
          </w:p>
          <w:p w:rsidR="00000000" w:rsidDel="00000000" w:rsidP="00000000" w:rsidRDefault="00000000" w:rsidRPr="00000000" w14:paraId="0000001B">
            <w:pPr>
              <w:pStyle w:val="Heading2"/>
              <w:keepLines w:val="0"/>
              <w:spacing w:after="0" w:before="0" w:line="240" w:lineRule="auto"/>
              <w:contextualSpacing w:val="0"/>
              <w:jc w:val="right"/>
              <w:rPr>
                <w:rFonts w:ascii="Times New Roman" w:cs="Times New Roman" w:eastAsia="Times New Roman" w:hAnsi="Times New Roman"/>
                <w:sz w:val="36"/>
                <w:szCs w:val="36"/>
              </w:rPr>
            </w:pPr>
            <w:bookmarkStart w:colFirst="0" w:colLast="0" w:name="_n93xz73xjpfc" w:id="1"/>
            <w:bookmarkEnd w:id="1"/>
            <w:r w:rsidDel="00000000" w:rsidR="00000000" w:rsidRPr="00000000">
              <w:rPr>
                <w:rFonts w:ascii="Times New Roman" w:cs="Times New Roman" w:eastAsia="Times New Roman" w:hAnsi="Times New Roman"/>
                <w:sz w:val="36"/>
                <w:szCs w:val="36"/>
                <w:rtl w:val="0"/>
              </w:rPr>
              <w:t xml:space="preserve">       AL  F.  R.  DE  BRIDGE                                                                     Marius      GEORGESCU</w:t>
            </w:r>
          </w:p>
        </w:tc>
      </w:tr>
    </w:tbl>
    <w:p w:rsidR="00000000" w:rsidDel="00000000" w:rsidP="00000000" w:rsidRDefault="00000000" w:rsidRPr="00000000" w14:paraId="0000001C">
      <w:pPr>
        <w:spacing w:line="240" w:lineRule="auto"/>
        <w:contextualSpacing w:val="0"/>
        <w:jc w:val="both"/>
        <w:rPr>
          <w:sz w:val="32"/>
          <w:szCs w:val="32"/>
        </w:rPr>
      </w:pPr>
      <w:r w:rsidDel="00000000" w:rsidR="00000000" w:rsidRPr="00000000">
        <w:rPr>
          <w:rtl w:val="0"/>
        </w:rPr>
      </w:r>
    </w:p>
    <w:p w:rsidR="00000000" w:rsidDel="00000000" w:rsidP="00000000" w:rsidRDefault="00000000" w:rsidRPr="00000000" w14:paraId="0000001D">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240" w:lineRule="auto"/>
        <w:ind w:left="504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shd w:fill="auto" w:val="clear"/>
        <w:spacing w:line="240" w:lineRule="auto"/>
        <w:contextualSpacing w:val="0"/>
        <w:jc w:val="both"/>
        <w:rPr/>
      </w:pPr>
      <w:r w:rsidDel="00000000" w:rsidR="00000000" w:rsidRPr="00000000">
        <w:rPr>
          <w:rtl w:val="0"/>
        </w:rPr>
      </w:r>
    </w:p>
    <w:sectPr>
      <w:headerReference r:id="rId6" w:type="default"/>
      <w:footerReference r:id="rId7" w:type="default"/>
      <w:pgSz w:h="16838" w:w="11906"/>
      <w:pgMar w:bottom="283.46456692913387" w:top="566.9291338582677" w:left="566.9291338582677" w:right="283.4645669291338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jc w:val="right"/>
      <w:rPr/>
    </w:pPr>
    <w:r w:rsidDel="00000000" w:rsidR="00000000" w:rsidRPr="00000000">
      <w:rPr>
        <w:rtl w:val="0"/>
      </w:rPr>
      <w:t xml:space="preserve">Pagina nr.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FEDERAȚIA ROMÂNA DE BRIDGE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36"/>
        <w:szCs w:val="36"/>
        <w:rtl w:val="0"/>
      </w:rPr>
      <w:t xml:space="preserve">COMISIA CENTRALĂ de COMPETIȚII şi EVIDENȚĂ</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Art.%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