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Personalized Voice</w:t>
        <w:br/>
        <w:t>Payment Reminder System</w:t>
      </w:r>
    </w:p>
    <w:p>
      <w:pPr>
        <w:pStyle w:val="Subtitle"/>
      </w:pPr>
      <w:r>
        <w:t>Proposal summary  |  Prototype demonstrated on 16 October 2026</w:t>
      </w:r>
    </w:p>
    <w:p>
      <w:pPr>
        <w:pStyle w:val="Heading1"/>
      </w:pPr>
      <w:r>
        <w:t>Purpose</w:t>
      </w:r>
    </w:p>
    <w:p>
      <w:r>
        <w:t>The proposed system prepares polite, personalized voice reminders and distributes them through a messaging channel. A reusable Python service turns an approved text template into an MP3 recording, while n8n coordinates the workflow. The prototype demonstrates CSV-based email and WhatsApp audio reminders using fictional customer details.</w:t>
      </w:r>
    </w:p>
    <w:p>
      <w:pPr>
        <w:pStyle w:val="Heading1"/>
      </w:pPr>
      <w:r>
        <w:t>How the system works</w:t>
      </w:r>
    </w:p>
    <w:p>
      <w:pPr>
        <w:pStyle w:val="ListNumber"/>
      </w:pPr>
      <w:r>
        <w:t>Read customer records from a CSV file and validate the required information. A future CRM connection can provide the same fields.</w:t>
      </w:r>
    </w:p>
    <w:p>
      <w:pPr>
        <w:pStyle w:val="ListNumber"/>
      </w:pPr>
      <w:r>
        <w:t>Select eligible records and skip duplicate CSV rows. The email workflow also checks durable processing history to prevent repeated reminders.</w:t>
      </w:r>
    </w:p>
    <w:p>
      <w:pPr>
        <w:pStyle w:val="ListNumber"/>
      </w:pPr>
      <w:r>
        <w:t>Fill an approved template with the customer first name, agent name, institution name and optional due date.</w:t>
      </w:r>
    </w:p>
    <w:p>
      <w:pPr>
        <w:pStyle w:val="ListNumber"/>
      </w:pPr>
      <w:r>
        <w:t>Call the FastAPI service, which uses Edge TTS to generate a personalized MP3 recording.</w:t>
      </w:r>
    </w:p>
    <w:p>
      <w:pPr>
        <w:pStyle w:val="ListNumber"/>
      </w:pPr>
      <w:r>
        <w:t>Send the MP3 as an email attachment, or upload and send it as an audio message in the separate WhatsApp test workflow.</w:t>
      </w:r>
    </w:p>
    <w:p>
      <w:pPr>
        <w:pStyle w:val="ListNumber"/>
      </w:pPr>
      <w:r>
        <w:t>Record the outcome. The email workflow maintains durable processing history; the WhatsApp test returns Meta submission results for each manual execution.</w:t>
      </w:r>
    </w:p>
    <w:p>
      <w:pPr>
        <w:pStyle w:val="Heading1"/>
      </w:pPr>
      <w:r>
        <w:t>What the prototype has demonstrated</w:t>
      </w:r>
    </w:p>
    <w:p>
      <w:r>
        <w:t>The email workflow reads multiple fictional CSV records, filters eligibility, generates speech and submits attachments through SMTP. Development recipients are redirected to a configured test inbox. PostgreSQL tracks reminder claims, outcomes and retry eligibility.</w:t>
      </w:r>
    </w:p>
    <w:p>
      <w:r>
        <w:t>The separate WhatsApp workflow creates one recording per eligible CSV customer and routes all messages to a verified test phone. A live test confirmed receipt in WhatsApp. A subsequent CSV preview produced four different recordings and skipped invalid, ineligible and duplicate rows. Sending Hello opens the reply window; execution remains manual.</w:t>
      </w:r>
    </w:p>
    <w:p>
      <w:pPr>
        <w:pStyle w:val="Heading1"/>
      </w:pPr>
      <w:r>
        <w:t>Expected operational value</w:t>
      </w:r>
    </w:p>
    <w:p>
      <w:r>
        <w:t>Approved scripts can be reused consistently, while names and due dates are personalized automatically. Staff can review previews before sending, inspect failures and replace the data source or delivery channel as the system develops. No improvement in collection rates or response rates has yet been measured.</w:t>
      </w:r>
    </w:p>
    <w:p>
      <w:r>
        <w:br w:type="page"/>
      </w:r>
    </w:p>
    <w:p>
      <w:pPr>
        <w:pStyle w:val="Heading1"/>
      </w:pPr>
      <w:r>
        <w:t>Technology stack</w:t>
      </w:r>
    </w:p>
    <w:tbl>
      <w:tblPr>
        <w:tblW w:type="auto" w:w="0"/>
        <w:tblLayout w:type="fixed"/>
        <w:tblLook w:firstColumn="1" w:firstRow="1" w:lastColumn="0" w:lastRow="0" w:noHBand="0" w:noVBand="1" w:val="04A0"/>
      </w:tblPr>
      <w:tblGrid>
        <w:gridCol w:w="4802"/>
        <w:gridCol w:w="4802"/>
      </w:tblGrid>
      <w:tr>
        <w:trPr>
          <w:tblHeader/>
          <w:cantSplit/>
        </w:trPr>
        <w:tc>
          <w:tcPr>
            <w:tcW w:type="dxa" w:w="1944"/>
            <w:shd w:fill="DCE6F1"/>
            <w:tcMar>
              <w:top w:w="90" w:type="dxa"/>
              <w:bottom w:w="90" w:type="dxa"/>
              <w:left w:w="110" w:type="dxa"/>
              <w:right w:w="110" w:type="dxa"/>
            </w:tcMar>
            <w:tcBorders>
              <w:top w:val="single" w:sz="4" w:color="D9D9D9"/>
              <w:left w:val="single" w:sz="4" w:color="D9D9D9"/>
              <w:bottom w:val="single" w:sz="4" w:color="D9D9D9"/>
              <w:right w:val="single" w:sz="4" w:color="D9D9D9"/>
            </w:tcBorders>
          </w:tcPr>
          <w:p>
            <w:pPr>
              <w:spacing w:after="0" w:line="247" w:lineRule="auto"/>
            </w:pPr>
            <w:r>
              <w:rPr>
                <w:b/>
                <w:sz w:val="20"/>
              </w:rPr>
              <w:t>Component</w:t>
            </w:r>
          </w:p>
        </w:tc>
        <w:tc>
          <w:tcPr>
            <w:tcW w:type="dxa" w:w="7661"/>
            <w:shd w:fill="DCE6F1"/>
            <w:tcMar>
              <w:top w:w="90" w:type="dxa"/>
              <w:bottom w:w="90" w:type="dxa"/>
              <w:left w:w="110" w:type="dxa"/>
              <w:right w:w="110" w:type="dxa"/>
            </w:tcMar>
            <w:tcBorders>
              <w:top w:val="single" w:sz="4" w:color="D9D9D9"/>
              <w:left w:val="single" w:sz="4" w:color="D9D9D9"/>
              <w:bottom w:val="single" w:sz="4" w:color="D9D9D9"/>
              <w:right w:val="single" w:sz="4" w:color="D9D9D9"/>
            </w:tcBorders>
          </w:tcPr>
          <w:p>
            <w:pPr>
              <w:spacing w:after="0" w:line="247" w:lineRule="auto"/>
            </w:pPr>
            <w:r>
              <w:rPr>
                <w:b/>
                <w:sz w:val="20"/>
              </w:rPr>
              <w:t>Implementation</w:t>
            </w:r>
          </w:p>
        </w:tc>
      </w:tr>
      <w:tr>
        <w:trPr>
          <w:cantSplit/>
        </w:trPr>
        <w:tc>
          <w:tcPr>
            <w:tcW w:type="dxa" w:w="194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tcPr>
          <w:p>
            <w:pPr>
              <w:spacing w:after="0" w:line="247" w:lineRule="auto"/>
            </w:pPr>
            <w:r>
              <w:rPr>
                <w:sz w:val="20"/>
              </w:rPr>
              <w:t>Orchestration</w:t>
            </w:r>
          </w:p>
        </w:tc>
        <w:tc>
          <w:tcPr>
            <w:tcW w:type="dxa" w:w="7661"/>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tcPr>
          <w:p>
            <w:pPr>
              <w:spacing w:after="0" w:line="247" w:lineRule="auto"/>
            </w:pPr>
            <w:r>
              <w:rPr>
                <w:sz w:val="20"/>
              </w:rPr>
              <w:t>Self-hosted n8n; manual and schedule triggers, CSV parsing, REST calls, binary audio handling and email delivery.</w:t>
            </w:r>
          </w:p>
        </w:tc>
      </w:tr>
      <w:tr>
        <w:trPr>
          <w:cantSplit/>
        </w:trPr>
        <w:tc>
          <w:tcPr>
            <w:tcW w:type="dxa" w:w="1944"/>
            <w:vAlign w:val="center"/>
            <w:shd w:fill="F5F7FA"/>
            <w:tcMar>
              <w:top w:w="90" w:type="dxa"/>
              <w:bottom w:w="90" w:type="dxa"/>
              <w:left w:w="110" w:type="dxa"/>
              <w:right w:w="110" w:type="dxa"/>
            </w:tcMar>
            <w:tcBorders>
              <w:top w:val="single" w:sz="4" w:color="D9D9D9"/>
              <w:left w:val="single" w:sz="4" w:color="D9D9D9"/>
              <w:bottom w:val="single" w:sz="4" w:color="D9D9D9"/>
              <w:right w:val="single" w:sz="4" w:color="D9D9D9"/>
            </w:tcBorders>
          </w:tcPr>
          <w:p>
            <w:pPr>
              <w:spacing w:after="0" w:line="247" w:lineRule="auto"/>
            </w:pPr>
            <w:r>
              <w:rPr>
                <w:sz w:val="20"/>
              </w:rPr>
              <w:t>Backend</w:t>
            </w:r>
          </w:p>
        </w:tc>
        <w:tc>
          <w:tcPr>
            <w:tcW w:type="dxa" w:w="7661"/>
            <w:vAlign w:val="center"/>
            <w:shd w:fill="F5F7FA"/>
            <w:tcMar>
              <w:top w:w="90" w:type="dxa"/>
              <w:bottom w:w="90" w:type="dxa"/>
              <w:left w:w="110" w:type="dxa"/>
              <w:right w:w="110" w:type="dxa"/>
            </w:tcMar>
            <w:tcBorders>
              <w:top w:val="single" w:sz="4" w:color="D9D9D9"/>
              <w:left w:val="single" w:sz="4" w:color="D9D9D9"/>
              <w:bottom w:val="single" w:sz="4" w:color="D9D9D9"/>
              <w:right w:val="single" w:sz="4" w:color="D9D9D9"/>
            </w:tcBorders>
          </w:tcPr>
          <w:p>
            <w:pPr>
              <w:spacing w:after="0" w:line="247" w:lineRule="auto"/>
            </w:pPr>
            <w:r>
              <w:rPr>
                <w:sz w:val="20"/>
              </w:rPr>
              <w:t>Python 3.12, FastAPI, Pydantic and Uvicorn; validated requests, template rendering and authenticated speech endpoint.</w:t>
            </w:r>
          </w:p>
        </w:tc>
      </w:tr>
      <w:tr>
        <w:trPr>
          <w:cantSplit/>
        </w:trPr>
        <w:tc>
          <w:tcPr>
            <w:tcW w:type="dxa" w:w="194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tcPr>
          <w:p>
            <w:pPr>
              <w:spacing w:after="0" w:line="247" w:lineRule="auto"/>
            </w:pPr>
            <w:r>
              <w:rPr>
                <w:sz w:val="20"/>
              </w:rPr>
              <w:t>Speech generation</w:t>
            </w:r>
          </w:p>
        </w:tc>
        <w:tc>
          <w:tcPr>
            <w:tcW w:type="dxa" w:w="7661"/>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tcPr>
          <w:p>
            <w:pPr>
              <w:spacing w:after="0" w:line="247" w:lineRule="auto"/>
            </w:pPr>
            <w:r>
              <w:rPr>
                <w:sz w:val="20"/>
              </w:rPr>
              <w:t>Python edge-tts package accessing Microsoft Edge online speech services; configurable voice, rate and volume.</w:t>
            </w:r>
          </w:p>
        </w:tc>
      </w:tr>
      <w:tr>
        <w:trPr>
          <w:cantSplit/>
        </w:trPr>
        <w:tc>
          <w:tcPr>
            <w:tcW w:type="dxa" w:w="1944"/>
            <w:vAlign w:val="center"/>
            <w:shd w:fill="F5F7FA"/>
            <w:tcMar>
              <w:top w:w="90" w:type="dxa"/>
              <w:bottom w:w="90" w:type="dxa"/>
              <w:left w:w="110" w:type="dxa"/>
              <w:right w:w="110" w:type="dxa"/>
            </w:tcMar>
            <w:tcBorders>
              <w:top w:val="single" w:sz="4" w:color="D9D9D9"/>
              <w:left w:val="single" w:sz="4" w:color="D9D9D9"/>
              <w:bottom w:val="single" w:sz="4" w:color="D9D9D9"/>
              <w:right w:val="single" w:sz="4" w:color="D9D9D9"/>
            </w:tcBorders>
          </w:tcPr>
          <w:p>
            <w:pPr>
              <w:spacing w:after="0" w:line="247" w:lineRule="auto"/>
            </w:pPr>
            <w:r>
              <w:rPr>
                <w:sz w:val="20"/>
              </w:rPr>
              <w:t>Communication</w:t>
            </w:r>
          </w:p>
        </w:tc>
        <w:tc>
          <w:tcPr>
            <w:tcW w:type="dxa" w:w="7661"/>
            <w:vAlign w:val="center"/>
            <w:shd w:fill="F5F7FA"/>
            <w:tcMar>
              <w:top w:w="90" w:type="dxa"/>
              <w:bottom w:w="90" w:type="dxa"/>
              <w:left w:w="110" w:type="dxa"/>
              <w:right w:w="110" w:type="dxa"/>
            </w:tcMar>
            <w:tcBorders>
              <w:top w:val="single" w:sz="4" w:color="D9D9D9"/>
              <w:left w:val="single" w:sz="4" w:color="D9D9D9"/>
              <w:bottom w:val="single" w:sz="4" w:color="D9D9D9"/>
              <w:right w:val="single" w:sz="4" w:color="D9D9D9"/>
            </w:tcBorders>
          </w:tcPr>
          <w:p>
            <w:pPr>
              <w:spacing w:after="0" w:line="247" w:lineRule="auto"/>
            </w:pPr>
            <w:r>
              <w:rPr>
                <w:sz w:val="20"/>
              </w:rPr>
              <w:t>SMTP for email, with Ethereal used for testing; Meta WhatsApp Cloud API for the separate audio demonstration.</w:t>
            </w:r>
          </w:p>
        </w:tc>
      </w:tr>
      <w:tr>
        <w:trPr>
          <w:cantSplit/>
        </w:trPr>
        <w:tc>
          <w:tcPr>
            <w:tcW w:type="dxa" w:w="194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tcPr>
          <w:p>
            <w:pPr>
              <w:spacing w:after="0" w:line="247" w:lineRule="auto"/>
            </w:pPr>
            <w:r>
              <w:rPr>
                <w:sz w:val="20"/>
              </w:rPr>
              <w:t>Data and history</w:t>
            </w:r>
          </w:p>
        </w:tc>
        <w:tc>
          <w:tcPr>
            <w:tcW w:type="dxa" w:w="7661"/>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tcPr>
          <w:p>
            <w:pPr>
              <w:spacing w:after="0" w:line="247" w:lineRule="auto"/>
            </w:pPr>
            <w:r>
              <w:rPr>
                <w:sz w:val="20"/>
              </w:rPr>
              <w:t>CSV mock records and PostgreSQL for the email reminder ledger. n8n stores its configuration in a persistent SQLite volume.</w:t>
            </w:r>
          </w:p>
        </w:tc>
      </w:tr>
      <w:tr>
        <w:trPr>
          <w:cantSplit/>
        </w:trPr>
        <w:tc>
          <w:tcPr>
            <w:tcW w:type="dxa" w:w="1944"/>
            <w:vAlign w:val="center"/>
            <w:shd w:fill="F5F7FA"/>
            <w:tcMar>
              <w:top w:w="90" w:type="dxa"/>
              <w:bottom w:w="90" w:type="dxa"/>
              <w:left w:w="110" w:type="dxa"/>
              <w:right w:w="110" w:type="dxa"/>
            </w:tcMar>
            <w:tcBorders>
              <w:top w:val="single" w:sz="4" w:color="D9D9D9"/>
              <w:left w:val="single" w:sz="4" w:color="D9D9D9"/>
              <w:bottom w:val="single" w:sz="4" w:color="D9D9D9"/>
              <w:right w:val="single" w:sz="4" w:color="D9D9D9"/>
            </w:tcBorders>
          </w:tcPr>
          <w:p>
            <w:pPr>
              <w:spacing w:after="0" w:line="247" w:lineRule="auto"/>
            </w:pPr>
            <w:r>
              <w:rPr>
                <w:sz w:val="20"/>
              </w:rPr>
              <w:t>Deployment</w:t>
            </w:r>
          </w:p>
        </w:tc>
        <w:tc>
          <w:tcPr>
            <w:tcW w:type="dxa" w:w="7661"/>
            <w:vAlign w:val="center"/>
            <w:shd w:fill="F5F7FA"/>
            <w:tcMar>
              <w:top w:w="90" w:type="dxa"/>
              <w:bottom w:w="90" w:type="dxa"/>
              <w:left w:w="110" w:type="dxa"/>
              <w:right w:w="110" w:type="dxa"/>
            </w:tcMar>
            <w:tcBorders>
              <w:top w:val="single" w:sz="4" w:color="D9D9D9"/>
              <w:left w:val="single" w:sz="4" w:color="D9D9D9"/>
              <w:bottom w:val="single" w:sz="4" w:color="D9D9D9"/>
              <w:right w:val="single" w:sz="4" w:color="D9D9D9"/>
            </w:tcBorders>
          </w:tcPr>
          <w:p>
            <w:pPr>
              <w:spacing w:after="0" w:line="247" w:lineRule="auto"/>
            </w:pPr>
            <w:r>
              <w:rPr>
                <w:sz w:val="20"/>
              </w:rPr>
              <w:t>Docker and Docker Compose; internal container networking, health checks and environment-based settings.</w:t>
            </w:r>
          </w:p>
        </w:tc>
      </w:tr>
      <w:tr>
        <w:trPr>
          <w:cantSplit/>
        </w:trPr>
        <w:tc>
          <w:tcPr>
            <w:tcW w:type="dxa" w:w="1944"/>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tcPr>
          <w:p>
            <w:pPr>
              <w:spacing w:after="0" w:line="247" w:lineRule="auto"/>
            </w:pPr>
            <w:r>
              <w:rPr>
                <w:sz w:val="20"/>
              </w:rPr>
              <w:t>Verification</w:t>
            </w:r>
          </w:p>
        </w:tc>
        <w:tc>
          <w:tcPr>
            <w:tcW w:type="dxa" w:w="7661"/>
            <w:vAlign w:val="center"/>
            <w:tcMar>
              <w:top w:w="90" w:type="dxa"/>
              <w:bottom w:w="90" w:type="dxa"/>
              <w:left w:w="110" w:type="dxa"/>
              <w:right w:w="110" w:type="dxa"/>
            </w:tcMar>
            <w:tcBorders>
              <w:top w:val="single" w:sz="4" w:color="D9D9D9"/>
              <w:left w:val="single" w:sz="4" w:color="D9D9D9"/>
              <w:bottom w:val="single" w:sz="4" w:color="D9D9D9"/>
              <w:right w:val="single" w:sz="4" w:color="D9D9D9"/>
            </w:tcBorders>
          </w:tcPr>
          <w:p>
            <w:pPr>
              <w:spacing w:after="0" w:line="247" w:lineRule="auto"/>
            </w:pPr>
            <w:r>
              <w:rPr>
                <w:sz w:val="20"/>
              </w:rPr>
              <w:t>Pytest, mocked external services and actual n8n transport tests; live speech generation and WhatsApp receipt confirmed.</w:t>
            </w:r>
          </w:p>
        </w:tc>
      </w:tr>
    </w:tbl>
    <w:p>
      <w:pPr>
        <w:pStyle w:val="Heading1"/>
      </w:pPr>
      <w:r>
        <w:t>Customizing the spoken message</w:t>
      </w:r>
    </w:p>
    <w:p>
      <w:r>
        <w:t>The spoken script is an editable text template shared by both channels. Supported fields are {first_name}, {agent_name}, {bank_name} and {due_date}. Filipino speech uses English words for dates. Changing the template requires rebuilding the speech service container. No LLM or paid generative AI API is used to compose the script.</w:t>
      </w:r>
    </w:p>
    <w:p>
      <w:pPr>
        <w:pStyle w:val="Heading1"/>
      </w:pPr>
      <w:r>
        <w:t>Scope before production</w:t>
      </w:r>
    </w:p>
    <w:p>
      <w:r>
        <w:t>The WhatsApp demonstration uses a Meta test sender and a verified recipient within the 24-hour reply window. It skips duplicate customer and due-date rows within each CSV batch. Each manual execution is a new batch; durable duplicate tracking across runs, automatic inbound triggers and delivery webhooks remain future work. Provider acceptance does not establish that audio was played.</w:t>
      </w:r>
    </w:p>
    <w:p>
      <w:r>
        <w:t>Production requires recipient consent, opt-out handling, contact-hour rules, privacy and security review, provider terms review and a cost assessment. Edge TTS requires an external online speech service. Meta lists debt collection as a prohibited service; ordinary payment reminders may qualify as utility messages. The actual financial-services use case must be confirmed as eligible before rollout.</w:t>
      </w:r>
    </w:p>
    <w:p>
      <w:r>
        <w:rPr>
          <w:sz w:val="18"/>
        </w:rPr>
        <w:t xml:space="preserve">Policy references: </w:t>
      </w:r>
      <w:hyperlink r:id="rId9">
        <w:r>
          <w:t>WhatsApp Business Messaging Policy</w:t>
        </w:r>
      </w:hyperlink>
      <w:r>
        <w:rPr>
          <w:sz w:val="18"/>
        </w:rPr>
        <w:t xml:space="preserve"> and </w:t>
      </w:r>
      <w:hyperlink r:id="rId10">
        <w:r>
          <w:t>WhatsApp Utility Messages</w:t>
        </w:r>
      </w:hyperlink>
    </w:p>
    <w:sectPr w:rsidR="00FC693F" w:rsidRPr="0006063C" w:rsidSect="00034616">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hatsappbusiness.com/policy/" TargetMode="External"/><Relationship Id="rId10" Type="http://schemas.openxmlformats.org/officeDocument/2006/relationships/hyperlink" Target="https://whatsappbusiness.com/products/conversation-categories/uti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Personalized Voice Payment Reminder System</dc:title>
  <dc:subject>Proposal summary and demonstrated prototype scope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