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ttf" ContentType="application/x-font-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80" w:line="278" w:lineRule="auto"/>
        <w:jc w:val="left"/>
      </w:pPr>
      <w:r>
        <w:rPr>
          <w:rFonts w:ascii="Arial" w:hAnsi="Arial" w:cs="Battambang" w:eastAsia="Battambang"/>
          <w:b/>
          <w:i w:val="0"/>
          <w:color w:val="000000"/>
          <w:sz w:val="44"/>
          <w:iCs w:val="0"/>
        </w:rPr>
        <w:t>Meeting lead guide</w:t>
      </w:r>
    </w:p>
    <w:p>
      <w:pPr>
        <w:spacing w:after="280" w:line="278" w:lineRule="auto"/>
        <w:jc w:val="left"/>
      </w:pPr>
      <w:r>
        <w:rPr>
          <w:rFonts w:ascii="Arial" w:hAnsi="Arial" w:cs="Battambang" w:eastAsia="Battambang"/>
          <w:b w:val="0"/>
          <w:i w:val="0"/>
          <w:color w:val="000000"/>
          <w:sz w:val="22"/>
          <w:iCs w:val="0"/>
        </w:rPr>
        <w:t>17 October 2026  |  15:15–15:45  |  Kvarnvägen 4, 177 64 Järfälla</w:t>
      </w:r>
    </w:p>
    <w:p>
      <w:pPr>
        <w:spacing w:after="240" w:line="278" w:lineRule="auto"/>
      </w:pPr>
      <w:r>
        <w:rPr>
          <w:rFonts w:ascii="Arial" w:hAnsi="Arial" w:cs="Battambang" w:eastAsia="Battambang"/>
          <w:b w:val="0"/>
          <w:i w:val="0"/>
          <w:color w:val="000000"/>
          <w:sz w:val="24"/>
          <w:iCs w:val="0"/>
        </w:rPr>
        <w:t>Working notes for running the meeting. No decisions are recorded in advance.</w:t>
      </w:r>
    </w:p>
    <w:p>
      <w:pPr>
        <w:pStyle w:val="Heading1"/>
        <w:keepNext/>
        <w:spacing w:before="240" w:after="140" w:line="269" w:lineRule="auto"/>
      </w:pPr>
      <w:r>
        <w:rPr>
          <w:rFonts w:ascii="Arial" w:hAnsi="Arial" w:cs="Battambang" w:eastAsia="Battambang"/>
          <w:b/>
          <w:i w:val="0"/>
          <w:color w:val="000000"/>
          <w:sz w:val="30"/>
          <w:iCs w:val="0"/>
        </w:rPr>
        <w:t>Before the meeting</w:t>
      </w:r>
    </w:p>
    <w:p>
      <w:pPr>
        <w:spacing w:after="140" w:line="278" w:lineRule="auto"/>
      </w:pPr>
      <w:r>
        <w:rPr>
          <w:rFonts w:ascii="Arial" w:hAnsi="Arial" w:cs="Battambang" w:eastAsia="Battambang"/>
          <w:b w:val="0"/>
          <w:i w:val="0"/>
          <w:color w:val="000000"/>
          <w:sz w:val="24"/>
          <w:iCs w:val="0"/>
        </w:rPr>
        <w:t>Introduce the assigned officers under item 2: Raingsei Vireak is meeting lead, Alice Yong is secretary, and Reaksa Khoun facilitates the meeting, registers attendance and counts ballots.</w:t>
      </w:r>
    </w:p>
    <w:p>
      <w:pPr>
        <w:spacing w:after="140" w:line="278" w:lineRule="auto"/>
      </w:pPr>
      <w:r>
        <w:rPr>
          <w:rFonts w:ascii="Arial" w:hAnsi="Arial" w:cs="Battambang" w:eastAsia="Battambang"/>
          <w:b w:val="0"/>
          <w:i w:val="0"/>
          <w:color w:val="000000"/>
          <w:sz w:val="24"/>
          <w:iCs w:val="0"/>
        </w:rPr>
        <w:t>Have the issued notice, original proposal and currently adopted statutes available. Record when the notice was sent and the proposal submitted. Keep the original dates.</w:t>
      </w:r>
    </w:p>
    <w:p>
      <w:pPr>
        <w:pStyle w:val="Heading1"/>
        <w:keepNext/>
        <w:spacing w:before="240" w:after="140" w:line="269" w:lineRule="auto"/>
      </w:pPr>
      <w:r>
        <w:rPr>
          <w:rFonts w:ascii="Arial" w:hAnsi="Arial" w:cs="Battambang" w:eastAsia="Battambang"/>
          <w:b/>
          <w:i w:val="0"/>
          <w:color w:val="000000"/>
          <w:sz w:val="30"/>
          <w:iCs w:val="0"/>
        </w:rPr>
        <w:t>Membership and counting votes</w:t>
      </w:r>
    </w:p>
    <w:p>
      <w:pPr>
        <w:spacing w:after="140" w:line="278" w:lineRule="auto"/>
      </w:pPr>
      <w:r>
        <w:rPr>
          <w:rFonts w:ascii="Arial" w:hAnsi="Arial" w:cs="Battambang" w:eastAsia="Battambang"/>
          <w:b w:val="0"/>
          <w:i w:val="0"/>
          <w:color w:val="000000"/>
          <w:sz w:val="24"/>
          <w:iCs w:val="0"/>
        </w:rPr>
        <w:t>The supplied register contains 31 active members: 25 Regular and 6 Board Member. Verify the current membership count and voting rights. The register is a working list until adopted by the meeting.</w:t>
      </w:r>
    </w:p>
    <w:p>
      <w:pPr>
        <w:spacing w:after="140" w:line="278" w:lineRule="auto"/>
      </w:pPr>
      <w:r>
        <w:rPr>
          <w:rFonts w:ascii="Arial" w:hAnsi="Arial" w:cs="Battambang" w:eastAsia="Battambang"/>
          <w:b w:val="0"/>
          <w:i w:val="0"/>
          <w:color w:val="000000"/>
          <w:sz w:val="24"/>
          <w:iCs w:val="0"/>
        </w:rPr>
        <w:t>Under §6.5, extraordinary meeting notice must be sent at least two weeks in advance. Under §6.6, every member has equal voting rights, including board members. Simple majority is the default unless another statute provision states otherwise.</w:t>
      </w:r>
    </w:p>
    <w:p>
      <w:pPr>
        <w:spacing w:after="140" w:line="278" w:lineRule="auto"/>
      </w:pPr>
      <w:r>
        <w:rPr>
          <w:rFonts w:ascii="Arial" w:hAnsi="Arial" w:cs="Battambang" w:eastAsia="Battambang"/>
          <w:b w:val="0"/>
          <w:i w:val="0"/>
          <w:color w:val="000000"/>
          <w:sz w:val="24"/>
          <w:iCs w:val="0"/>
        </w:rPr>
        <w:t>Under §6.7, at least one third of members must be present. Divide the membership count by 3 and round up. If membership remains 31, quorum is 11.</w:t>
      </w:r>
    </w:p>
    <w:p>
      <w:pPr>
        <w:spacing w:after="140" w:line="278" w:lineRule="auto"/>
      </w:pPr>
      <w:r>
        <w:rPr>
          <w:rFonts w:ascii="Arial" w:hAnsi="Arial" w:cs="Battambang" w:eastAsia="Battambang"/>
          <w:b/>
          <w:i w:val="0"/>
          <w:color w:val="000000"/>
          <w:sz w:val="24"/>
          <w:iCs w:val="0"/>
        </w:rPr>
        <w:t>Check the specific amendment provision before voting. Section 6 alone does not confirm a special majority threshold. Record the applicable rule and statute section.</w:t>
      </w:r>
    </w:p>
    <w:p>
      <w:pPr>
        <w:pStyle w:val="Heading1"/>
        <w:keepNext/>
        <w:spacing w:before="240" w:after="140" w:line="269" w:lineRule="auto"/>
      </w:pPr>
      <w:r>
        <w:rPr>
          <w:rFonts w:ascii="Arial" w:hAnsi="Arial" w:cs="Battambang" w:eastAsia="Battambang"/>
          <w:b/>
          <w:i w:val="0"/>
          <w:color w:val="000000"/>
          <w:sz w:val="30"/>
          <w:iCs w:val="0"/>
        </w:rPr>
        <w:t>During and after the meeting</w:t>
      </w:r>
    </w:p>
    <w:p>
      <w:pPr>
        <w:spacing w:after="140" w:line="278" w:lineRule="auto"/>
      </w:pPr>
      <w:r>
        <w:rPr>
          <w:rFonts w:ascii="Arial" w:hAnsi="Arial" w:cs="Battambang" w:eastAsia="Battambang"/>
          <w:b w:val="0"/>
          <w:i w:val="0"/>
          <w:color w:val="000000"/>
          <w:sz w:val="24"/>
          <w:iCs w:val="0"/>
        </w:rPr>
        <w:t>Follow items 1–9. Adopt the voting register and establish quorum. Propose anonymous paper ballots and agree on this method in accordance with the statutes before voting. Read the exact proposed wording of §6.2. Reaksa issues one ballot per verified voting member and marks issuance beside the member’s name on the register. Mark one choice and do not write names on ballots. Count YES, NO and ABSTAIN. Record blank or invalid ballots and members who did not vote separately in the notes. Note changes in attendance. If quorum is absent, record this without pre-entering an amendment decision.</w:t>
      </w:r>
    </w:p>
    <w:p>
      <w:pPr>
        <w:spacing w:after="140" w:line="278" w:lineRule="auto"/>
      </w:pPr>
      <w:r>
        <w:rPr>
          <w:rFonts w:ascii="Arial" w:hAnsi="Arial" w:cs="Battambang" w:eastAsia="Battambang"/>
          <w:b w:val="0"/>
          <w:i w:val="0"/>
          <w:color w:val="000000"/>
          <w:sz w:val="24"/>
          <w:iCs w:val="0"/>
        </w:rPr>
        <w:t>Sign the minutes, attach the adopted voting register and vote count, and update §6.2 only if the proposal is adopted.</w:t>
      </w:r>
    </w:p>
    <w:p>
      <w:pPr>
        <w:pStyle w:val="Heading1"/>
        <w:keepNext/>
        <w:spacing w:before="240" w:after="140" w:line="269" w:lineRule="auto"/>
      </w:pPr>
      <w:r>
        <w:rPr>
          <w:rFonts w:ascii="Arial" w:hAnsi="Arial" w:cs="Battambang" w:eastAsia="Battambang"/>
          <w:b/>
          <w:i w:val="0"/>
          <w:color w:val="000000"/>
          <w:sz w:val="30"/>
          <w:iCs w:val="0"/>
        </w:rPr>
        <w:t>Timing of the first annual meeting</w:t>
      </w:r>
    </w:p>
    <w:p>
      <w:pPr>
        <w:spacing w:after="140" w:line="278" w:lineRule="auto"/>
      </w:pPr>
      <w:r>
        <w:rPr>
          <w:rFonts w:ascii="Arial" w:hAnsi="Arial" w:cs="Battambang" w:eastAsia="Battambang"/>
          <w:b w:val="0"/>
          <w:i w:val="0"/>
          <w:color w:val="000000"/>
          <w:sz w:val="24"/>
          <w:iCs w:val="0"/>
        </w:rPr>
        <w:t>The notice mentions a first annual meeting by 31 March 2027. The proposal only changes the deadline and contains no transitional provision. The first meeting year and any postponement therefore need separate assessment. Do not add a new transitional provision to this proposal.</w:t>
      </w:r>
    </w:p>
    <w:sectPr w:rsidR="00FC693F" w:rsidRPr="0006063C" w:rsidSect="00034616">
      <w:headerReference w:type="default" r:id="rId9"/>
      <w:footerReference w:type="default" r:id="rId10"/>
      <w:pgSz w:w="11906" w:h="16838"/>
      <w:pgMar w:top="1304" w:right="1134" w:bottom="907" w:left="1134" w:header="340" w:footer="397"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ttambang">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Battambang" w:eastAsia="Battambang"/>
        <w:b w:val="0"/>
        <w:i w:val="0"/>
        <w:color w:val="000000"/>
        <w:sz w:val="20"/>
        <w:iCs w:val="0"/>
      </w:rPr>
      <w:t xml:space="preserve">Sahakum Khmer • 17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8" w:color="0D1931"/>
      </w:pBdr>
    </w:pPr>
    <w:r>
      <w:drawing>
        <wp:inline xmlns:a="http://schemas.openxmlformats.org/drawingml/2006/main" xmlns:pic="http://schemas.openxmlformats.org/drawingml/2006/picture">
          <wp:extent cx="1728000" cy="392303"/>
          <wp:docPr id="1" name="Picture 1"/>
          <wp:cNvGraphicFramePr>
            <a:graphicFrameLocks noChangeAspect="1"/>
          </wp:cNvGraphicFramePr>
          <a:graphic>
            <a:graphicData uri="http://schemas.openxmlformats.org/drawingml/2006/picture">
              <pic:pic>
                <pic:nvPicPr>
                  <pic:cNvPr id="0" name="logo_with_text_en.png"/>
                  <pic:cNvPicPr/>
                </pic:nvPicPr>
                <pic:blipFill>
                  <a:blip r:embed="rId1"/>
                  <a:stretch>
                    <a:fillRect/>
                  </a:stretch>
                </pic:blipFill>
                <pic:spPr>
                  <a:xfrm>
                    <a:off x="0" y="0"/>
                    <a:ext cx="1728000" cy="39230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before="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ttambang-regular.ttf"/><Relationship Id="rId2" Type="http://schemas.openxmlformats.org/officeDocument/2006/relationships/font" Target="fonts/Battambang-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Extraordinary general meeting 17 October 2026</dc:subject>
  <dc:creator>Sahakum Khmer</dc:creator>
  <cp:keywords/>
  <dc:description>generated by python-docx</dc:description>
  <cp:lastModifiedBy/>
  <cp:revision>1</cp:revision>
  <dcterms:created xsi:type="dcterms:W3CDTF">2013-12-23T23:15:00Z</dcterms:created>
  <dcterms:modified xsi:type="dcterms:W3CDTF">2013-12-23T23:15:00Z</dcterms:modified>
  <cp:category/>
</cp:coreProperties>
</file>