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both"/>
      </w:pPr>
      <w:r>
        <w:rPr>
          <w:rFonts w:ascii="Times New Roman" w:hAnsi="Times New Roman" w:eastAsia="宋体"/>
          <w:b w:val="0"/>
          <w:color w:val="000000"/>
          <w:sz w:val="21"/>
        </w:rPr>
      </w:r>
    </w:p>
    <w:p>
      <w:pPr>
        <w:spacing w:before="0" w:after="0" w:line="300" w:lineRule="auto"/>
        <w:jc w:val="both"/>
      </w:pPr>
      <w:r>
        <w:rPr>
          <w:rFonts w:ascii="Times New Roman" w:hAnsi="Times New Roman" w:eastAsia="宋体"/>
          <w:b w:val="0"/>
          <w:color w:val="000000"/>
          <w:sz w:val="21"/>
        </w:rPr>
      </w:r>
    </w:p>
    <w:p>
      <w:pPr>
        <w:spacing w:before="0" w:after="240" w:line="300" w:lineRule="auto"/>
        <w:jc w:val="center"/>
      </w:pPr>
      <w:r>
        <w:rPr>
          <w:rFonts w:ascii="Times New Roman" w:hAnsi="Times New Roman" w:eastAsia="黑体"/>
          <w:b/>
          <w:color w:val="000000"/>
          <w:sz w:val="32"/>
        </w:rPr>
        <w:t>《创新创业基础》课程作业</w:t>
      </w:r>
    </w:p>
    <w:p>
      <w:pPr>
        <w:spacing w:before="0" w:after="440" w:line="300" w:lineRule="auto"/>
        <w:jc w:val="center"/>
      </w:pPr>
      <w:r>
        <w:rPr>
          <w:rFonts w:ascii="Times New Roman" w:hAnsi="Times New Roman" w:eastAsia="黑体"/>
          <w:b/>
          <w:color w:val="000000"/>
          <w:sz w:val="44"/>
        </w:rPr>
        <w:t>创 业 计 划 书</w:t>
      </w:r>
    </w:p>
    <w:p>
      <w:pPr>
        <w:spacing w:before="0" w:after="120" w:line="300" w:lineRule="auto"/>
        <w:jc w:val="center"/>
      </w:pPr>
      <w:r>
        <w:rPr>
          <w:rFonts w:ascii="Times New Roman" w:hAnsi="Times New Roman" w:eastAsia="黑体"/>
          <w:b/>
          <w:color w:val="000000"/>
          <w:sz w:val="28"/>
        </w:rPr>
        <w:t>项目名称：智学派（LearnGen）</w:t>
      </w:r>
    </w:p>
    <w:p>
      <w:pPr>
        <w:spacing w:before="0" w:after="480" w:line="300" w:lineRule="auto"/>
        <w:jc w:val="center"/>
      </w:pPr>
      <w:r>
        <w:rPr>
          <w:rFonts w:ascii="Times New Roman" w:hAnsi="Times New Roman" w:eastAsia="宋体"/>
          <w:b w:val="0"/>
          <w:color w:val="000000"/>
          <w:sz w:val="24"/>
        </w:rPr>
        <w:t>AI 驱动的个性化学习辅助平台</w:t>
      </w:r>
    </w:p>
    <w:p>
      <w:pPr>
        <w:spacing w:before="60" w:after="60" w:line="300" w:lineRule="auto"/>
        <w:jc w:val="center"/>
      </w:pPr>
      <w:r>
        <w:rPr>
          <w:rFonts w:ascii="Times New Roman" w:hAnsi="Times New Roman" w:eastAsia="宋体"/>
          <w:b w:val="0"/>
          <w:color w:val="000000"/>
          <w:sz w:val="18"/>
        </w:rPr>
        <w:t>表 1 团队成员信息（提交前填写完整）</w:t>
      </w:r>
    </w:p>
    <w:tbl>
      <w:tblPr>
        <w:tblStyle w:val="TableGrid"/>
        <w:tblW w:type="dxa" w:w="9636"/>
        <w:jc w:val="center"/>
        <w:tblLayout w:type="fixed"/>
        <w:tblLook w:firstColumn="1" w:firstRow="1" w:lastColumn="0" w:lastRow="0" w:noHBand="0" w:noVBand="1" w:val="04A0"/>
      </w:tblPr>
      <w:tblGrid>
        <w:gridCol w:w="2551"/>
        <w:gridCol w:w="2267"/>
        <w:gridCol w:w="1984"/>
        <w:gridCol w:w="2834"/>
      </w:tblGrid>
      <w:tr>
        <w:tc>
          <w:tcPr>
            <w:tcW w:type="dxa" w:w="2551"/>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专业班级</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学号</w:t>
            </w:r>
          </w:p>
        </w:tc>
        <w:tc>
          <w:tcPr>
            <w:tcW w:type="dxa" w:w="198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姓名</w:t>
            </w:r>
          </w:p>
        </w:tc>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联系电话</w:t>
            </w:r>
          </w:p>
        </w:tc>
      </w:tr>
      <w:tr>
        <w:tc>
          <w:tcPr>
            <w:tcW w:type="dxa" w:w="2551"/>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计算机科学与技术</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202483290054</w:t>
            </w:r>
          </w:p>
        </w:tc>
        <w:tc>
          <w:tcPr>
            <w:tcW w:type="dxa" w:w="198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李林浩</w:t>
            </w:r>
          </w:p>
        </w:tc>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13357836327</w:t>
            </w:r>
          </w:p>
        </w:tc>
      </w:tr>
      <w:tr>
        <w:tc>
          <w:tcPr>
            <w:tcW w:type="dxa" w:w="2551"/>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计算机科学与技术</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202483290198</w:t>
            </w:r>
          </w:p>
        </w:tc>
        <w:tc>
          <w:tcPr>
            <w:tcW w:type="dxa" w:w="198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周可名</w:t>
            </w:r>
          </w:p>
        </w:tc>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__________</w:t>
            </w:r>
          </w:p>
        </w:tc>
      </w:tr>
      <w:tr>
        <w:tc>
          <w:tcPr>
            <w:tcW w:type="dxa" w:w="2551"/>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计算机科学与技术</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202483290188</w:t>
            </w:r>
          </w:p>
        </w:tc>
        <w:tc>
          <w:tcPr>
            <w:tcW w:type="dxa" w:w="198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余越</w:t>
            </w:r>
          </w:p>
        </w:tc>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15248138746</w:t>
            </w:r>
          </w:p>
        </w:tc>
      </w:tr>
    </w:tbl>
    <w:p>
      <w:pPr>
        <w:spacing w:before="0" w:after="40" w:line="300" w:lineRule="auto"/>
        <w:jc w:val="both"/>
      </w:pPr>
      <w:r>
        <w:rPr>
          <w:rFonts w:ascii="Times New Roman" w:hAnsi="Times New Roman" w:eastAsia="宋体"/>
          <w:b w:val="0"/>
          <w:color w:val="000000"/>
          <w:sz w:val="21"/>
        </w:rPr>
      </w:r>
    </w:p>
    <w:p>
      <w:pPr>
        <w:spacing w:before="0" w:after="160" w:line="300" w:lineRule="auto"/>
        <w:jc w:val="both"/>
      </w:pPr>
      <w:r>
        <w:rPr>
          <w:rFonts w:ascii="Times New Roman" w:hAnsi="Times New Roman" w:eastAsia="宋体"/>
          <w:b w:val="0"/>
          <w:color w:val="000000"/>
          <w:sz w:val="21"/>
        </w:rPr>
      </w:r>
    </w:p>
    <w:p>
      <w:pPr>
        <w:spacing w:before="0" w:after="60" w:line="300" w:lineRule="auto"/>
        <w:jc w:val="center"/>
      </w:pPr>
      <w:r>
        <w:rPr>
          <w:rFonts w:ascii="Times New Roman" w:hAnsi="Times New Roman" w:eastAsia="宋体"/>
          <w:b w:val="0"/>
          <w:color w:val="000000"/>
          <w:sz w:val="21"/>
        </w:rPr>
        <w:t>团队名称：智学派项目团队</w:t>
      </w:r>
    </w:p>
    <w:p>
      <w:pPr>
        <w:spacing w:before="0" w:after="60" w:line="300" w:lineRule="auto"/>
        <w:jc w:val="center"/>
      </w:pPr>
      <w:r>
        <w:rPr>
          <w:rFonts w:ascii="Times New Roman" w:hAnsi="Times New Roman" w:eastAsia="宋体"/>
          <w:b w:val="0"/>
          <w:color w:val="000000"/>
          <w:sz w:val="21"/>
        </w:rPr>
        <w:t>编制时间：2026 年 6 月</w:t>
      </w:r>
    </w:p>
    <w:p>
      <w:pPr>
        <w:spacing w:before="0" w:after="0" w:line="300" w:lineRule="auto"/>
        <w:jc w:val="both"/>
      </w:pPr>
      <w:r>
        <w:rPr>
          <w:color w:val="000000"/>
        </w:rPr>
      </w:r>
      <w:r>
        <w:rPr>
          <w:rFonts w:ascii="Times New Roman" w:hAnsi="Times New Roman" w:eastAsia="宋体"/>
          <w:b w:val="0"/>
          <w:color w:val="000000"/>
          <w:sz w:val="21"/>
        </w:rPr>
        <w:t>联系人：李林浩    电话：13357836327    电子邮箱：lilinhao5292006@163.com</w:t>
      </w:r>
    </w:p>
    <w:p>
      <w:r>
        <w:rPr>
          <w:color w:val="000000"/>
        </w:rPr>
        <w:br w:type="page"/>
      </w:r>
    </w:p>
    <w:p>
      <w:pPr>
        <w:pStyle w:val="Heading1"/>
        <w:spacing w:before="0" w:after="160" w:line="300" w:lineRule="auto"/>
        <w:jc w:val="center"/>
      </w:pPr>
      <w:r>
        <w:rPr>
          <w:rFonts w:ascii="Times New Roman" w:hAnsi="Times New Roman" w:eastAsia="黑体"/>
          <w:b/>
          <w:color w:val="000000"/>
          <w:sz w:val="28"/>
        </w:rPr>
        <w:t>原创性与保密说明</w:t>
      </w:r>
    </w:p>
    <w:p>
      <w:pPr>
        <w:pStyle w:val="Heading2"/>
        <w:spacing w:before="120" w:after="0" w:line="300" w:lineRule="auto"/>
        <w:jc w:val="left"/>
      </w:pPr>
      <w:r>
        <w:rPr>
          <w:rFonts w:ascii="Times New Roman" w:hAnsi="Times New Roman" w:eastAsia="黑体"/>
          <w:b/>
          <w:color w:val="000000"/>
          <w:sz w:val="21"/>
        </w:rPr>
        <w:t>一、原创性说明</w:t>
      </w:r>
    </w:p>
    <w:p>
      <w:pPr>
        <w:spacing w:before="0" w:after="0" w:line="300" w:lineRule="auto"/>
        <w:ind w:firstLine="420"/>
        <w:jc w:val="both"/>
      </w:pPr>
      <w:r>
        <w:rPr>
          <w:rFonts w:ascii="Times New Roman" w:hAnsi="Times New Roman" w:eastAsia="宋体"/>
          <w:b w:val="0"/>
          <w:color w:val="000000"/>
          <w:sz w:val="21"/>
        </w:rPr>
        <w:t>本计划书由智学派项目团队围绕“AI 驱动的个性化学习辅助平台”创业项目独立完成。报告中的行业数据、政策表述和竞品信息来自公开资料整理，团队在使用时已结合项目定位重新分析、归纳和表达。提交前，团队成员应再次核验数据来源、成员信息与分工，确保符合课程关于学术规范和原创性的要求。</w:t>
      </w:r>
    </w:p>
    <w:p>
      <w:pPr>
        <w:pStyle w:val="Heading2"/>
        <w:spacing w:before="120" w:after="0" w:line="300" w:lineRule="auto"/>
        <w:jc w:val="left"/>
      </w:pPr>
      <w:r>
        <w:rPr>
          <w:rFonts w:ascii="Times New Roman" w:hAnsi="Times New Roman" w:eastAsia="黑体"/>
          <w:b/>
          <w:color w:val="000000"/>
          <w:sz w:val="21"/>
        </w:rPr>
        <w:t>二、保密说明</w:t>
      </w:r>
    </w:p>
    <w:p>
      <w:pPr>
        <w:spacing w:before="0" w:after="0" w:line="300" w:lineRule="auto"/>
        <w:ind w:firstLine="420"/>
        <w:jc w:val="both"/>
      </w:pPr>
      <w:r>
        <w:rPr>
          <w:rFonts w:ascii="Times New Roman" w:hAnsi="Times New Roman" w:eastAsia="宋体"/>
          <w:b w:val="0"/>
          <w:color w:val="000000"/>
          <w:sz w:val="21"/>
        </w:rPr>
        <w:t>本商业计划书仅用于《创新创业基础》课程作业、项目展示和创业训练用途。未经团队许可，不得将其中涉及的产品方案、技术路线、商业模式、财务测算和团队信息用于与本项目无关的商业传播。</w:t>
      </w:r>
    </w:p>
    <w:p>
      <w:r>
        <w:rPr>
          <w:color w:val="000000"/>
        </w:rPr>
        <w:br w:type="page"/>
      </w:r>
    </w:p>
    <w:p>
      <w:pPr>
        <w:spacing w:before="0" w:after="240" w:line="300" w:lineRule="auto"/>
        <w:jc w:val="center"/>
      </w:pPr>
      <w:r>
        <w:rPr>
          <w:rFonts w:ascii="Times New Roman" w:hAnsi="Times New Roman" w:eastAsia="黑体"/>
          <w:b/>
          <w:color w:val="000000"/>
          <w:sz w:val="32"/>
        </w:rPr>
        <w:t>目        录</w:t>
      </w:r>
    </w:p>
    <w:p>
      <w:pPr>
        <w:spacing w:before="0" w:after="80" w:line="300" w:lineRule="auto"/>
        <w:ind w:left="0"/>
        <w:jc w:val="left"/>
      </w:pPr>
      <w:r>
        <w:rPr>
          <w:rFonts w:ascii="Times New Roman" w:hAnsi="Times New Roman" w:eastAsia="宋体"/>
          <w:b w:val="0"/>
          <w:color w:val="000000"/>
          <w:sz w:val="28"/>
        </w:rPr>
        <w:t>第一章  项目简介</w:t>
      </w:r>
    </w:p>
    <w:p>
      <w:pPr>
        <w:spacing w:before="0" w:after="80" w:line="300" w:lineRule="auto"/>
        <w:ind w:left="0"/>
        <w:jc w:val="left"/>
      </w:pPr>
      <w:r>
        <w:rPr>
          <w:rFonts w:ascii="Times New Roman" w:hAnsi="Times New Roman" w:eastAsia="宋体"/>
          <w:b w:val="0"/>
          <w:color w:val="000000"/>
          <w:sz w:val="28"/>
        </w:rPr>
        <w:t>第二章  产品说明</w:t>
      </w:r>
    </w:p>
    <w:p>
      <w:pPr>
        <w:spacing w:before="0" w:after="80" w:line="300" w:lineRule="auto"/>
        <w:ind w:left="0"/>
        <w:jc w:val="left"/>
      </w:pPr>
      <w:r>
        <w:rPr>
          <w:rFonts w:ascii="Times New Roman" w:hAnsi="Times New Roman" w:eastAsia="宋体"/>
          <w:b w:val="0"/>
          <w:color w:val="000000"/>
          <w:sz w:val="28"/>
        </w:rPr>
        <w:t>第三章  运营模式</w:t>
      </w:r>
    </w:p>
    <w:p>
      <w:pPr>
        <w:spacing w:before="0" w:after="80" w:line="300" w:lineRule="auto"/>
        <w:ind w:left="0"/>
        <w:jc w:val="left"/>
      </w:pPr>
      <w:r>
        <w:rPr>
          <w:rFonts w:ascii="Times New Roman" w:hAnsi="Times New Roman" w:eastAsia="宋体"/>
          <w:b w:val="0"/>
          <w:color w:val="000000"/>
          <w:sz w:val="28"/>
        </w:rPr>
        <w:t>第四章  市场分析</w:t>
      </w:r>
    </w:p>
    <w:p>
      <w:pPr>
        <w:spacing w:before="0" w:after="80" w:line="300" w:lineRule="auto"/>
        <w:ind w:left="0"/>
        <w:jc w:val="left"/>
      </w:pPr>
      <w:r>
        <w:rPr>
          <w:rFonts w:ascii="Times New Roman" w:hAnsi="Times New Roman" w:eastAsia="宋体"/>
          <w:b w:val="0"/>
          <w:color w:val="000000"/>
          <w:sz w:val="28"/>
        </w:rPr>
        <w:t>第五章  营销与销售</w:t>
      </w:r>
    </w:p>
    <w:p>
      <w:pPr>
        <w:spacing w:before="0" w:after="80" w:line="300" w:lineRule="auto"/>
        <w:ind w:left="0"/>
        <w:jc w:val="left"/>
      </w:pPr>
      <w:r>
        <w:rPr>
          <w:rFonts w:ascii="Times New Roman" w:hAnsi="Times New Roman" w:eastAsia="宋体"/>
          <w:b w:val="0"/>
          <w:color w:val="000000"/>
          <w:sz w:val="28"/>
        </w:rPr>
        <w:t>第六章  公司概述与创业团队</w:t>
      </w:r>
    </w:p>
    <w:p>
      <w:pPr>
        <w:spacing w:before="0" w:after="80" w:line="300" w:lineRule="auto"/>
        <w:ind w:left="0"/>
        <w:jc w:val="left"/>
      </w:pPr>
      <w:r>
        <w:rPr>
          <w:rFonts w:ascii="Times New Roman" w:hAnsi="Times New Roman" w:eastAsia="宋体"/>
          <w:b w:val="0"/>
          <w:color w:val="000000"/>
          <w:sz w:val="28"/>
        </w:rPr>
        <w:t>第七章  财务分析</w:t>
      </w:r>
    </w:p>
    <w:p>
      <w:pPr>
        <w:spacing w:before="0" w:after="80" w:line="300" w:lineRule="auto"/>
        <w:ind w:left="0"/>
        <w:jc w:val="left"/>
      </w:pPr>
      <w:r>
        <w:rPr>
          <w:rFonts w:ascii="Times New Roman" w:hAnsi="Times New Roman" w:eastAsia="宋体"/>
          <w:b w:val="0"/>
          <w:color w:val="000000"/>
          <w:sz w:val="28"/>
        </w:rPr>
        <w:t>第八章  风险控制与实施保障</w:t>
      </w:r>
    </w:p>
    <w:p>
      <w:pPr>
        <w:spacing w:before="0" w:after="80" w:line="300" w:lineRule="auto"/>
        <w:ind w:left="0"/>
        <w:jc w:val="left"/>
      </w:pPr>
      <w:r>
        <w:rPr>
          <w:rFonts w:ascii="Times New Roman" w:hAnsi="Times New Roman" w:eastAsia="宋体"/>
          <w:b w:val="0"/>
          <w:color w:val="000000"/>
          <w:sz w:val="28"/>
        </w:rPr>
        <w:t>第九章  附录</w:t>
      </w:r>
    </w:p>
    <w:p>
      <w:pPr>
        <w:spacing w:before="0" w:after="80" w:line="300" w:lineRule="auto"/>
        <w:ind w:left="420"/>
        <w:jc w:val="left"/>
      </w:pPr>
      <w:r>
        <w:rPr>
          <w:rFonts w:ascii="Times New Roman" w:hAnsi="Times New Roman" w:eastAsia="宋体"/>
          <w:b w:val="0"/>
          <w:color w:val="000000"/>
          <w:sz w:val="24"/>
        </w:rPr>
        <w:t>团队成员分工表</w:t>
      </w:r>
    </w:p>
    <w:p>
      <w:r>
        <w:rPr>
          <w:color w:val="000000"/>
        </w:rPr>
        <w:br w:type="page"/>
      </w:r>
    </w:p>
    <w:p>
      <w:pPr>
        <w:pStyle w:val="Heading1"/>
        <w:spacing w:before="0" w:after="160" w:line="300" w:lineRule="auto"/>
        <w:jc w:val="center"/>
      </w:pPr>
      <w:r>
        <w:rPr>
          <w:rFonts w:ascii="Times New Roman" w:hAnsi="Times New Roman" w:eastAsia="黑体"/>
          <w:b/>
          <w:color w:val="000000"/>
          <w:sz w:val="28"/>
        </w:rPr>
        <w:t>第一章  项目简介</w:t>
      </w:r>
    </w:p>
    <w:p>
      <w:pPr>
        <w:pStyle w:val="Heading2"/>
        <w:spacing w:before="120" w:after="0" w:line="300" w:lineRule="auto"/>
        <w:jc w:val="left"/>
      </w:pPr>
      <w:r>
        <w:rPr>
          <w:rFonts w:ascii="Times New Roman" w:hAnsi="Times New Roman" w:eastAsia="黑体"/>
          <w:b/>
          <w:color w:val="000000"/>
          <w:sz w:val="21"/>
        </w:rPr>
        <w:t>一、项目概况</w:t>
      </w:r>
    </w:p>
    <w:p>
      <w:pPr>
        <w:spacing w:before="0" w:after="0" w:line="300" w:lineRule="auto"/>
        <w:ind w:firstLine="420"/>
        <w:jc w:val="both"/>
      </w:pPr>
      <w:r>
        <w:rPr>
          <w:rFonts w:ascii="Times New Roman" w:hAnsi="Times New Roman" w:eastAsia="宋体"/>
          <w:b w:val="0"/>
          <w:color w:val="000000"/>
          <w:sz w:val="21"/>
        </w:rPr>
        <w:t>智学派（LearnGen）是一个面向大学生的 AI 个性化学习辅助平台，核心目标是让每一位学生都能拥有一位“懂课程、懂考试、懂自己学习节奏”的 AI 学习导师。平台以大语言模型、检索增强生成（RAG）、课程知识图谱和学习诊断算法为技术基础，为大学生提供课程答疑、学习路径规划、薄弱知识点诊断、考前冲刺训练和学习数据看板等服务。</w:t>
      </w:r>
    </w:p>
    <w:p>
      <w:pPr>
        <w:spacing w:before="0" w:after="0" w:line="300" w:lineRule="auto"/>
        <w:ind w:firstLine="420"/>
        <w:jc w:val="both"/>
      </w:pPr>
      <w:r>
        <w:rPr>
          <w:rFonts w:ascii="Times New Roman" w:hAnsi="Times New Roman" w:eastAsia="宋体"/>
          <w:b w:val="0"/>
          <w:color w:val="000000"/>
          <w:sz w:val="21"/>
        </w:rPr>
        <w:t>项目初期聚焦高等数学、线性代数、大学物理、程序设计、数据结构等高校公共基础课和理工科高频课程。这些课程覆盖面广、学习难度高、考试压力集中，是大学生学习痛点最明显、也是 AI 个性化辅导最容易产生效果的场景。</w:t>
      </w:r>
    </w:p>
    <w:p>
      <w:pPr>
        <w:pStyle w:val="Heading2"/>
        <w:spacing w:before="120" w:after="0" w:line="300" w:lineRule="auto"/>
        <w:jc w:val="left"/>
      </w:pPr>
      <w:r>
        <w:rPr>
          <w:rFonts w:ascii="Times New Roman" w:hAnsi="Times New Roman" w:eastAsia="黑体"/>
          <w:b/>
          <w:color w:val="000000"/>
          <w:sz w:val="21"/>
        </w:rPr>
        <w:t>二、项目背景</w:t>
      </w:r>
    </w:p>
    <w:p>
      <w:pPr>
        <w:spacing w:before="0" w:after="0" w:line="300" w:lineRule="auto"/>
        <w:ind w:firstLine="420"/>
        <w:jc w:val="both"/>
      </w:pPr>
      <w:r>
        <w:rPr>
          <w:rFonts w:ascii="Times New Roman" w:hAnsi="Times New Roman" w:eastAsia="宋体"/>
          <w:b w:val="0"/>
          <w:color w:val="000000"/>
          <w:sz w:val="21"/>
        </w:rPr>
        <w:t>高等教育规模持续扩大，但学生在课堂之外获得个性化指导的机会仍然不足。传统教师答疑受时间和班级规模限制，一对一辅导费用较高，普通录播课和慕课又缺乏针对个人薄弱环节的反馈。与此同时，大学生已经普遍接触 ChatGPT、Kimi、豆包、通义千问等 AI 工具，但通用 AI 在具体课程课件、教师讲义和考试范围上的准确性有限，容易出现泛泛而谈或生成错误答案的问题。</w:t>
      </w:r>
    </w:p>
    <w:p>
      <w:pPr>
        <w:spacing w:before="0" w:after="0" w:line="300" w:lineRule="auto"/>
        <w:ind w:firstLine="420"/>
        <w:jc w:val="both"/>
      </w:pPr>
      <w:r>
        <w:rPr>
          <w:rFonts w:ascii="Times New Roman" w:hAnsi="Times New Roman" w:eastAsia="宋体"/>
          <w:b w:val="0"/>
          <w:color w:val="000000"/>
          <w:sz w:val="21"/>
        </w:rPr>
        <w:t>智学派的机会在于把通用 AI 能力和高校课程场景深度结合：一方面利用大模型的自然语言理解、推理和解释能力，降低学生提问门槛；另一方面通过课程知识库、知识图谱和学习行为数据约束回答范围，让 AI 辅导从“能聊天”走向“能学会”。</w:t>
      </w:r>
    </w:p>
    <w:p>
      <w:pPr>
        <w:pStyle w:val="Heading2"/>
        <w:spacing w:before="120" w:after="0" w:line="300" w:lineRule="auto"/>
        <w:jc w:val="left"/>
      </w:pPr>
      <w:r>
        <w:rPr>
          <w:rFonts w:ascii="Times New Roman" w:hAnsi="Times New Roman" w:eastAsia="黑体"/>
          <w:b/>
          <w:color w:val="000000"/>
          <w:sz w:val="21"/>
        </w:rPr>
        <w:t>三、项目定位</w:t>
      </w:r>
    </w:p>
    <w:p>
      <w:pPr>
        <w:spacing w:before="0" w:after="0" w:line="300" w:lineRule="auto"/>
        <w:ind w:firstLine="420"/>
        <w:jc w:val="both"/>
      </w:pPr>
      <w:r>
        <w:rPr>
          <w:rFonts w:ascii="Times New Roman" w:hAnsi="Times New Roman" w:eastAsia="宋体"/>
          <w:b w:val="0"/>
          <w:color w:val="000000"/>
          <w:sz w:val="21"/>
        </w:rPr>
        <w:t>智学派不是单纯的搜题工具，也不是传统网课平台，而是“AI 学习操作系统”。它既能回答学生当前的问题，也能告诉学生为什么不会、应该先补什么、下一步怎么学。产品定位为大学生课内学习与考试备考的智能助教，兼顾 C 端个人订阅和 B 端高校教学辅助场景。</w:t>
      </w:r>
    </w:p>
    <w:p>
      <w:pPr>
        <w:pStyle w:val="Heading2"/>
        <w:spacing w:before="120" w:after="0" w:line="300" w:lineRule="auto"/>
        <w:jc w:val="left"/>
      </w:pPr>
      <w:r>
        <w:rPr>
          <w:rFonts w:ascii="Times New Roman" w:hAnsi="Times New Roman" w:eastAsia="黑体"/>
          <w:b/>
          <w:color w:val="000000"/>
          <w:sz w:val="21"/>
        </w:rPr>
        <w:t>四、核心价值</w:t>
      </w:r>
    </w:p>
    <w:p>
      <w:pPr>
        <w:spacing w:before="0" w:after="0" w:line="300" w:lineRule="auto"/>
        <w:ind w:firstLine="420"/>
        <w:jc w:val="both"/>
      </w:pPr>
      <w:r>
        <w:rPr>
          <w:rFonts w:ascii="Times New Roman" w:hAnsi="Times New Roman" w:eastAsia="宋体"/>
          <w:b w:val="0"/>
          <w:color w:val="000000"/>
          <w:sz w:val="21"/>
        </w:rPr>
        <w:t>对学生而言，智学派提供低成本、随时可用、可持续反馈的学习支持，帮助学生降低挂科风险、提升学习效率和备考信心。对高校而言，平台可形成班级和课程层面的学习数据反馈，帮助教师发现共性薄弱点，辅助教学改进。对投资者而言，项目切入 AI+教育和高校数字化交叉赛道，具备较清晰的用户增长路径、商业化方式和技术壁垒。</w:t>
      </w:r>
    </w:p>
    <w:p>
      <w:r>
        <w:rPr>
          <w:color w:val="000000"/>
        </w:rPr>
        <w:br w:type="page"/>
      </w:r>
    </w:p>
    <w:p>
      <w:pPr>
        <w:pStyle w:val="Heading1"/>
        <w:spacing w:before="0" w:after="160" w:line="300" w:lineRule="auto"/>
        <w:jc w:val="center"/>
      </w:pPr>
      <w:r>
        <w:rPr>
          <w:rFonts w:ascii="Times New Roman" w:hAnsi="Times New Roman" w:eastAsia="黑体"/>
          <w:b/>
          <w:color w:val="000000"/>
          <w:sz w:val="28"/>
        </w:rPr>
        <w:t>第二章  产品说明</w:t>
      </w:r>
    </w:p>
    <w:p>
      <w:pPr>
        <w:pStyle w:val="Heading2"/>
        <w:spacing w:before="120" w:after="0" w:line="300" w:lineRule="auto"/>
        <w:jc w:val="left"/>
      </w:pPr>
      <w:r>
        <w:rPr>
          <w:rFonts w:ascii="Times New Roman" w:hAnsi="Times New Roman" w:eastAsia="黑体"/>
          <w:b/>
          <w:color w:val="000000"/>
          <w:sz w:val="21"/>
        </w:rPr>
        <w:t>一、产品形态</w:t>
      </w:r>
    </w:p>
    <w:p>
      <w:pPr>
        <w:spacing w:before="0" w:after="0" w:line="300" w:lineRule="auto"/>
        <w:ind w:firstLine="420"/>
        <w:jc w:val="both"/>
      </w:pPr>
      <w:r>
        <w:rPr>
          <w:rFonts w:ascii="Times New Roman" w:hAnsi="Times New Roman" w:eastAsia="宋体"/>
          <w:b w:val="0"/>
          <w:color w:val="000000"/>
          <w:sz w:val="21"/>
        </w:rPr>
        <w:t>智学派采用 App、小程序和 Web 端协同的产品形态。学生端强调随时提问、随手拍题、学习路径查看和考前冲刺；教师端和高校管理端强调课程知识库管理、班级学习数据查看、共性问题统计和教学反馈。项目 MVP 阶段优先开发学生端核心功能，随后再逐步开放教师端管理能力。</w:t>
      </w:r>
    </w:p>
    <w:p>
      <w:pPr>
        <w:pStyle w:val="Heading2"/>
        <w:spacing w:before="120" w:after="0" w:line="300" w:lineRule="auto"/>
        <w:jc w:val="left"/>
      </w:pPr>
      <w:r>
        <w:rPr>
          <w:rFonts w:ascii="Times New Roman" w:hAnsi="Times New Roman" w:eastAsia="黑体"/>
          <w:b/>
          <w:color w:val="000000"/>
          <w:sz w:val="21"/>
        </w:rPr>
        <w:t>二、核心功能</w:t>
      </w:r>
    </w:p>
    <w:p>
      <w:pPr>
        <w:spacing w:before="60" w:after="60" w:line="300" w:lineRule="auto"/>
        <w:jc w:val="center"/>
      </w:pPr>
      <w:r>
        <w:rPr>
          <w:rFonts w:ascii="Times New Roman" w:hAnsi="Times New Roman" w:eastAsia="宋体"/>
          <w:b w:val="0"/>
          <w:color w:val="000000"/>
          <w:sz w:val="18"/>
        </w:rPr>
        <w:t>表 2 核心功能与实现方式</w:t>
      </w:r>
    </w:p>
    <w:tbl>
      <w:tblPr>
        <w:tblStyle w:val="TableGrid"/>
        <w:tblW w:type="dxa" w:w="9637"/>
        <w:jc w:val="center"/>
        <w:tblLayout w:type="fixed"/>
        <w:tblLook w:firstColumn="1" w:firstRow="1" w:lastColumn="0" w:lastRow="0" w:noHBand="0" w:noVBand="1" w:val="04A0"/>
      </w:tblPr>
      <w:tblGrid>
        <w:gridCol w:w="1814"/>
        <w:gridCol w:w="3685"/>
        <w:gridCol w:w="4138"/>
      </w:tblGrid>
      <w:tr>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功能模块</w:t>
            </w:r>
          </w:p>
        </w:tc>
        <w:tc>
          <w:tcPr>
            <w:tcW w:type="dxa" w:w="3685"/>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用户价值</w:t>
            </w:r>
          </w:p>
        </w:tc>
        <w:tc>
          <w:tcPr>
            <w:tcW w:type="dxa" w:w="4138"/>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技术实现</w:t>
            </w:r>
          </w:p>
        </w:tc>
      </w:tr>
      <w:tr>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AI 智能答疑</w:t>
            </w:r>
          </w:p>
        </w:tc>
        <w:tc>
          <w:tcPr>
            <w:tcW w:type="dxa" w:w="3685"/>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支持文字、图片和语音提问，给出分步讲解、知识点定位和同类题建议。</w:t>
            </w:r>
          </w:p>
        </w:tc>
        <w:tc>
          <w:tcPr>
            <w:tcW w:type="dxa" w:w="413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大模型推理、OCR、语音识别、RAG 检索和答案置信度标注。</w:t>
            </w:r>
          </w:p>
        </w:tc>
      </w:tr>
      <w:tr>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个性化学习路径</w:t>
            </w:r>
          </w:p>
        </w:tc>
        <w:tc>
          <w:tcPr>
            <w:tcW w:type="dxa" w:w="3685"/>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根据课程目标和当前水平生成学习计划，展示先修关系、重点难度和建议学习时长。</w:t>
            </w:r>
          </w:p>
        </w:tc>
        <w:tc>
          <w:tcPr>
            <w:tcW w:type="dxa" w:w="413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课程知识图谱、学习目标解析、路径规划算法和学习进度追踪。</w:t>
            </w:r>
          </w:p>
        </w:tc>
      </w:tr>
      <w:tr>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薄弱知识点诊断</w:t>
            </w:r>
          </w:p>
        </w:tc>
        <w:tc>
          <w:tcPr>
            <w:tcW w:type="dxa" w:w="3685"/>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通过练习记录和答疑行为识别薄弱点，生成热力图和补强任务。</w:t>
            </w:r>
          </w:p>
        </w:tc>
        <w:tc>
          <w:tcPr>
            <w:tcW w:type="dxa" w:w="413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贝叶斯知识追踪模型、错因标签体系和知识点掌握度评估。</w:t>
            </w:r>
          </w:p>
        </w:tc>
      </w:tr>
      <w:tr>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课件与笔记解析</w:t>
            </w:r>
          </w:p>
        </w:tc>
        <w:tc>
          <w:tcPr>
            <w:tcW w:type="dxa" w:w="3685"/>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上传课件、教材片段和笔记后，自动生成摘要、考点清单和问答索引。</w:t>
            </w:r>
          </w:p>
        </w:tc>
        <w:tc>
          <w:tcPr>
            <w:tcW w:type="dxa" w:w="413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文档解析、向量化存储、知识片段召回和内容安全过滤。</w:t>
            </w:r>
          </w:p>
        </w:tc>
      </w:tr>
      <w:tr>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学习数据看板</w:t>
            </w:r>
          </w:p>
        </w:tc>
        <w:tc>
          <w:tcPr>
            <w:tcW w:type="dxa" w:w="3685"/>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展示学习时长、正确率、知识点覆盖率、连续打卡和阶段报告。</w:t>
            </w:r>
          </w:p>
        </w:tc>
        <w:tc>
          <w:tcPr>
            <w:tcW w:type="dxa" w:w="413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行为埋点、数据分析、可视化报表和匿名同伴对比。</w:t>
            </w:r>
          </w:p>
        </w:tc>
      </w:tr>
    </w:tbl>
    <w:p>
      <w:pPr>
        <w:spacing w:before="0" w:after="40" w:line="300" w:lineRule="auto"/>
        <w:jc w:val="both"/>
      </w:pPr>
      <w:r>
        <w:rPr>
          <w:rFonts w:ascii="Times New Roman" w:hAnsi="Times New Roman" w:eastAsia="宋体"/>
          <w:b w:val="0"/>
          <w:color w:val="000000"/>
          <w:sz w:val="21"/>
        </w:rPr>
      </w:r>
    </w:p>
    <w:p>
      <w:pPr>
        <w:pStyle w:val="Heading2"/>
        <w:spacing w:before="120" w:after="0" w:line="300" w:lineRule="auto"/>
        <w:jc w:val="left"/>
      </w:pPr>
      <w:r>
        <w:rPr>
          <w:rFonts w:ascii="Times New Roman" w:hAnsi="Times New Roman" w:eastAsia="黑体"/>
          <w:b/>
          <w:color w:val="000000"/>
          <w:sz w:val="21"/>
        </w:rPr>
        <w:t>三、技术特点</w:t>
      </w:r>
    </w:p>
    <w:p>
      <w:pPr>
        <w:pStyle w:val="Heading3"/>
        <w:spacing w:before="80" w:after="0" w:line="300" w:lineRule="auto"/>
        <w:jc w:val="left"/>
      </w:pPr>
      <w:r>
        <w:rPr>
          <w:rFonts w:ascii="Times New Roman" w:hAnsi="Times New Roman" w:eastAsia="黑体"/>
          <w:b/>
          <w:color w:val="000000"/>
          <w:sz w:val="21"/>
        </w:rPr>
        <w:t>（一）大模型与 RAG 混合架构</w:t>
      </w:r>
    </w:p>
    <w:p>
      <w:pPr>
        <w:spacing w:before="0" w:after="0" w:line="300" w:lineRule="auto"/>
        <w:ind w:firstLine="420"/>
        <w:jc w:val="both"/>
      </w:pPr>
      <w:r>
        <w:rPr>
          <w:rFonts w:ascii="Times New Roman" w:hAnsi="Times New Roman" w:eastAsia="宋体"/>
          <w:b w:val="0"/>
          <w:color w:val="000000"/>
          <w:sz w:val="21"/>
        </w:rPr>
        <w:t>平台底层接入主流大模型能力，同时建设自有课程知识库。学生提问后，系统先在课程课件、教材摘要、题库解析和知识图谱中检索相关片段，再将检索结果与问题一并交给大模型生成答案。该方案能减少通用大模型在专业课程内容上的幻觉，提升回答与课堂内容的匹配度。</w:t>
      </w:r>
    </w:p>
    <w:p>
      <w:pPr>
        <w:pStyle w:val="Heading3"/>
        <w:spacing w:before="80" w:after="0" w:line="300" w:lineRule="auto"/>
        <w:jc w:val="left"/>
      </w:pPr>
      <w:r>
        <w:rPr>
          <w:rFonts w:ascii="Times New Roman" w:hAnsi="Times New Roman" w:eastAsia="黑体"/>
          <w:b/>
          <w:color w:val="000000"/>
          <w:sz w:val="21"/>
        </w:rPr>
        <w:t>（二）课程知识图谱</w:t>
      </w:r>
    </w:p>
    <w:p>
      <w:pPr>
        <w:spacing w:before="0" w:after="0" w:line="300" w:lineRule="auto"/>
        <w:ind w:firstLine="420"/>
        <w:jc w:val="both"/>
      </w:pPr>
      <w:r>
        <w:rPr>
          <w:rFonts w:ascii="Times New Roman" w:hAnsi="Times New Roman" w:eastAsia="宋体"/>
          <w:b w:val="0"/>
          <w:color w:val="000000"/>
          <w:sz w:val="21"/>
        </w:rPr>
        <w:t>课程知识图谱记录知识点之间的前置依赖、难度层级、常见错误和典型题型。例如学习“特征值与特征向量”前，系统会识别学生是否掌握矩阵运算、行列式、线性相关性等前置知识。图谱不仅服务答疑，也服务学习路径规划和薄弱点诊断。</w:t>
      </w:r>
    </w:p>
    <w:p>
      <w:pPr>
        <w:pStyle w:val="Heading3"/>
        <w:spacing w:before="80" w:after="0" w:line="300" w:lineRule="auto"/>
        <w:jc w:val="left"/>
      </w:pPr>
      <w:r>
        <w:rPr>
          <w:rFonts w:ascii="Times New Roman" w:hAnsi="Times New Roman" w:eastAsia="黑体"/>
          <w:b/>
          <w:color w:val="000000"/>
          <w:sz w:val="21"/>
        </w:rPr>
        <w:t>（三）学习诊断算法</w:t>
      </w:r>
    </w:p>
    <w:p>
      <w:pPr>
        <w:spacing w:before="0" w:after="0" w:line="300" w:lineRule="auto"/>
        <w:ind w:firstLine="420"/>
        <w:jc w:val="both"/>
      </w:pPr>
      <w:r>
        <w:rPr>
          <w:rFonts w:ascii="Times New Roman" w:hAnsi="Times New Roman" w:eastAsia="宋体"/>
          <w:b w:val="0"/>
          <w:color w:val="000000"/>
          <w:sz w:val="21"/>
        </w:rPr>
        <w:t>平台根据学生的答题结果、追问次数、停留时长和复习行为，估计每个知识点的掌握概率。系统会把“不会做题”拆解为概念不清、公式记忆不足、步骤错误、计算粗心等不同错因，并给出针对性的补救建议。</w:t>
      </w:r>
    </w:p>
    <w:p>
      <w:pPr>
        <w:pStyle w:val="Heading2"/>
        <w:spacing w:before="120" w:after="0" w:line="300" w:lineRule="auto"/>
        <w:jc w:val="left"/>
      </w:pPr>
      <w:r>
        <w:rPr>
          <w:rFonts w:ascii="Times New Roman" w:hAnsi="Times New Roman" w:eastAsia="黑体"/>
          <w:b/>
          <w:color w:val="000000"/>
          <w:sz w:val="21"/>
        </w:rPr>
        <w:t>四、研发方法</w:t>
      </w:r>
    </w:p>
    <w:p>
      <w:pPr>
        <w:spacing w:before="0" w:after="0" w:line="300" w:lineRule="auto"/>
        <w:ind w:firstLine="420"/>
        <w:jc w:val="both"/>
      </w:pPr>
      <w:r>
        <w:rPr>
          <w:rFonts w:ascii="Times New Roman" w:hAnsi="Times New Roman" w:eastAsia="宋体"/>
          <w:b w:val="0"/>
          <w:color w:val="000000"/>
          <w:sz w:val="21"/>
        </w:rPr>
        <w:t>项目研发采用“课程样本小闭环、功能迭代快验证”的方法。第一阶段选取高等数学和线性代数两门课程建设 MVP，完成知识点拆分、课件入库、基础答疑和学习路径生成。第二阶段通过 2 至 3 个班级试点收集真实提问和学习反馈，优化知识库质量和提示词模板。第三阶段扩展到更多公共基础课，并建立教师协作和内容审核机制。</w:t>
      </w:r>
    </w:p>
    <w:p>
      <w:pPr>
        <w:pStyle w:val="Heading2"/>
        <w:spacing w:before="120" w:after="0" w:line="300" w:lineRule="auto"/>
        <w:jc w:val="left"/>
      </w:pPr>
      <w:r>
        <w:rPr>
          <w:rFonts w:ascii="Times New Roman" w:hAnsi="Times New Roman" w:eastAsia="黑体"/>
          <w:b/>
          <w:color w:val="000000"/>
          <w:sz w:val="21"/>
        </w:rPr>
        <w:t>五、产品路线图</w:t>
      </w:r>
    </w:p>
    <w:p>
      <w:pPr>
        <w:spacing w:before="60" w:after="60" w:line="300" w:lineRule="auto"/>
        <w:jc w:val="center"/>
      </w:pPr>
      <w:r>
        <w:rPr>
          <w:rFonts w:ascii="Times New Roman" w:hAnsi="Times New Roman" w:eastAsia="宋体"/>
          <w:b w:val="0"/>
          <w:color w:val="000000"/>
          <w:sz w:val="18"/>
        </w:rPr>
        <w:t>表 3 产品路线图</w:t>
      </w:r>
    </w:p>
    <w:tbl>
      <w:tblPr>
        <w:tblStyle w:val="TableGrid"/>
        <w:tblW w:type="dxa" w:w="9635"/>
        <w:jc w:val="center"/>
        <w:tblLayout w:type="fixed"/>
        <w:tblLook w:firstColumn="1" w:firstRow="1" w:lastColumn="0" w:lastRow="0" w:noHBand="0" w:noVBand="1" w:val="04A0"/>
      </w:tblPr>
      <w:tblGrid>
        <w:gridCol w:w="1700"/>
        <w:gridCol w:w="1700"/>
        <w:gridCol w:w="3968"/>
        <w:gridCol w:w="2267"/>
      </w:tblGrid>
      <w:tr>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阶段</w:t>
            </w:r>
          </w:p>
        </w:tc>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时间</w:t>
            </w:r>
          </w:p>
        </w:tc>
        <w:tc>
          <w:tcPr>
            <w:tcW w:type="dxa" w:w="3968"/>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重点任务</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验收指标</w:t>
            </w:r>
          </w:p>
        </w:tc>
      </w:tr>
      <w:tr>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MVP 验证期</w:t>
            </w:r>
          </w:p>
        </w:tc>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0 至 3 个月</w:t>
            </w:r>
          </w:p>
        </w:tc>
        <w:tc>
          <w:tcPr>
            <w:tcW w:type="dxa" w:w="396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完成高数、线代课程知识库；上线文字问答、学习路径和基础诊断。</w:t>
            </w:r>
          </w:p>
        </w:tc>
        <w:tc>
          <w:tcPr>
            <w:tcW w:type="dxa" w:w="2267"/>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试点用户 1000 人，周留存率超过 25%。</w:t>
            </w:r>
          </w:p>
        </w:tc>
      </w:tr>
      <w:tr>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校园试点期</w:t>
            </w:r>
          </w:p>
        </w:tc>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4 至 9 个月</w:t>
            </w:r>
          </w:p>
        </w:tc>
        <w:tc>
          <w:tcPr>
            <w:tcW w:type="dxa" w:w="396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接入拍照提问、课件解析、教师端数据看板；进入 5 至 10 所高校试点。</w:t>
            </w:r>
          </w:p>
        </w:tc>
        <w:tc>
          <w:tcPr>
            <w:tcW w:type="dxa" w:w="2267"/>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注册用户 5 万人，Pro 付费用户 3000 人以上。</w:t>
            </w:r>
          </w:p>
        </w:tc>
      </w:tr>
      <w:tr>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规模增长期</w:t>
            </w:r>
          </w:p>
        </w:tc>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10 至 24 个月</w:t>
            </w:r>
          </w:p>
        </w:tc>
        <w:tc>
          <w:tcPr>
            <w:tcW w:type="dxa" w:w="396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扩展 30 门课程，建设校园大使体系和 B 端合作流程。</w:t>
            </w:r>
          </w:p>
        </w:tc>
        <w:tc>
          <w:tcPr>
            <w:tcW w:type="dxa" w:w="2267"/>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覆盖 300 所高校，B 端合作 50 所。</w:t>
            </w:r>
          </w:p>
        </w:tc>
      </w:tr>
      <w:tr>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业务拓展期</w:t>
            </w:r>
          </w:p>
        </w:tc>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25 至 36 个月</w:t>
            </w:r>
          </w:p>
        </w:tc>
        <w:tc>
          <w:tcPr>
            <w:tcW w:type="dxa" w:w="396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拓展考研、考公、四六级和职业证书备考场景。</w:t>
            </w:r>
          </w:p>
        </w:tc>
        <w:tc>
          <w:tcPr>
            <w:tcW w:type="dxa" w:w="2267"/>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累计注册用户 300 万人，实现年度盈亏平衡。</w:t>
            </w:r>
          </w:p>
        </w:tc>
      </w:tr>
    </w:tbl>
    <w:p>
      <w:pPr>
        <w:spacing w:before="0" w:after="40" w:line="300" w:lineRule="auto"/>
        <w:jc w:val="both"/>
      </w:pPr>
      <w:r>
        <w:rPr>
          <w:rFonts w:ascii="Times New Roman" w:hAnsi="Times New Roman" w:eastAsia="宋体"/>
          <w:b w:val="0"/>
          <w:color w:val="000000"/>
          <w:sz w:val="21"/>
        </w:rPr>
      </w:r>
    </w:p>
    <w:p>
      <w:r>
        <w:rPr>
          <w:color w:val="000000"/>
        </w:rPr>
        <w:br w:type="page"/>
      </w:r>
    </w:p>
    <w:p>
      <w:pPr>
        <w:pStyle w:val="Heading1"/>
        <w:spacing w:before="0" w:after="160" w:line="300" w:lineRule="auto"/>
        <w:jc w:val="center"/>
      </w:pPr>
      <w:r>
        <w:rPr>
          <w:rFonts w:ascii="Times New Roman" w:hAnsi="Times New Roman" w:eastAsia="黑体"/>
          <w:b/>
          <w:color w:val="000000"/>
          <w:sz w:val="28"/>
        </w:rPr>
        <w:t>第三章  运营模式</w:t>
      </w:r>
    </w:p>
    <w:p>
      <w:pPr>
        <w:pStyle w:val="Heading2"/>
        <w:spacing w:before="120" w:after="0" w:line="300" w:lineRule="auto"/>
        <w:jc w:val="left"/>
      </w:pPr>
      <w:r>
        <w:rPr>
          <w:rFonts w:ascii="Times New Roman" w:hAnsi="Times New Roman" w:eastAsia="黑体"/>
          <w:b/>
          <w:color w:val="000000"/>
          <w:sz w:val="21"/>
        </w:rPr>
        <w:t>一、商业运作逻辑</w:t>
      </w:r>
    </w:p>
    <w:p>
      <w:pPr>
        <w:spacing w:before="0" w:after="0" w:line="300" w:lineRule="auto"/>
        <w:ind w:firstLine="420"/>
        <w:jc w:val="both"/>
      </w:pPr>
      <w:r>
        <w:rPr>
          <w:rFonts w:ascii="Times New Roman" w:hAnsi="Times New Roman" w:eastAsia="宋体"/>
          <w:b w:val="0"/>
          <w:color w:val="000000"/>
          <w:sz w:val="21"/>
        </w:rPr>
        <w:t>智学派采用“C 端 Freemium + B 端高校合作”的双引擎模式。C 端通过免费基础功能快速获取学生用户，再以高频答疑、深度诊断、考前冲刺和课件解析等功能促进付费转化。B 端则面向高校、学院和课程团队提供教学辅助系统、课程知识库建设和学习数据分析服务。</w:t>
      </w:r>
    </w:p>
    <w:p>
      <w:pPr>
        <w:spacing w:before="0" w:after="0" w:line="300" w:lineRule="auto"/>
        <w:ind w:firstLine="420"/>
        <w:jc w:val="both"/>
      </w:pPr>
      <w:r>
        <w:rPr>
          <w:rFonts w:ascii="Times New Roman" w:hAnsi="Times New Roman" w:eastAsia="宋体"/>
          <w:b w:val="0"/>
          <w:color w:val="000000"/>
          <w:sz w:val="21"/>
        </w:rPr>
        <w:t>这种模式能降低单一收入来源带来的风险。学生端有利于形成规模化数据和产品口碑，高校端有利于获得稳定合同收入和场景背书。两者之间形成正循环：高校试点带来种子用户，学生使用数据反过来证明教学辅助价值。</w:t>
      </w:r>
    </w:p>
    <w:p>
      <w:pPr>
        <w:pStyle w:val="Heading2"/>
        <w:spacing w:before="120" w:after="0" w:line="300" w:lineRule="auto"/>
        <w:jc w:val="left"/>
      </w:pPr>
      <w:r>
        <w:rPr>
          <w:rFonts w:ascii="Times New Roman" w:hAnsi="Times New Roman" w:eastAsia="黑体"/>
          <w:b/>
          <w:color w:val="000000"/>
          <w:sz w:val="21"/>
        </w:rPr>
        <w:t>二、进入市场方式</w:t>
      </w:r>
    </w:p>
    <w:p>
      <w:pPr>
        <w:spacing w:before="0" w:after="0" w:line="300" w:lineRule="auto"/>
        <w:ind w:firstLine="420"/>
        <w:jc w:val="both"/>
      </w:pPr>
      <w:r>
        <w:rPr>
          <w:rFonts w:ascii="Times New Roman" w:hAnsi="Times New Roman" w:eastAsia="宋体"/>
          <w:b w:val="0"/>
          <w:color w:val="000000"/>
          <w:sz w:val="21"/>
        </w:rPr>
        <w:t>项目冷启动从团队所在高校及周边高校切入，优先寻找高等数学、线性代数、程序设计等公共课教师合作，以“AI 助力课程学习试点”的方式进入班级。试点期为学生提供免费账号和课程专属知识库，教师获得班级学习薄弱点报告。通过一个班级、一个课程群、一个学院逐步扩散，降低传统广告获客成本。</w:t>
      </w:r>
    </w:p>
    <w:p>
      <w:pPr>
        <w:pStyle w:val="Heading2"/>
        <w:spacing w:before="120" w:after="0" w:line="300" w:lineRule="auto"/>
        <w:jc w:val="left"/>
      </w:pPr>
      <w:r>
        <w:rPr>
          <w:rFonts w:ascii="Times New Roman" w:hAnsi="Times New Roman" w:eastAsia="黑体"/>
          <w:b/>
          <w:color w:val="000000"/>
          <w:sz w:val="21"/>
        </w:rPr>
        <w:t>三、盈利模式与定价策略</w:t>
      </w:r>
    </w:p>
    <w:p>
      <w:pPr>
        <w:spacing w:before="60" w:after="60" w:line="300" w:lineRule="auto"/>
        <w:jc w:val="center"/>
      </w:pPr>
      <w:r>
        <w:rPr>
          <w:rFonts w:ascii="Times New Roman" w:hAnsi="Times New Roman" w:eastAsia="宋体"/>
          <w:b w:val="0"/>
          <w:color w:val="000000"/>
          <w:sz w:val="18"/>
        </w:rPr>
        <w:t>表 4 收入来源与定价设计</w:t>
      </w:r>
    </w:p>
    <w:tbl>
      <w:tblPr>
        <w:tblStyle w:val="TableGrid"/>
        <w:tblW w:type="dxa" w:w="9636"/>
        <w:jc w:val="center"/>
        <w:tblLayout w:type="fixed"/>
        <w:tblLook w:firstColumn="1" w:firstRow="1" w:lastColumn="0" w:lastRow="0" w:noHBand="0" w:noVBand="1" w:val="04A0"/>
      </w:tblPr>
      <w:tblGrid>
        <w:gridCol w:w="1814"/>
        <w:gridCol w:w="1814"/>
        <w:gridCol w:w="2494"/>
        <w:gridCol w:w="3514"/>
      </w:tblGrid>
      <w:tr>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收入来源</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目标客户</w:t>
            </w:r>
          </w:p>
        </w:tc>
        <w:tc>
          <w:tcPr>
            <w:tcW w:type="dxa" w:w="249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定价方式</w:t>
            </w:r>
          </w:p>
        </w:tc>
        <w:tc>
          <w:tcPr>
            <w:tcW w:type="dxa" w:w="35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说明</w:t>
            </w:r>
          </w:p>
        </w:tc>
      </w:tr>
      <w:tr>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C 端 Pro 订阅</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大学生个人用户</w:t>
            </w:r>
          </w:p>
        </w:tc>
        <w:tc>
          <w:tcPr>
            <w:tcW w:type="dxa" w:w="2494"/>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29.9 元／月，199 元／年</w:t>
            </w:r>
          </w:p>
        </w:tc>
        <w:tc>
          <w:tcPr>
            <w:tcW w:type="dxa" w:w="3514"/>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无限答疑、深度诊断、课件解析、考前计划。</w:t>
            </w:r>
          </w:p>
        </w:tc>
      </w:tr>
      <w:tr>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考前冲刺包</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期末备考用户</w:t>
            </w:r>
          </w:p>
        </w:tc>
        <w:tc>
          <w:tcPr>
            <w:tcW w:type="dxa" w:w="2494"/>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19.9 元／次起</w:t>
            </w:r>
          </w:p>
        </w:tc>
        <w:tc>
          <w:tcPr>
            <w:tcW w:type="dxa" w:w="3514"/>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高频考点、模拟题、错题复盘和冲刺计划。</w:t>
            </w:r>
          </w:p>
        </w:tc>
      </w:tr>
      <w:tr>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高校合作版</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高校、学院、课程团队</w:t>
            </w:r>
          </w:p>
        </w:tc>
        <w:tc>
          <w:tcPr>
            <w:tcW w:type="dxa" w:w="2494"/>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院系试点 10 至 20 万元／年；校级合作 50 至 100 万元／年</w:t>
            </w:r>
          </w:p>
        </w:tc>
        <w:tc>
          <w:tcPr>
            <w:tcW w:type="dxa" w:w="3514"/>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全校账号、教师端面板、课程知识库和 API 对接。</w:t>
            </w:r>
          </w:p>
        </w:tc>
      </w:tr>
      <w:tr>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课程内容共建</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教师团队、教研机构</w:t>
            </w:r>
          </w:p>
        </w:tc>
        <w:tc>
          <w:tcPr>
            <w:tcW w:type="dxa" w:w="2494"/>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项目制收费或收益分成</w:t>
            </w:r>
          </w:p>
        </w:tc>
        <w:tc>
          <w:tcPr>
            <w:tcW w:type="dxa" w:w="3514"/>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共建课程知识图谱、题库解析和教学数据报告。</w:t>
            </w:r>
          </w:p>
        </w:tc>
      </w:tr>
    </w:tbl>
    <w:p>
      <w:pPr>
        <w:spacing w:before="0" w:after="40" w:line="300" w:lineRule="auto"/>
        <w:jc w:val="both"/>
      </w:pPr>
      <w:r>
        <w:rPr>
          <w:rFonts w:ascii="Times New Roman" w:hAnsi="Times New Roman" w:eastAsia="宋体"/>
          <w:b w:val="0"/>
          <w:color w:val="000000"/>
          <w:sz w:val="21"/>
        </w:rPr>
      </w:r>
    </w:p>
    <w:p>
      <w:pPr>
        <w:pStyle w:val="Heading2"/>
        <w:spacing w:before="120" w:after="0" w:line="300" w:lineRule="auto"/>
        <w:jc w:val="left"/>
      </w:pPr>
      <w:r>
        <w:rPr>
          <w:rFonts w:ascii="Times New Roman" w:hAnsi="Times New Roman" w:eastAsia="黑体"/>
          <w:b/>
          <w:color w:val="000000"/>
          <w:sz w:val="21"/>
        </w:rPr>
        <w:t>四、运营流程</w:t>
      </w:r>
    </w:p>
    <w:p>
      <w:pPr>
        <w:spacing w:before="0" w:after="0" w:line="300" w:lineRule="auto"/>
        <w:ind w:firstLine="420"/>
        <w:jc w:val="both"/>
      </w:pPr>
      <w:r>
        <w:rPr>
          <w:rFonts w:ascii="Times New Roman" w:hAnsi="Times New Roman" w:eastAsia="宋体"/>
          <w:b w:val="0"/>
          <w:color w:val="000000"/>
          <w:sz w:val="21"/>
        </w:rPr>
        <w:t>运营流程分为课程建库、用户导入、学习服务、数据反馈和商业转化五个环节。课程建库阶段由团队对教材、课件和历年题型进行知识点拆分；用户导入阶段通过教师推荐、课程群邀请码和校园大使完成注册；学习服务阶段围绕答疑、路径、诊断和冲刺形成高频使用；数据反馈阶段向教师输出班级薄弱点和教学建议；商业转化阶段则通过 Pro 试用、考前冲刺包和高校续约实现收入。</w:t>
      </w:r>
    </w:p>
    <w:p>
      <w:pPr>
        <w:pStyle w:val="Heading2"/>
        <w:spacing w:before="120" w:after="0" w:line="300" w:lineRule="auto"/>
        <w:jc w:val="left"/>
      </w:pPr>
      <w:r>
        <w:rPr>
          <w:rFonts w:ascii="Times New Roman" w:hAnsi="Times New Roman" w:eastAsia="黑体"/>
          <w:b/>
          <w:color w:val="000000"/>
          <w:sz w:val="21"/>
        </w:rPr>
        <w:t>五、关键运营指标</w:t>
      </w:r>
    </w:p>
    <w:p>
      <w:pPr>
        <w:spacing w:before="60" w:after="60" w:line="300" w:lineRule="auto"/>
        <w:jc w:val="center"/>
      </w:pPr>
      <w:r>
        <w:rPr>
          <w:rFonts w:ascii="Times New Roman" w:hAnsi="Times New Roman" w:eastAsia="宋体"/>
          <w:b w:val="0"/>
          <w:color w:val="000000"/>
          <w:sz w:val="18"/>
        </w:rPr>
        <w:t>表 5 关键运营指标</w:t>
      </w:r>
    </w:p>
    <w:tbl>
      <w:tblPr>
        <w:tblStyle w:val="TableGrid"/>
        <w:tblW w:type="dxa" w:w="9636"/>
        <w:jc w:val="center"/>
        <w:tblLayout w:type="fixed"/>
        <w:tblLook w:firstColumn="1" w:firstRow="1" w:lastColumn="0" w:lastRow="0" w:noHBand="0" w:noVBand="1" w:val="04A0"/>
      </w:tblPr>
      <w:tblGrid>
        <w:gridCol w:w="2267"/>
        <w:gridCol w:w="2267"/>
        <w:gridCol w:w="5102"/>
      </w:tblGrid>
      <w:tr>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指标</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目标值</w:t>
            </w:r>
          </w:p>
        </w:tc>
        <w:tc>
          <w:tcPr>
            <w:tcW w:type="dxa" w:w="5102"/>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管理意义</w:t>
            </w:r>
          </w:p>
        </w:tc>
      </w:tr>
      <w:tr>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次日留存率</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35% 以上</w:t>
            </w:r>
          </w:p>
        </w:tc>
        <w:tc>
          <w:tcPr>
            <w:tcW w:type="dxa" w:w="5102"/>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判断新用户是否在首次使用中感受到价值。</w:t>
            </w:r>
          </w:p>
        </w:tc>
      </w:tr>
      <w:tr>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周留存率</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25% 以上</w:t>
            </w:r>
          </w:p>
        </w:tc>
        <w:tc>
          <w:tcPr>
            <w:tcW w:type="dxa" w:w="5102"/>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判断产品是否进入真实学习习惯。</w:t>
            </w:r>
          </w:p>
        </w:tc>
      </w:tr>
      <w:tr>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免费转付费率</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8% 至 15%</w:t>
            </w:r>
          </w:p>
        </w:tc>
        <w:tc>
          <w:tcPr>
            <w:tcW w:type="dxa" w:w="5102"/>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衡量 Pro 功能和考前场景的商业价值。</w:t>
            </w:r>
          </w:p>
        </w:tc>
      </w:tr>
      <w:tr>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获客成本</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8 至 12 元／人</w:t>
            </w:r>
          </w:p>
        </w:tc>
        <w:tc>
          <w:tcPr>
            <w:tcW w:type="dxa" w:w="5102"/>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控制校园推广和内容投放效率。</w:t>
            </w:r>
          </w:p>
        </w:tc>
      </w:tr>
      <w:tr>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LTV／CAC</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大于 5</w:t>
            </w:r>
          </w:p>
        </w:tc>
        <w:tc>
          <w:tcPr>
            <w:tcW w:type="dxa" w:w="5102"/>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判断用户生命周期价值是否覆盖获客成本。</w:t>
            </w:r>
          </w:p>
        </w:tc>
      </w:tr>
      <w:tr>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B 端续约率</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70% 以上</w:t>
            </w:r>
          </w:p>
        </w:tc>
        <w:tc>
          <w:tcPr>
            <w:tcW w:type="dxa" w:w="5102"/>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衡量高校合作服务的稳定性。</w:t>
            </w:r>
          </w:p>
        </w:tc>
      </w:tr>
    </w:tbl>
    <w:p>
      <w:pPr>
        <w:spacing w:before="0" w:after="40" w:line="300" w:lineRule="auto"/>
        <w:jc w:val="both"/>
      </w:pPr>
      <w:r>
        <w:rPr>
          <w:rFonts w:ascii="Times New Roman" w:hAnsi="Times New Roman" w:eastAsia="宋体"/>
          <w:b w:val="0"/>
          <w:color w:val="000000"/>
          <w:sz w:val="21"/>
        </w:rPr>
      </w:r>
    </w:p>
    <w:p>
      <w:r>
        <w:rPr>
          <w:color w:val="000000"/>
        </w:rPr>
        <w:br w:type="page"/>
      </w:r>
    </w:p>
    <w:p>
      <w:pPr>
        <w:pStyle w:val="Heading1"/>
        <w:spacing w:before="0" w:after="160" w:line="300" w:lineRule="auto"/>
        <w:jc w:val="center"/>
      </w:pPr>
      <w:r>
        <w:rPr>
          <w:rFonts w:ascii="Times New Roman" w:hAnsi="Times New Roman" w:eastAsia="黑体"/>
          <w:b/>
          <w:color w:val="000000"/>
          <w:sz w:val="28"/>
        </w:rPr>
        <w:t>第四章  市场分析</w:t>
      </w:r>
    </w:p>
    <w:p>
      <w:pPr>
        <w:pStyle w:val="Heading2"/>
        <w:spacing w:before="120" w:after="0" w:line="300" w:lineRule="auto"/>
        <w:jc w:val="left"/>
      </w:pPr>
      <w:r>
        <w:rPr>
          <w:rFonts w:ascii="Times New Roman" w:hAnsi="Times New Roman" w:eastAsia="黑体"/>
          <w:b/>
          <w:color w:val="000000"/>
          <w:sz w:val="21"/>
        </w:rPr>
        <w:t>一、市场容量与趋势</w:t>
      </w:r>
    </w:p>
    <w:p>
      <w:pPr>
        <w:spacing w:before="0" w:after="0" w:line="300" w:lineRule="auto"/>
        <w:ind w:firstLine="420"/>
        <w:jc w:val="both"/>
      </w:pPr>
      <w:r>
        <w:rPr>
          <w:rFonts w:ascii="Times New Roman" w:hAnsi="Times New Roman" w:eastAsia="宋体"/>
          <w:b w:val="0"/>
          <w:color w:val="000000"/>
          <w:sz w:val="21"/>
        </w:rPr>
        <w:t>我国高等教育在校生规模超过 4000 万人，大学生群体对数字化学习工具接受度高，且具有明确的考试通过、绩点提升、考研备考和技能学习需求。在线教育市场经过多年发展后，单纯录播课和题库产品的增长放缓，而 AI 个性化学习、智能助教和教学数据分析正在成为新的增长方向。</w:t>
      </w:r>
    </w:p>
    <w:p>
      <w:pPr>
        <w:spacing w:before="0" w:after="0" w:line="300" w:lineRule="auto"/>
        <w:ind w:firstLine="420"/>
        <w:jc w:val="both"/>
      </w:pPr>
      <w:r>
        <w:rPr>
          <w:rFonts w:ascii="Times New Roman" w:hAnsi="Times New Roman" w:eastAsia="宋体"/>
          <w:b w:val="0"/>
          <w:color w:val="000000"/>
          <w:sz w:val="21"/>
        </w:rPr>
        <w:t>从政策环境看，教育数字化、人工智能应用和高校教学改革持续受到鼓励。《中国教育现代化 2035》《新一代人工智能发展规划》以及教育强国相关政策均强调用信息技术提升教育质量和促进教育公平。智学派切入的大学课程 AI 学习场景，既符合学生端需求，也符合高校提升教学质量和学习支持能力的方向。</w:t>
      </w:r>
    </w:p>
    <w:p>
      <w:pPr>
        <w:spacing w:before="60" w:after="60" w:line="300" w:lineRule="auto"/>
        <w:jc w:val="center"/>
      </w:pPr>
      <w:r>
        <w:rPr>
          <w:rFonts w:ascii="Times New Roman" w:hAnsi="Times New Roman" w:eastAsia="宋体"/>
          <w:b w:val="0"/>
          <w:color w:val="000000"/>
          <w:sz w:val="18"/>
        </w:rPr>
        <w:t>表 6 目标市场规模测算</w:t>
      </w:r>
    </w:p>
    <w:tbl>
      <w:tblPr>
        <w:tblStyle w:val="TableGrid"/>
        <w:tblW w:type="dxa" w:w="9637"/>
        <w:jc w:val="center"/>
        <w:tblLayout w:type="fixed"/>
        <w:tblLook w:firstColumn="1" w:firstRow="1" w:lastColumn="0" w:lastRow="0" w:noHBand="0" w:noVBand="1" w:val="04A0"/>
      </w:tblPr>
      <w:tblGrid>
        <w:gridCol w:w="2721"/>
        <w:gridCol w:w="2381"/>
        <w:gridCol w:w="4535"/>
      </w:tblGrid>
      <w:tr>
        <w:tc>
          <w:tcPr>
            <w:tcW w:type="dxa" w:w="2721"/>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维度</w:t>
            </w:r>
          </w:p>
        </w:tc>
        <w:tc>
          <w:tcPr>
            <w:tcW w:type="dxa" w:w="2381"/>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保守测算</w:t>
            </w:r>
          </w:p>
        </w:tc>
        <w:tc>
          <w:tcPr>
            <w:tcW w:type="dxa" w:w="4535"/>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说明</w:t>
            </w:r>
          </w:p>
        </w:tc>
      </w:tr>
      <w:tr>
        <w:tc>
          <w:tcPr>
            <w:tcW w:type="dxa" w:w="2721"/>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中国高等教育在校生</w:t>
            </w:r>
          </w:p>
        </w:tc>
        <w:tc>
          <w:tcPr>
            <w:tcW w:type="dxa" w:w="2381"/>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4000 万人以上</w:t>
            </w:r>
          </w:p>
        </w:tc>
        <w:tc>
          <w:tcPr>
            <w:tcW w:type="dxa" w:w="4535"/>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本科、高职高专和研究生构成潜在用户基础。</w:t>
            </w:r>
          </w:p>
        </w:tc>
      </w:tr>
      <w:tr>
        <w:tc>
          <w:tcPr>
            <w:tcW w:type="dxa" w:w="2721"/>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初期核心用户</w:t>
            </w:r>
          </w:p>
        </w:tc>
        <w:tc>
          <w:tcPr>
            <w:tcW w:type="dxa" w:w="2381"/>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约 1500 万人</w:t>
            </w:r>
          </w:p>
        </w:tc>
        <w:tc>
          <w:tcPr>
            <w:tcW w:type="dxa" w:w="4535"/>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优先覆盖理工科公共课学习压力较高的学生。</w:t>
            </w:r>
          </w:p>
        </w:tc>
      </w:tr>
      <w:tr>
        <w:tc>
          <w:tcPr>
            <w:tcW w:type="dxa" w:w="2721"/>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三年注册目标</w:t>
            </w:r>
          </w:p>
        </w:tc>
        <w:tc>
          <w:tcPr>
            <w:tcW w:type="dxa" w:w="2381"/>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300 万人</w:t>
            </w:r>
          </w:p>
        </w:tc>
        <w:tc>
          <w:tcPr>
            <w:tcW w:type="dxa" w:w="4535"/>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对应核心市场约 20% 渗透率。</w:t>
            </w:r>
          </w:p>
        </w:tc>
      </w:tr>
      <w:tr>
        <w:tc>
          <w:tcPr>
            <w:tcW w:type="dxa" w:w="2721"/>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三年 Pro 用户目标</w:t>
            </w:r>
          </w:p>
        </w:tc>
        <w:tc>
          <w:tcPr>
            <w:tcW w:type="dxa" w:w="2381"/>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20 至 30 万人</w:t>
            </w:r>
          </w:p>
        </w:tc>
        <w:tc>
          <w:tcPr>
            <w:tcW w:type="dxa" w:w="4535"/>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按 8% 至 10% 左右付费转化率测算。</w:t>
            </w:r>
          </w:p>
        </w:tc>
      </w:tr>
      <w:tr>
        <w:tc>
          <w:tcPr>
            <w:tcW w:type="dxa" w:w="2721"/>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B 端合作目标</w:t>
            </w:r>
          </w:p>
        </w:tc>
        <w:tc>
          <w:tcPr>
            <w:tcW w:type="dxa" w:w="2381"/>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100 所高校或院系</w:t>
            </w:r>
          </w:p>
        </w:tc>
        <w:tc>
          <w:tcPr>
            <w:tcW w:type="dxa" w:w="4535"/>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以院系试点向校级合作逐步升级。</w:t>
            </w:r>
          </w:p>
        </w:tc>
      </w:tr>
    </w:tbl>
    <w:p>
      <w:pPr>
        <w:spacing w:before="0" w:after="40" w:line="300" w:lineRule="auto"/>
        <w:jc w:val="both"/>
      </w:pPr>
      <w:r>
        <w:rPr>
          <w:rFonts w:ascii="Times New Roman" w:hAnsi="Times New Roman" w:eastAsia="宋体"/>
          <w:b w:val="0"/>
          <w:color w:val="000000"/>
          <w:sz w:val="21"/>
        </w:rPr>
      </w:r>
    </w:p>
    <w:p>
      <w:pPr>
        <w:pStyle w:val="Heading2"/>
        <w:spacing w:before="120" w:after="0" w:line="300" w:lineRule="auto"/>
        <w:jc w:val="left"/>
      </w:pPr>
      <w:r>
        <w:rPr>
          <w:rFonts w:ascii="Times New Roman" w:hAnsi="Times New Roman" w:eastAsia="黑体"/>
          <w:b/>
          <w:color w:val="000000"/>
          <w:sz w:val="21"/>
        </w:rPr>
        <w:t>二、目标客户分析</w:t>
      </w:r>
    </w:p>
    <w:p>
      <w:pPr>
        <w:spacing w:before="0" w:after="0" w:line="300" w:lineRule="auto"/>
        <w:ind w:firstLine="420"/>
        <w:jc w:val="both"/>
      </w:pPr>
      <w:r>
        <w:rPr>
          <w:rFonts w:ascii="Times New Roman" w:hAnsi="Times New Roman" w:eastAsia="宋体"/>
          <w:b w:val="0"/>
          <w:color w:val="000000"/>
          <w:sz w:val="21"/>
        </w:rPr>
        <w:t>第一类客户是在校大学生，尤其是公共基础课压力较大、期末考试需求明确、愿意尝试 AI 工具的学生。他们价格敏感，但只要产品能直接提升学习效率和考试通过率，就愿意为低价订阅或考前冲刺包付费。</w:t>
      </w:r>
    </w:p>
    <w:p>
      <w:pPr>
        <w:spacing w:before="0" w:after="0" w:line="300" w:lineRule="auto"/>
        <w:ind w:firstLine="420"/>
        <w:jc w:val="both"/>
      </w:pPr>
      <w:r>
        <w:rPr>
          <w:rFonts w:ascii="Times New Roman" w:hAnsi="Times New Roman" w:eastAsia="宋体"/>
          <w:b w:val="0"/>
          <w:color w:val="000000"/>
          <w:sz w:val="21"/>
        </w:rPr>
        <w:t>第二类客户是高校教师和课程团队。他们关注学生是否真正理解课程内容，是否能及时发现共性问题，以及是否能减少重复答疑压力。智学派提供的班级薄弱点报告和课程问答数据，可作为教学改进和课程建设的参考。</w:t>
      </w:r>
    </w:p>
    <w:p>
      <w:pPr>
        <w:spacing w:before="0" w:after="0" w:line="300" w:lineRule="auto"/>
        <w:ind w:firstLine="420"/>
        <w:jc w:val="both"/>
      </w:pPr>
      <w:r>
        <w:rPr>
          <w:rFonts w:ascii="Times New Roman" w:hAnsi="Times New Roman" w:eastAsia="宋体"/>
          <w:b w:val="0"/>
          <w:color w:val="000000"/>
          <w:sz w:val="21"/>
        </w:rPr>
        <w:t>第三类客户是高校管理部门和学院。他们关注学业预警、挂科率、教学质量评价和数字化建设成果。B 端合作版可以作为学习支持中心、智慧教学平台或课程改革试点工具的一部分。</w:t>
      </w:r>
    </w:p>
    <w:p>
      <w:pPr>
        <w:pStyle w:val="Heading2"/>
        <w:spacing w:before="120" w:after="0" w:line="300" w:lineRule="auto"/>
        <w:jc w:val="left"/>
      </w:pPr>
      <w:r>
        <w:rPr>
          <w:rFonts w:ascii="Times New Roman" w:hAnsi="Times New Roman" w:eastAsia="黑体"/>
          <w:b/>
          <w:color w:val="000000"/>
          <w:sz w:val="21"/>
        </w:rPr>
        <w:t>三、竞争对手分析</w:t>
      </w:r>
    </w:p>
    <w:p>
      <w:pPr>
        <w:spacing w:before="60" w:after="60" w:line="300" w:lineRule="auto"/>
        <w:jc w:val="center"/>
      </w:pPr>
      <w:r>
        <w:rPr>
          <w:rFonts w:ascii="Times New Roman" w:hAnsi="Times New Roman" w:eastAsia="宋体"/>
          <w:b w:val="0"/>
          <w:color w:val="000000"/>
          <w:sz w:val="18"/>
        </w:rPr>
        <w:t>表 7 竞品对比分析</w:t>
      </w:r>
    </w:p>
    <w:tbl>
      <w:tblPr>
        <w:tblStyle w:val="TableGrid"/>
        <w:tblW w:type="dxa" w:w="9634"/>
        <w:jc w:val="center"/>
        <w:tblLayout w:type="fixed"/>
        <w:tblLook w:firstColumn="1" w:firstRow="1" w:lastColumn="0" w:lastRow="0" w:noHBand="0" w:noVBand="1" w:val="04A0"/>
      </w:tblPr>
      <w:tblGrid>
        <w:gridCol w:w="1700"/>
        <w:gridCol w:w="1814"/>
        <w:gridCol w:w="2040"/>
        <w:gridCol w:w="2040"/>
        <w:gridCol w:w="2040"/>
      </w:tblGrid>
      <w:tr>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竞品类型</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代表产品</w:t>
            </w:r>
          </w:p>
        </w:tc>
        <w:tc>
          <w:tcPr>
            <w:tcW w:type="dxa" w:w="204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优势</w:t>
            </w:r>
          </w:p>
        </w:tc>
        <w:tc>
          <w:tcPr>
            <w:tcW w:type="dxa" w:w="204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不足</w:t>
            </w:r>
          </w:p>
        </w:tc>
        <w:tc>
          <w:tcPr>
            <w:tcW w:type="dxa" w:w="204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智学派应对策略</w:t>
            </w:r>
          </w:p>
        </w:tc>
      </w:tr>
      <w:tr>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通用 AI 工具</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ChatGPT、Kimi、豆包等</w:t>
            </w:r>
          </w:p>
        </w:tc>
        <w:tc>
          <w:tcPr>
            <w:tcW w:type="dxa" w:w="2040"/>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模型能力强，用户认知度高。</w:t>
            </w:r>
          </w:p>
        </w:tc>
        <w:tc>
          <w:tcPr>
            <w:tcW w:type="dxa" w:w="2040"/>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不懂具体课程和教师课件，学习路径与诊断能力弱。</w:t>
            </w:r>
          </w:p>
        </w:tc>
        <w:tc>
          <w:tcPr>
            <w:tcW w:type="dxa" w:w="2040"/>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用课程知识库和知识图谱做垂直化差异。</w:t>
            </w:r>
          </w:p>
        </w:tc>
      </w:tr>
      <w:tr>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传统在线教育平台</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中国大学 MOOC、智慧树、超星学习通</w:t>
            </w:r>
          </w:p>
        </w:tc>
        <w:tc>
          <w:tcPr>
            <w:tcW w:type="dxa" w:w="2040"/>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课程资源和高校渠道较强。</w:t>
            </w:r>
          </w:p>
        </w:tc>
        <w:tc>
          <w:tcPr>
            <w:tcW w:type="dxa" w:w="2040"/>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互动性弱，学生主动使用意愿不足。</w:t>
            </w:r>
          </w:p>
        </w:tc>
        <w:tc>
          <w:tcPr>
            <w:tcW w:type="dxa" w:w="2040"/>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以 AI 互动和个性化反馈提升学习体验。</w:t>
            </w:r>
          </w:p>
        </w:tc>
      </w:tr>
      <w:tr>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搜题与题库工具</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作业帮、学小易、考途</w:t>
            </w:r>
          </w:p>
        </w:tc>
        <w:tc>
          <w:tcPr>
            <w:tcW w:type="dxa" w:w="2040"/>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题库丰富，使用习惯成熟。</w:t>
            </w:r>
          </w:p>
        </w:tc>
        <w:tc>
          <w:tcPr>
            <w:tcW w:type="dxa" w:w="2040"/>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偏向给答案，难以证明学生真正学会。</w:t>
            </w:r>
          </w:p>
        </w:tc>
        <w:tc>
          <w:tcPr>
            <w:tcW w:type="dxa" w:w="2040"/>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强调步骤讲解、错因分析和知识点补救。</w:t>
            </w:r>
          </w:p>
        </w:tc>
      </w:tr>
      <w:tr>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AI 教育公司</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有道 AI、学而思九章等</w:t>
            </w:r>
          </w:p>
        </w:tc>
        <w:tc>
          <w:tcPr>
            <w:tcW w:type="dxa" w:w="2040"/>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教育品牌和内容积累较深。</w:t>
            </w:r>
          </w:p>
        </w:tc>
        <w:tc>
          <w:tcPr>
            <w:tcW w:type="dxa" w:w="2040"/>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多聚焦 K12，高校课程覆盖不足。</w:t>
            </w:r>
          </w:p>
        </w:tc>
        <w:tc>
          <w:tcPr>
            <w:tcW w:type="dxa" w:w="2040"/>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聚焦大学课程，形成错位竞争和先发优势。</w:t>
            </w:r>
          </w:p>
        </w:tc>
      </w:tr>
    </w:tbl>
    <w:p>
      <w:pPr>
        <w:spacing w:before="0" w:after="40" w:line="300" w:lineRule="auto"/>
        <w:jc w:val="both"/>
      </w:pPr>
      <w:r>
        <w:rPr>
          <w:rFonts w:ascii="Times New Roman" w:hAnsi="Times New Roman" w:eastAsia="宋体"/>
          <w:b w:val="0"/>
          <w:color w:val="000000"/>
          <w:sz w:val="21"/>
        </w:rPr>
      </w:r>
    </w:p>
    <w:p>
      <w:pPr>
        <w:pStyle w:val="Heading2"/>
        <w:spacing w:before="120" w:after="0" w:line="300" w:lineRule="auto"/>
        <w:jc w:val="left"/>
      </w:pPr>
      <w:r>
        <w:rPr>
          <w:rFonts w:ascii="Times New Roman" w:hAnsi="Times New Roman" w:eastAsia="黑体"/>
          <w:b/>
          <w:color w:val="000000"/>
          <w:sz w:val="21"/>
        </w:rPr>
        <w:t>四、竞争策略</w:t>
      </w:r>
    </w:p>
    <w:p>
      <w:pPr>
        <w:spacing w:before="0" w:after="0" w:line="300" w:lineRule="auto"/>
        <w:ind w:firstLine="420"/>
        <w:jc w:val="both"/>
      </w:pPr>
      <w:r>
        <w:rPr>
          <w:rFonts w:ascii="Times New Roman" w:hAnsi="Times New Roman" w:eastAsia="宋体"/>
          <w:b w:val="0"/>
          <w:color w:val="000000"/>
          <w:sz w:val="21"/>
        </w:rPr>
        <w:t>智学派的竞争策略是聚焦、垂直和深度绑定。聚焦是指不一开始做全学段教育，而是先做好大学公共基础课和理工科核心课。垂直是指围绕课程知识图谱、课件检索和考试目标做专门优化，而不是简单套用通用聊天模型。深度绑定是指通过教师试点、课程群运营和高校合作建立场景入口，让产品出现在学生真实学习链路中。</w:t>
      </w:r>
    </w:p>
    <w:p>
      <w:pPr>
        <w:pStyle w:val="Heading2"/>
        <w:spacing w:before="120" w:after="0" w:line="300" w:lineRule="auto"/>
        <w:jc w:val="left"/>
      </w:pPr>
      <w:r>
        <w:rPr>
          <w:rFonts w:ascii="Times New Roman" w:hAnsi="Times New Roman" w:eastAsia="黑体"/>
          <w:b/>
          <w:color w:val="000000"/>
          <w:sz w:val="21"/>
        </w:rPr>
        <w:t>五、市场进入与增长节奏</w:t>
      </w:r>
    </w:p>
    <w:p>
      <w:pPr>
        <w:spacing w:before="0" w:after="0" w:line="300" w:lineRule="auto"/>
        <w:ind w:firstLine="420"/>
        <w:jc w:val="both"/>
      </w:pPr>
      <w:r>
        <w:rPr>
          <w:rFonts w:ascii="Times New Roman" w:hAnsi="Times New Roman" w:eastAsia="宋体"/>
          <w:b w:val="0"/>
          <w:color w:val="000000"/>
          <w:sz w:val="21"/>
        </w:rPr>
        <w:t>第一年为种子期，目标是覆盖 50 所高校，重点验证产品市场契合度。第二年为增长期，借助校园大使、内容营销和院系合作扩展至 300 所高校。第三年为扩张期，在稳定大学课程场景后，进入考研、考公、四六级和职业证书备考市场，形成第二增长曲线。</w:t>
      </w:r>
    </w:p>
    <w:p>
      <w:r>
        <w:rPr>
          <w:color w:val="000000"/>
        </w:rPr>
        <w:br w:type="page"/>
      </w:r>
    </w:p>
    <w:p>
      <w:pPr>
        <w:pStyle w:val="Heading1"/>
        <w:spacing w:before="0" w:after="160" w:line="300" w:lineRule="auto"/>
        <w:jc w:val="center"/>
      </w:pPr>
      <w:r>
        <w:rPr>
          <w:rFonts w:ascii="Times New Roman" w:hAnsi="Times New Roman" w:eastAsia="黑体"/>
          <w:b/>
          <w:color w:val="000000"/>
          <w:sz w:val="28"/>
        </w:rPr>
        <w:t>第五章  营销与销售</w:t>
      </w:r>
    </w:p>
    <w:p>
      <w:pPr>
        <w:pStyle w:val="Heading2"/>
        <w:spacing w:before="120" w:after="0" w:line="300" w:lineRule="auto"/>
        <w:jc w:val="left"/>
      </w:pPr>
      <w:r>
        <w:rPr>
          <w:rFonts w:ascii="Times New Roman" w:hAnsi="Times New Roman" w:eastAsia="黑体"/>
          <w:b/>
          <w:color w:val="000000"/>
          <w:sz w:val="21"/>
        </w:rPr>
        <w:t>一、获客策略</w:t>
      </w:r>
    </w:p>
    <w:p>
      <w:pPr>
        <w:spacing w:before="0" w:after="0" w:line="300" w:lineRule="auto"/>
        <w:ind w:firstLine="420"/>
        <w:jc w:val="both"/>
      </w:pPr>
      <w:r>
        <w:rPr>
          <w:rFonts w:ascii="Times New Roman" w:hAnsi="Times New Roman" w:eastAsia="宋体"/>
          <w:b w:val="0"/>
          <w:color w:val="000000"/>
          <w:sz w:val="21"/>
        </w:rPr>
        <w:t>智学派的获客重点不放在大规模硬广，而放在校园场景中的低成本裂变。项目通过课程群邀请码、教师推荐、学习社群分享和校园大使拉新，触达有即时学习需求的学生。对于期末考试、补考、考研基础课等高压场景，产品用“考前两周冲刺计划”“AI 讲懂一类题”等内容吸引用户首次体验。</w:t>
      </w:r>
    </w:p>
    <w:p>
      <w:pPr>
        <w:pStyle w:val="Heading2"/>
        <w:spacing w:before="120" w:after="0" w:line="300" w:lineRule="auto"/>
        <w:jc w:val="left"/>
      </w:pPr>
      <w:r>
        <w:rPr>
          <w:rFonts w:ascii="Times New Roman" w:hAnsi="Times New Roman" w:eastAsia="黑体"/>
          <w:b/>
          <w:color w:val="000000"/>
          <w:sz w:val="21"/>
        </w:rPr>
        <w:t>二、转化策略</w:t>
      </w:r>
    </w:p>
    <w:p>
      <w:pPr>
        <w:spacing w:before="0" w:after="0" w:line="300" w:lineRule="auto"/>
        <w:ind w:firstLine="420"/>
        <w:jc w:val="both"/>
      </w:pPr>
      <w:r>
        <w:rPr>
          <w:rFonts w:ascii="Times New Roman" w:hAnsi="Times New Roman" w:eastAsia="宋体"/>
          <w:b w:val="0"/>
          <w:color w:val="000000"/>
          <w:sz w:val="21"/>
        </w:rPr>
        <w:t>免费版保留每日基础答疑和有限学习路径，让用户可以低门槛体验核心价值。Pro 版则提供无限答疑、深度诊断报告、课件解析和考前冲刺计划。转化节点主要设置在考试前、连续使用达到一定次数、完成知识点诊断后，以及用户上传课件并需要深度解析时。</w:t>
      </w:r>
    </w:p>
    <w:p>
      <w:pPr>
        <w:pStyle w:val="Heading2"/>
        <w:spacing w:before="120" w:after="0" w:line="300" w:lineRule="auto"/>
        <w:jc w:val="left"/>
      </w:pPr>
      <w:r>
        <w:rPr>
          <w:rFonts w:ascii="Times New Roman" w:hAnsi="Times New Roman" w:eastAsia="黑体"/>
          <w:b/>
          <w:color w:val="000000"/>
          <w:sz w:val="21"/>
        </w:rPr>
        <w:t>三、留存策略</w:t>
      </w:r>
    </w:p>
    <w:p>
      <w:pPr>
        <w:spacing w:before="0" w:after="0" w:line="300" w:lineRule="auto"/>
        <w:ind w:firstLine="420"/>
        <w:jc w:val="both"/>
      </w:pPr>
      <w:r>
        <w:rPr>
          <w:rFonts w:ascii="Times New Roman" w:hAnsi="Times New Roman" w:eastAsia="宋体"/>
          <w:b w:val="0"/>
          <w:color w:val="000000"/>
          <w:sz w:val="21"/>
        </w:rPr>
        <w:t>留存依赖产品是否持续帮助学生解决学习问题。平台会通过每日学习打卡、薄弱知识点提醒、阶段性复习计划、学习周报和班级匿名对比等方式，让学生形成持续使用习惯。对于长期未使用用户，系统只在考试节点和薄弱点复习节点进行低频提醒，避免过度打扰。</w:t>
      </w:r>
    </w:p>
    <w:p>
      <w:pPr>
        <w:pStyle w:val="Heading2"/>
        <w:spacing w:before="120" w:after="0" w:line="300" w:lineRule="auto"/>
        <w:jc w:val="left"/>
      </w:pPr>
      <w:r>
        <w:rPr>
          <w:rFonts w:ascii="Times New Roman" w:hAnsi="Times New Roman" w:eastAsia="黑体"/>
          <w:b/>
          <w:color w:val="000000"/>
          <w:sz w:val="21"/>
        </w:rPr>
        <w:t>四、品牌定位</w:t>
      </w:r>
    </w:p>
    <w:p>
      <w:pPr>
        <w:spacing w:before="0" w:after="0" w:line="300" w:lineRule="auto"/>
        <w:ind w:firstLine="420"/>
        <w:jc w:val="both"/>
      </w:pPr>
      <w:r>
        <w:rPr>
          <w:rFonts w:ascii="Times New Roman" w:hAnsi="Times New Roman" w:eastAsia="宋体"/>
          <w:b w:val="0"/>
          <w:color w:val="000000"/>
          <w:sz w:val="21"/>
        </w:rPr>
        <w:t>智学派的品牌口号为“你的 AI 学长，24 小时在线”。品牌调性强调年轻、可靠、陪伴式和懂学生，不制造教育焦虑，而是把复杂课程拆成可理解、可跟进、可复习的学习任务。</w:t>
      </w:r>
    </w:p>
    <w:p>
      <w:pPr>
        <w:pStyle w:val="Heading2"/>
        <w:spacing w:before="120" w:after="0" w:line="300" w:lineRule="auto"/>
        <w:jc w:val="left"/>
      </w:pPr>
      <w:r>
        <w:rPr>
          <w:rFonts w:ascii="Times New Roman" w:hAnsi="Times New Roman" w:eastAsia="黑体"/>
          <w:b/>
          <w:color w:val="000000"/>
          <w:sz w:val="21"/>
        </w:rPr>
        <w:t>五、销售路径</w:t>
      </w:r>
    </w:p>
    <w:p>
      <w:pPr>
        <w:spacing w:before="0" w:after="0" w:line="300" w:lineRule="auto"/>
        <w:ind w:firstLine="420"/>
        <w:jc w:val="both"/>
      </w:pPr>
      <w:r>
        <w:rPr>
          <w:rFonts w:ascii="Times New Roman" w:hAnsi="Times New Roman" w:eastAsia="宋体"/>
          <w:b w:val="0"/>
          <w:color w:val="000000"/>
          <w:sz w:val="21"/>
        </w:rPr>
        <w:t>B 端销售采取“免费试点、数据证明、院系付费、校级扩展”的路径。试点阶段用一个课程或一个学院证明学习效果，例如答疑响应速度、学生使用率、薄弱点报告质量和教师重复答疑减少情况。形成案例后，再向学院和学校信息化部门推进年度合作。</w:t>
      </w:r>
    </w:p>
    <w:p>
      <w:r>
        <w:rPr>
          <w:color w:val="000000"/>
        </w:rPr>
        <w:br w:type="page"/>
      </w:r>
    </w:p>
    <w:p>
      <w:pPr>
        <w:pStyle w:val="Heading1"/>
        <w:spacing w:before="0" w:after="160" w:line="300" w:lineRule="auto"/>
        <w:jc w:val="center"/>
      </w:pPr>
      <w:r>
        <w:rPr>
          <w:rFonts w:ascii="Times New Roman" w:hAnsi="Times New Roman" w:eastAsia="黑体"/>
          <w:b/>
          <w:color w:val="000000"/>
          <w:sz w:val="28"/>
        </w:rPr>
        <w:t>第六章  公司概述与创业团队</w:t>
      </w:r>
    </w:p>
    <w:p>
      <w:pPr>
        <w:pStyle w:val="Heading2"/>
        <w:spacing w:before="120" w:after="0" w:line="300" w:lineRule="auto"/>
        <w:jc w:val="left"/>
      </w:pPr>
      <w:r>
        <w:rPr>
          <w:rFonts w:ascii="Times New Roman" w:hAnsi="Times New Roman" w:eastAsia="黑体"/>
          <w:b/>
          <w:color w:val="000000"/>
          <w:sz w:val="21"/>
        </w:rPr>
        <w:t>一、公司概述</w:t>
      </w:r>
    </w:p>
    <w:p>
      <w:pPr>
        <w:spacing w:before="0" w:after="0" w:line="300" w:lineRule="auto"/>
        <w:ind w:firstLine="420"/>
        <w:jc w:val="both"/>
      </w:pPr>
      <w:r>
        <w:rPr>
          <w:color w:val="000000"/>
        </w:rPr>
      </w:r>
      <w:r>
        <w:rPr>
          <w:rFonts w:ascii="Times New Roman" w:hAnsi="Times New Roman" w:eastAsia="宋体"/>
          <w:b w:val="0"/>
          <w:color w:val="000000"/>
          <w:sz w:val="21"/>
        </w:rPr>
        <w:t>智学派教育科技有限公司（拟）是一家由南京信息工程大学计算机科学与技术专业学生团队发起的 AI+教育科技创业项目。团队核心成员具备企业级 AI Agent 平台研发、多智能体应用开发、校园软件项目交付、云原生运维、CI/CD 自动化部署和高校场景产品理解能力，能够把“大学生真实学习痛点”与“可落地的软件工程能力”结合起来，推动项目从课程作业方案走向可试点 MVP。</w:t>
      </w:r>
    </w:p>
    <w:p>
      <w:pPr>
        <w:pStyle w:val="Heading2"/>
        <w:spacing w:before="120" w:after="0" w:line="300" w:lineRule="auto"/>
        <w:jc w:val="left"/>
      </w:pPr>
      <w:r>
        <w:rPr>
          <w:rFonts w:ascii="Times New Roman" w:hAnsi="Times New Roman" w:eastAsia="黑体"/>
          <w:b/>
          <w:color w:val="000000"/>
          <w:sz w:val="21"/>
        </w:rPr>
        <w:t>二、愿景与使命</w:t>
      </w:r>
    </w:p>
    <w:p>
      <w:pPr>
        <w:spacing w:before="0" w:after="0" w:line="300" w:lineRule="auto"/>
        <w:ind w:firstLine="420"/>
        <w:jc w:val="both"/>
      </w:pPr>
      <w:r>
        <w:rPr>
          <w:rFonts w:ascii="Times New Roman" w:hAnsi="Times New Roman" w:eastAsia="宋体"/>
          <w:b w:val="0"/>
          <w:color w:val="000000"/>
          <w:sz w:val="21"/>
        </w:rPr>
        <w:t>公司愿景是成为大学生首选的 AI 学习平台，让每个学生都拥有自己的 AI 导师。公司使命是利用大模型和教育数据技术降低优质学习支持的门槛，让因材施教从理念走向可规模化落地的产品。</w:t>
      </w:r>
    </w:p>
    <w:p>
      <w:pPr>
        <w:pStyle w:val="Heading2"/>
        <w:spacing w:before="120" w:after="0" w:line="300" w:lineRule="auto"/>
        <w:jc w:val="left"/>
      </w:pPr>
      <w:r>
        <w:rPr>
          <w:rFonts w:ascii="Times New Roman" w:hAnsi="Times New Roman" w:eastAsia="黑体"/>
          <w:b/>
          <w:color w:val="000000"/>
          <w:sz w:val="21"/>
        </w:rPr>
        <w:t>三、组织结构</w:t>
      </w:r>
    </w:p>
    <w:p>
      <w:pPr>
        <w:spacing w:before="60" w:after="60" w:line="300" w:lineRule="auto"/>
        <w:jc w:val="center"/>
      </w:pPr>
      <w:r>
        <w:rPr>
          <w:color w:val="000000"/>
        </w:rPr>
      </w:r>
      <w:r>
        <w:rPr>
          <w:rFonts w:ascii="Times New Roman" w:hAnsi="Times New Roman" w:eastAsia="宋体"/>
          <w:b w:val="0"/>
          <w:color w:val="000000"/>
          <w:sz w:val="18"/>
        </w:rPr>
        <w:t>表 8 核心成员能力画像与岗位匹配</w:t>
      </w:r>
    </w:p>
    <w:tbl>
      <w:tblPr>
        <w:tblStyle w:val="TableGrid"/>
        <w:tblW w:type="dxa" w:w="9636"/>
        <w:jc w:val="center"/>
        <w:tblLayout w:type="fixed"/>
        <w:tblLook w:firstColumn="1" w:firstRow="1" w:lastColumn="0" w:lastRow="0" w:noHBand="0" w:noVBand="1" w:val="04A0"/>
      </w:tblPr>
      <w:tblGrid>
        <w:gridCol w:w="1814"/>
        <w:gridCol w:w="4648"/>
        <w:gridCol w:w="3174"/>
      </w:tblGrid>
      <w:tr>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成员</w:t>
            </w:r>
          </w:p>
        </w:tc>
        <w:tc>
          <w:tcPr>
            <w:tcW w:type="dxa" w:w="4648"/>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团队角色</w:t>
            </w:r>
          </w:p>
        </w:tc>
        <w:tc>
          <w:tcPr>
            <w:tcW w:type="dxa" w:w="317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能力关键词与项目贡献</w:t>
            </w:r>
          </w:p>
        </w:tc>
      </w:tr>
      <w:tr>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李林浩</w:t>
            </w:r>
          </w:p>
        </w:tc>
        <w:tc>
          <w:tcPr>
            <w:tcW w:type="dxa" w:w="4648"/>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项目负责人 / AI Agent 与后端架构负责人</w:t>
            </w:r>
          </w:p>
        </w:tc>
        <w:tc>
          <w:tcPr>
            <w:tcW w:type="dxa" w:w="3174"/>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校园软件技术团队负责人，具备企业级 AI Agent 平台开发实习经历，参与 Agent Memory、插件运行时、编程代理集成、飞书会话接入、企业身份与账号绑定、多实例通信可靠性等工程模块；掌握 Spring Boot、Redis、MySQL、Vue、LangChain、LangGraph、RAG、Agent Runtime、上下文工程、提示词工程和 AI 辅助开发；曾负责微信公众号内容管理系统、校园餐饮评价小程序等项目从 0 到 1 落地，兼具技术研发、产品交付和团队协作能力。</w:t>
            </w:r>
          </w:p>
        </w:tc>
      </w:tr>
      <w:tr>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周可名</w:t>
            </w:r>
          </w:p>
        </w:tc>
        <w:tc>
          <w:tcPr>
            <w:tcW w:type="dxa" w:w="4648"/>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运维与平台可靠性负责人</w:t>
            </w:r>
          </w:p>
        </w:tc>
        <w:tc>
          <w:tcPr>
            <w:tcW w:type="dxa" w:w="3174"/>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英语六级 701/710，具备扎实计算机基础与较强英文资料阅读能力；熟悉 Docker、Docker Compose、Jenkins、GitLab、Flyway、Caddy、K3s/K8s 等运维与云原生工具；参与校园美食推荐系统和微信公众号管理系统运维，能够搭建自动化发版流程、管理数据库版本、配置网关与 SSL 证书、维护云服务器安全组和对象存储权限，适合承担平台上线、持续交付和稳定性保障工作。</w:t>
            </w:r>
          </w:p>
        </w:tc>
      </w:tr>
      <w:tr>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余越</w:t>
            </w:r>
          </w:p>
        </w:tc>
        <w:tc>
          <w:tcPr>
            <w:tcW w:type="dxa" w:w="4648"/>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AI 应用与全栈产品负责人</w:t>
            </w:r>
          </w:p>
        </w:tc>
        <w:tc>
          <w:tcPr>
            <w:tcW w:type="dxa" w:w="3174"/>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蓝桥杯江苏省 C++ 组省一，获得校级奖学金、三好学生，英语四六级通过；熟悉 Java、Spring Boot、MyBatis/MyBatis-Plus、MySQL、Redis、Vue3、React、TypeScript、RESTful API、RBAC 与 Token 认证机制；参与基于 Spring AI Alibaba 和 StateGraph 的多智能体自媒体文章创作工具，负责选题、标题、大纲、正文、配图等 Agent 编排、SSE 流式输出、React18 + Ant Design Pro 后台和多策略配图系统；参与校园老吃家用户权限与密码管理模块重构，具备 AI 应用工程化、全栈开发和产品体验优化能力。</w:t>
            </w:r>
          </w:p>
        </w:tc>
      </w:tr>
    </w:tbl>
    <w:p>
      <w:pPr>
        <w:spacing w:before="0" w:after="40" w:line="300" w:lineRule="auto"/>
        <w:jc w:val="both"/>
      </w:pPr>
      <w:r>
        <w:rPr>
          <w:rFonts w:ascii="Times New Roman" w:hAnsi="Times New Roman" w:eastAsia="宋体"/>
          <w:b w:val="0"/>
          <w:color w:val="000000"/>
          <w:sz w:val="21"/>
        </w:rPr>
      </w:r>
    </w:p>
    <w:p>
      <w:pPr>
        <w:pStyle w:val="Heading2"/>
        <w:spacing w:before="120" w:after="0" w:line="300" w:lineRule="auto"/>
        <w:jc w:val="left"/>
      </w:pPr>
      <w:r>
        <w:rPr>
          <w:rFonts w:ascii="Times New Roman" w:hAnsi="Times New Roman" w:eastAsia="黑体"/>
          <w:b/>
          <w:color w:val="000000"/>
          <w:sz w:val="21"/>
        </w:rPr>
        <w:t>四、团队优势</w:t>
      </w:r>
    </w:p>
    <w:p>
      <w:pPr>
        <w:spacing w:before="0" w:after="0" w:line="300" w:lineRule="auto"/>
        <w:ind w:firstLine="420"/>
        <w:jc w:val="both"/>
      </w:pPr>
      <w:r>
        <w:rPr>
          <w:color w:val="000000"/>
        </w:rPr>
      </w:r>
      <w:r>
        <w:rPr>
          <w:rFonts w:ascii="Times New Roman" w:hAnsi="Times New Roman" w:eastAsia="宋体"/>
          <w:b w:val="0"/>
          <w:color w:val="000000"/>
          <w:sz w:val="21"/>
        </w:rPr>
        <w:t>团队目前由三名计算机科学与技术专业核心成员构成，形成“AI Agent 平台研发 + 多智能体应用开发 + 云原生运维交付”的互补组合。李林浩负责项目统筹、AI Agent/RAG 技术路线、后端架构与产品闭环，具备企业级 Agent 平台实习和多个线上项目交付经验；余越负责 Spring AI 多智能体应用、SSE 流式交互、React 后台和权限安全模块，具备蓝桥杯省一和全栈 AI 应用落地经验；周可名负责容器化部署、CI/CD、云服务资源、安全配置和数据库版本管理，具备运维流水线、Docker Compose、Flyway、Caddy、Jenkins 等工程化能力。三名成员都熟悉 AI 辅助开发，能够在较短周期内完成原型开发、部署上线、反馈迭代和稳定性保障。</w:t>
      </w:r>
    </w:p>
    <w:p>
      <w:pPr>
        <w:pStyle w:val="Heading2"/>
        <w:spacing w:before="120" w:after="0" w:line="300" w:lineRule="auto"/>
        <w:jc w:val="left"/>
      </w:pPr>
      <w:r>
        <w:rPr>
          <w:rFonts w:ascii="Times New Roman" w:hAnsi="Times New Roman" w:eastAsia="黑体"/>
          <w:b/>
          <w:color w:val="000000"/>
          <w:sz w:val="21"/>
        </w:rPr>
        <w:t>五、外部协作</w:t>
      </w:r>
    </w:p>
    <w:p>
      <w:pPr>
        <w:spacing w:before="0" w:after="0" w:line="300" w:lineRule="auto"/>
        <w:ind w:firstLine="420"/>
        <w:jc w:val="both"/>
      </w:pPr>
      <w:r>
        <w:rPr>
          <w:rFonts w:ascii="Times New Roman" w:hAnsi="Times New Roman" w:eastAsia="宋体"/>
          <w:b w:val="0"/>
          <w:color w:val="000000"/>
          <w:sz w:val="21"/>
        </w:rPr>
        <w:t>项目计划与高校教师、学习社团、创业导师、云服务厂商和法律财务顾问建立合作。高校教师负责课程内容把关，学习社团和校园大使负责用户触达，云服务厂商提供算力与存储支持，法律财务顾问协助知识产权、公司注册、合同和合规建设。</w:t>
      </w:r>
    </w:p>
    <w:p>
      <w:pPr>
        <w:pStyle w:val="Heading2"/>
        <w:spacing w:before="120" w:after="0" w:line="300" w:lineRule="auto"/>
        <w:jc w:val="left"/>
      </w:pPr>
      <w:r>
        <w:rPr>
          <w:rFonts w:ascii="Times New Roman" w:hAnsi="Times New Roman" w:eastAsia="黑体"/>
          <w:b/>
          <w:color w:val="000000"/>
          <w:sz w:val="21"/>
        </w:rPr>
        <w:t>六、知识产权策略</w:t>
      </w:r>
    </w:p>
    <w:p>
      <w:pPr>
        <w:spacing w:before="0" w:after="0" w:line="300" w:lineRule="auto"/>
        <w:ind w:firstLine="420"/>
        <w:jc w:val="both"/>
      </w:pPr>
      <w:r>
        <w:rPr>
          <w:rFonts w:ascii="Times New Roman" w:hAnsi="Times New Roman" w:eastAsia="宋体"/>
          <w:b w:val="0"/>
          <w:color w:val="000000"/>
          <w:sz w:val="21"/>
        </w:rPr>
        <w:t>公司拟围绕“智学派”“LearnGen”品牌申请商标保护；围绕 App、Web 平台和教师管理后台申请软件著作权；围绕学习路径推荐、课程知识图谱构建和 RAG 课程问答系统申请发明专利或实用新型；课程知识库、提示词模板和学习行为分析模型作为商业秘密管理。</w:t>
      </w:r>
    </w:p>
    <w:p>
      <w:r>
        <w:rPr>
          <w:color w:val="000000"/>
        </w:rPr>
        <w:br w:type="page"/>
      </w:r>
    </w:p>
    <w:p>
      <w:pPr>
        <w:pStyle w:val="Heading1"/>
        <w:spacing w:before="0" w:after="160" w:line="300" w:lineRule="auto"/>
        <w:jc w:val="center"/>
      </w:pPr>
      <w:r>
        <w:rPr>
          <w:rFonts w:ascii="Times New Roman" w:hAnsi="Times New Roman" w:eastAsia="黑体"/>
          <w:b/>
          <w:color w:val="000000"/>
          <w:sz w:val="28"/>
        </w:rPr>
        <w:t>第七章  财务分析</w:t>
      </w:r>
    </w:p>
    <w:p>
      <w:pPr>
        <w:pStyle w:val="Heading2"/>
        <w:spacing w:before="120" w:after="0" w:line="300" w:lineRule="auto"/>
        <w:jc w:val="left"/>
      </w:pPr>
      <w:r>
        <w:rPr>
          <w:rFonts w:ascii="Times New Roman" w:hAnsi="Times New Roman" w:eastAsia="黑体"/>
          <w:b/>
          <w:color w:val="000000"/>
          <w:sz w:val="21"/>
        </w:rPr>
        <w:t>一、资本需求</w:t>
      </w:r>
    </w:p>
    <w:p>
      <w:pPr>
        <w:spacing w:before="0" w:after="0" w:line="300" w:lineRule="auto"/>
        <w:ind w:firstLine="420"/>
        <w:jc w:val="both"/>
      </w:pPr>
      <w:r>
        <w:rPr>
          <w:rFonts w:ascii="Times New Roman" w:hAnsi="Times New Roman" w:eastAsia="宋体"/>
          <w:b w:val="0"/>
          <w:color w:val="000000"/>
          <w:sz w:val="21"/>
        </w:rPr>
        <w:t>项目启动期计划融资 300 万元人民币，用于完成 MVP 产品研发、课程知识库建设、校园试点推广和基础运营。融资形式可包括团队自筹、大学生创业基金、创业比赛奖金、天使投资和政府创新创业扶持资金。</w:t>
      </w:r>
    </w:p>
    <w:p>
      <w:pPr>
        <w:spacing w:before="60" w:after="60" w:line="300" w:lineRule="auto"/>
        <w:jc w:val="center"/>
      </w:pPr>
      <w:r>
        <w:rPr>
          <w:rFonts w:ascii="Times New Roman" w:hAnsi="Times New Roman" w:eastAsia="宋体"/>
          <w:b w:val="0"/>
          <w:color w:val="000000"/>
          <w:sz w:val="18"/>
        </w:rPr>
        <w:t>表 9 启动资金使用计划</w:t>
      </w:r>
    </w:p>
    <w:tbl>
      <w:tblPr>
        <w:tblStyle w:val="TableGrid"/>
        <w:tblW w:type="dxa" w:w="9636"/>
        <w:jc w:val="center"/>
        <w:tblLayout w:type="fixed"/>
        <w:tblLook w:firstColumn="1" w:firstRow="1" w:lastColumn="0" w:lastRow="0" w:noHBand="0" w:noVBand="1" w:val="04A0"/>
      </w:tblPr>
      <w:tblGrid>
        <w:gridCol w:w="2267"/>
        <w:gridCol w:w="1814"/>
        <w:gridCol w:w="1360"/>
        <w:gridCol w:w="4195"/>
      </w:tblGrid>
      <w:tr>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用途</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金额（万元）</w:t>
            </w:r>
          </w:p>
        </w:tc>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占比</w:t>
            </w:r>
          </w:p>
        </w:tc>
        <w:tc>
          <w:tcPr>
            <w:tcW w:type="dxa" w:w="4195"/>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说明</w:t>
            </w:r>
          </w:p>
        </w:tc>
      </w:tr>
      <w:tr>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产品研发</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150</w:t>
            </w:r>
          </w:p>
        </w:tc>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50%</w:t>
            </w:r>
          </w:p>
        </w:tc>
        <w:tc>
          <w:tcPr>
            <w:tcW w:type="dxa" w:w="4195"/>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前后端开发、AI 引擎、知识图谱、数据安全和测试。</w:t>
            </w:r>
          </w:p>
        </w:tc>
      </w:tr>
      <w:tr>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课程内容建设</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45</w:t>
            </w:r>
          </w:p>
        </w:tc>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15%</w:t>
            </w:r>
          </w:p>
        </w:tc>
        <w:tc>
          <w:tcPr>
            <w:tcW w:type="dxa" w:w="4195"/>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首批课程知识点拆分、题库解析、教师顾问和内容审核。</w:t>
            </w:r>
          </w:p>
        </w:tc>
      </w:tr>
      <w:tr>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市场推广</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60</w:t>
            </w:r>
          </w:p>
        </w:tc>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20%</w:t>
            </w:r>
          </w:p>
        </w:tc>
        <w:tc>
          <w:tcPr>
            <w:tcW w:type="dxa" w:w="4195"/>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校园大使、内容营销、试点活动和用户激励。</w:t>
            </w:r>
          </w:p>
        </w:tc>
      </w:tr>
      <w:tr>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云服务与运维</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30</w:t>
            </w:r>
          </w:p>
        </w:tc>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10%</w:t>
            </w:r>
          </w:p>
        </w:tc>
        <w:tc>
          <w:tcPr>
            <w:tcW w:type="dxa" w:w="4195"/>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模型 API、GPU 实例、向量数据库、存储和带宽。</w:t>
            </w:r>
          </w:p>
        </w:tc>
      </w:tr>
      <w:tr>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法务财务与办公</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15</w:t>
            </w:r>
          </w:p>
        </w:tc>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5%</w:t>
            </w:r>
          </w:p>
        </w:tc>
        <w:tc>
          <w:tcPr>
            <w:tcW w:type="dxa" w:w="4195"/>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公司注册、知识产权、合同、办公和基础行政。</w:t>
            </w:r>
          </w:p>
        </w:tc>
      </w:tr>
    </w:tbl>
    <w:p>
      <w:pPr>
        <w:spacing w:before="0" w:after="40" w:line="300" w:lineRule="auto"/>
        <w:jc w:val="both"/>
      </w:pPr>
      <w:r>
        <w:rPr>
          <w:rFonts w:ascii="Times New Roman" w:hAnsi="Times New Roman" w:eastAsia="宋体"/>
          <w:b w:val="0"/>
          <w:color w:val="000000"/>
          <w:sz w:val="21"/>
        </w:rPr>
      </w:r>
    </w:p>
    <w:p>
      <w:pPr>
        <w:pStyle w:val="Heading2"/>
        <w:spacing w:before="120" w:after="0" w:line="300" w:lineRule="auto"/>
        <w:jc w:val="left"/>
      </w:pPr>
      <w:r>
        <w:rPr>
          <w:rFonts w:ascii="Times New Roman" w:hAnsi="Times New Roman" w:eastAsia="黑体"/>
          <w:b/>
          <w:color w:val="000000"/>
          <w:sz w:val="21"/>
        </w:rPr>
        <w:t>二、三年收入预测</w:t>
      </w:r>
    </w:p>
    <w:p>
      <w:pPr>
        <w:spacing w:before="60" w:after="60" w:line="300" w:lineRule="auto"/>
        <w:jc w:val="center"/>
      </w:pPr>
      <w:r>
        <w:rPr>
          <w:rFonts w:ascii="Times New Roman" w:hAnsi="Times New Roman" w:eastAsia="宋体"/>
          <w:b w:val="0"/>
          <w:color w:val="000000"/>
          <w:sz w:val="18"/>
        </w:rPr>
        <w:t>表 10 三年收入预测</w:t>
      </w:r>
    </w:p>
    <w:tbl>
      <w:tblPr>
        <w:tblStyle w:val="TableGrid"/>
        <w:tblW w:type="dxa" w:w="9635"/>
        <w:jc w:val="center"/>
        <w:tblLayout w:type="fixed"/>
        <w:tblLook w:firstColumn="1" w:firstRow="1" w:lastColumn="0" w:lastRow="0" w:noHBand="0" w:noVBand="1" w:val="04A0"/>
      </w:tblPr>
      <w:tblGrid>
        <w:gridCol w:w="2834"/>
        <w:gridCol w:w="2267"/>
        <w:gridCol w:w="2267"/>
        <w:gridCol w:w="2267"/>
      </w:tblGrid>
      <w:tr>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项目</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第 1 年</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第 2 年</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第 3 年</w:t>
            </w:r>
          </w:p>
        </w:tc>
      </w:tr>
      <w:tr>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注册用户（万人）</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5</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50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300</w:t>
            </w:r>
          </w:p>
        </w:tc>
      </w:tr>
      <w:tr>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Pro 订阅用户（万人）</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0.4</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4</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25</w:t>
            </w:r>
          </w:p>
        </w:tc>
      </w:tr>
      <w:tr>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C 端订阅收入（万元）</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80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800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5000</w:t>
            </w:r>
          </w:p>
        </w:tc>
      </w:tr>
      <w:tr>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B 端合作院校或院系（个）</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8</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50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100</w:t>
            </w:r>
          </w:p>
        </w:tc>
      </w:tr>
      <w:tr>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B 端合作收入（万元）</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240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2500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7000</w:t>
            </w:r>
          </w:p>
        </w:tc>
      </w:tr>
      <w:tr>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其他增值收入（万元）</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150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800</w:t>
            </w:r>
          </w:p>
        </w:tc>
      </w:tr>
      <w:tr>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总收入（万元）</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320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3450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12800</w:t>
            </w:r>
          </w:p>
        </w:tc>
      </w:tr>
    </w:tbl>
    <w:p>
      <w:pPr>
        <w:spacing w:before="0" w:after="40" w:line="300" w:lineRule="auto"/>
        <w:jc w:val="both"/>
      </w:pPr>
      <w:r>
        <w:rPr>
          <w:rFonts w:ascii="Times New Roman" w:hAnsi="Times New Roman" w:eastAsia="宋体"/>
          <w:b w:val="0"/>
          <w:color w:val="000000"/>
          <w:sz w:val="21"/>
        </w:rPr>
      </w:r>
    </w:p>
    <w:p>
      <w:pPr>
        <w:pStyle w:val="Heading2"/>
        <w:spacing w:before="120" w:after="0" w:line="300" w:lineRule="auto"/>
        <w:jc w:val="left"/>
      </w:pPr>
      <w:r>
        <w:rPr>
          <w:rFonts w:ascii="Times New Roman" w:hAnsi="Times New Roman" w:eastAsia="黑体"/>
          <w:b/>
          <w:color w:val="000000"/>
          <w:sz w:val="21"/>
        </w:rPr>
        <w:t>三、三年成本与盈利预测</w:t>
      </w:r>
    </w:p>
    <w:p>
      <w:pPr>
        <w:spacing w:before="60" w:after="60" w:line="300" w:lineRule="auto"/>
        <w:jc w:val="center"/>
      </w:pPr>
      <w:r>
        <w:rPr>
          <w:rFonts w:ascii="Times New Roman" w:hAnsi="Times New Roman" w:eastAsia="宋体"/>
          <w:b w:val="0"/>
          <w:color w:val="000000"/>
          <w:sz w:val="18"/>
        </w:rPr>
        <w:t>表 11 三年成本与盈利预测</w:t>
      </w:r>
    </w:p>
    <w:tbl>
      <w:tblPr>
        <w:tblStyle w:val="TableGrid"/>
        <w:tblW w:type="dxa" w:w="9635"/>
        <w:jc w:val="center"/>
        <w:tblLayout w:type="fixed"/>
        <w:tblLook w:firstColumn="1" w:firstRow="1" w:lastColumn="0" w:lastRow="0" w:noHBand="0" w:noVBand="1" w:val="04A0"/>
      </w:tblPr>
      <w:tblGrid>
        <w:gridCol w:w="2834"/>
        <w:gridCol w:w="2267"/>
        <w:gridCol w:w="2267"/>
        <w:gridCol w:w="2267"/>
      </w:tblGrid>
      <w:tr>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项目</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第 1 年</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第 2 年</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第 3 年</w:t>
            </w:r>
          </w:p>
        </w:tc>
      </w:tr>
      <w:tr>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人力成本（万元）</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120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650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2400</w:t>
            </w:r>
          </w:p>
        </w:tc>
      </w:tr>
      <w:tr>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模型与云服务成本（万元）</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60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520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2600</w:t>
            </w:r>
          </w:p>
        </w:tc>
      </w:tr>
      <w:tr>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课程内容与数据建设（万元）</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50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360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1200</w:t>
            </w:r>
          </w:p>
        </w:tc>
      </w:tr>
      <w:tr>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市场推广费用（万元）</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100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1000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3600</w:t>
            </w:r>
          </w:p>
        </w:tc>
      </w:tr>
      <w:tr>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客服、办公及管理费用（万元）</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70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520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2100</w:t>
            </w:r>
          </w:p>
        </w:tc>
      </w:tr>
      <w:tr>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总成本（万元）</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400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3050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11900</w:t>
            </w:r>
          </w:p>
        </w:tc>
      </w:tr>
      <w:tr>
        <w:tc>
          <w:tcPr>
            <w:tcW w:type="dxa" w:w="283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税前利润（万元）</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-80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400</w:t>
            </w:r>
          </w:p>
        </w:tc>
        <w:tc>
          <w:tcPr>
            <w:tcW w:type="dxa" w:w="226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900</w:t>
            </w:r>
          </w:p>
        </w:tc>
      </w:tr>
    </w:tbl>
    <w:p>
      <w:pPr>
        <w:spacing w:before="0" w:after="40" w:line="300" w:lineRule="auto"/>
        <w:jc w:val="both"/>
      </w:pPr>
      <w:r>
        <w:rPr>
          <w:rFonts w:ascii="Times New Roman" w:hAnsi="Times New Roman" w:eastAsia="宋体"/>
          <w:b w:val="0"/>
          <w:color w:val="000000"/>
          <w:sz w:val="21"/>
        </w:rPr>
      </w:r>
    </w:p>
    <w:p>
      <w:pPr>
        <w:pStyle w:val="Heading2"/>
        <w:spacing w:before="120" w:after="0" w:line="300" w:lineRule="auto"/>
        <w:jc w:val="left"/>
      </w:pPr>
      <w:r>
        <w:rPr>
          <w:rFonts w:ascii="Times New Roman" w:hAnsi="Times New Roman" w:eastAsia="黑体"/>
          <w:b/>
          <w:color w:val="000000"/>
          <w:sz w:val="21"/>
        </w:rPr>
        <w:t>四、关键财务假设</w:t>
      </w:r>
    </w:p>
    <w:p>
      <w:pPr>
        <w:spacing w:before="0" w:after="0" w:line="300" w:lineRule="auto"/>
        <w:ind w:firstLine="420"/>
        <w:jc w:val="both"/>
      </w:pPr>
      <w:r>
        <w:rPr>
          <w:rFonts w:ascii="Times New Roman" w:hAnsi="Times New Roman" w:eastAsia="宋体"/>
          <w:b w:val="0"/>
          <w:color w:val="000000"/>
          <w:sz w:val="21"/>
        </w:rPr>
        <w:t>财务测算基于以下假设：C 端 Pro 用户年均收入约 199 元；B 端合作从院系试点逐步升级到校级合作，平均合同金额随服务深度提升；模型推理成本随用户规模增长而上升，但通过缓存、模型路由和开源模型部署逐步优化；市场费用在第二、三年快速增加，以支持校园规模化扩张。</w:t>
      </w:r>
    </w:p>
    <w:p>
      <w:pPr>
        <w:pStyle w:val="Heading2"/>
        <w:spacing w:before="120" w:after="0" w:line="300" w:lineRule="auto"/>
        <w:jc w:val="left"/>
      </w:pPr>
      <w:r>
        <w:rPr>
          <w:rFonts w:ascii="Times New Roman" w:hAnsi="Times New Roman" w:eastAsia="黑体"/>
          <w:b/>
          <w:color w:val="000000"/>
          <w:sz w:val="21"/>
        </w:rPr>
        <w:t>五、融资与退出机制</w:t>
      </w:r>
    </w:p>
    <w:p>
      <w:pPr>
        <w:spacing w:before="0" w:after="0" w:line="300" w:lineRule="auto"/>
        <w:ind w:firstLine="420"/>
        <w:jc w:val="both"/>
      </w:pPr>
      <w:r>
        <w:rPr>
          <w:rFonts w:ascii="Times New Roman" w:hAnsi="Times New Roman" w:eastAsia="宋体"/>
          <w:b w:val="0"/>
          <w:color w:val="000000"/>
          <w:sz w:val="21"/>
        </w:rPr>
        <w:t>项目完成种子期验证后，可在第二年寻求 800 至 1500 万元 A 轮融资，用于课程扩张、B 端销售和算法团队建设。退出方式包括被在线教育企业、互联网平台或高校智慧教育服务商并购；若用户规模、收入和盈利能力持续增长，也可在中长期探索独立上市。</w:t>
      </w:r>
    </w:p>
    <w:p>
      <w:r>
        <w:rPr>
          <w:color w:val="000000"/>
        </w:rPr>
        <w:br w:type="page"/>
      </w:r>
    </w:p>
    <w:p>
      <w:pPr>
        <w:pStyle w:val="Heading1"/>
        <w:spacing w:before="0" w:after="160" w:line="300" w:lineRule="auto"/>
        <w:jc w:val="center"/>
      </w:pPr>
      <w:r>
        <w:rPr>
          <w:rFonts w:ascii="Times New Roman" w:hAnsi="Times New Roman" w:eastAsia="黑体"/>
          <w:b/>
          <w:color w:val="000000"/>
          <w:sz w:val="28"/>
        </w:rPr>
        <w:t>第八章  风险控制与实施保障</w:t>
      </w:r>
    </w:p>
    <w:p>
      <w:pPr>
        <w:pStyle w:val="Heading2"/>
        <w:spacing w:before="120" w:after="0" w:line="300" w:lineRule="auto"/>
        <w:jc w:val="left"/>
      </w:pPr>
      <w:r>
        <w:rPr>
          <w:rFonts w:ascii="Times New Roman" w:hAnsi="Times New Roman" w:eastAsia="黑体"/>
          <w:b/>
          <w:color w:val="000000"/>
          <w:sz w:val="21"/>
        </w:rPr>
        <w:t>一、技术风险</w:t>
      </w:r>
    </w:p>
    <w:p>
      <w:pPr>
        <w:spacing w:before="0" w:after="0" w:line="300" w:lineRule="auto"/>
        <w:ind w:firstLine="420"/>
        <w:jc w:val="both"/>
      </w:pPr>
      <w:r>
        <w:rPr>
          <w:rFonts w:ascii="Times New Roman" w:hAnsi="Times New Roman" w:eastAsia="宋体"/>
          <w:b w:val="0"/>
          <w:color w:val="000000"/>
          <w:sz w:val="21"/>
        </w:rPr>
        <w:t>主要风险是大模型在专业课程场景中生成不准确答案。应对措施包括：使用课程知识库做检索增强；对答案标注来源和置信度；对高风险内容设置人工审核；建立用户反馈纠错机制；在考试题、证明题和实验报告等场景中强调学习辅导而非替代完成。</w:t>
      </w:r>
    </w:p>
    <w:p>
      <w:pPr>
        <w:pStyle w:val="Heading2"/>
        <w:spacing w:before="120" w:after="0" w:line="300" w:lineRule="auto"/>
        <w:jc w:val="left"/>
      </w:pPr>
      <w:r>
        <w:rPr>
          <w:rFonts w:ascii="Times New Roman" w:hAnsi="Times New Roman" w:eastAsia="黑体"/>
          <w:b/>
          <w:color w:val="000000"/>
          <w:sz w:val="21"/>
        </w:rPr>
        <w:t>二、市场风险</w:t>
      </w:r>
    </w:p>
    <w:p>
      <w:pPr>
        <w:spacing w:before="0" w:after="0" w:line="300" w:lineRule="auto"/>
        <w:ind w:firstLine="420"/>
        <w:jc w:val="both"/>
      </w:pPr>
      <w:r>
        <w:rPr>
          <w:rFonts w:ascii="Times New Roman" w:hAnsi="Times New Roman" w:eastAsia="宋体"/>
          <w:b w:val="0"/>
          <w:color w:val="000000"/>
          <w:sz w:val="21"/>
        </w:rPr>
        <w:t>大学生价格敏感，免费工具较多，付费转化存在不确定性。项目通过 Freemium 模式降低体验门槛，通过考前冲刺和深度诊断强化付费价值，并用 B 端高校合作平衡 C 端收入波动。</w:t>
      </w:r>
    </w:p>
    <w:p>
      <w:pPr>
        <w:pStyle w:val="Heading2"/>
        <w:spacing w:before="120" w:after="0" w:line="300" w:lineRule="auto"/>
        <w:jc w:val="left"/>
      </w:pPr>
      <w:r>
        <w:rPr>
          <w:rFonts w:ascii="Times New Roman" w:hAnsi="Times New Roman" w:eastAsia="黑体"/>
          <w:b/>
          <w:color w:val="000000"/>
          <w:sz w:val="21"/>
        </w:rPr>
        <w:t>三、竞争风险</w:t>
      </w:r>
    </w:p>
    <w:p>
      <w:pPr>
        <w:spacing w:before="0" w:after="0" w:line="300" w:lineRule="auto"/>
        <w:ind w:firstLine="420"/>
        <w:jc w:val="both"/>
      </w:pPr>
      <w:r>
        <w:rPr>
          <w:rFonts w:ascii="Times New Roman" w:hAnsi="Times New Roman" w:eastAsia="宋体"/>
          <w:b w:val="0"/>
          <w:color w:val="000000"/>
          <w:sz w:val="21"/>
        </w:rPr>
        <w:t>大厂和教育公司可能进入 AI 学习助手赛道。智学派的应对方式是尽早聚焦大学课程细分场景，建设课程级知识图谱和高校试点案例，用快速迭代和贴近学生的产品体验形成差异化。</w:t>
      </w:r>
    </w:p>
    <w:p>
      <w:pPr>
        <w:pStyle w:val="Heading2"/>
        <w:spacing w:before="120" w:after="0" w:line="300" w:lineRule="auto"/>
        <w:jc w:val="left"/>
      </w:pPr>
      <w:r>
        <w:rPr>
          <w:rFonts w:ascii="Times New Roman" w:hAnsi="Times New Roman" w:eastAsia="黑体"/>
          <w:b/>
          <w:color w:val="000000"/>
          <w:sz w:val="21"/>
        </w:rPr>
        <w:t>四、合规风险</w:t>
      </w:r>
    </w:p>
    <w:p>
      <w:pPr>
        <w:spacing w:before="0" w:after="0" w:line="300" w:lineRule="auto"/>
        <w:ind w:firstLine="420"/>
        <w:jc w:val="both"/>
      </w:pPr>
      <w:r>
        <w:rPr>
          <w:rFonts w:ascii="Times New Roman" w:hAnsi="Times New Roman" w:eastAsia="宋体"/>
          <w:b w:val="0"/>
          <w:color w:val="000000"/>
          <w:sz w:val="21"/>
        </w:rPr>
        <w:t>平台需要遵守《个人信息保护法》《网络安全法》和生成式人工智能相关管理要求。项目将坚持最小必要原则收集数据，敏感数据脱敏存储，用户可删除个人学习记录，教师端和学校端只展示必要的统计结果。</w:t>
      </w:r>
    </w:p>
    <w:p>
      <w:pPr>
        <w:pStyle w:val="Heading2"/>
        <w:spacing w:before="120" w:after="0" w:line="300" w:lineRule="auto"/>
        <w:jc w:val="left"/>
      </w:pPr>
      <w:r>
        <w:rPr>
          <w:rFonts w:ascii="Times New Roman" w:hAnsi="Times New Roman" w:eastAsia="黑体"/>
          <w:b/>
          <w:color w:val="000000"/>
          <w:sz w:val="21"/>
        </w:rPr>
        <w:t>五、实施保障</w:t>
      </w:r>
    </w:p>
    <w:p>
      <w:pPr>
        <w:spacing w:before="0" w:after="0" w:line="300" w:lineRule="auto"/>
        <w:ind w:firstLine="420"/>
        <w:jc w:val="both"/>
      </w:pPr>
      <w:r>
        <w:rPr>
          <w:rFonts w:ascii="Times New Roman" w:hAnsi="Times New Roman" w:eastAsia="宋体"/>
          <w:b w:val="0"/>
          <w:color w:val="000000"/>
          <w:sz w:val="21"/>
        </w:rPr>
        <w:t>项目实施采用阶段性里程碑管理。每个阶段设置明确验收指标，包括课程知识库完成度、答疑准确率、用户留存率、付费转化率和试点合作数量。团队每两周进行一次产品复盘，每月进行一次财务和运营复盘，确保项目计划能够根据真实反馈持续调整。</w:t>
      </w:r>
    </w:p>
    <w:p>
      <w:r>
        <w:rPr>
          <w:color w:val="000000"/>
        </w:rPr>
        <w:br w:type="page"/>
      </w:r>
    </w:p>
    <w:p>
      <w:pPr>
        <w:pStyle w:val="Heading1"/>
        <w:spacing w:before="0" w:after="160" w:line="300" w:lineRule="auto"/>
        <w:jc w:val="center"/>
      </w:pPr>
      <w:r>
        <w:rPr>
          <w:rFonts w:ascii="Times New Roman" w:hAnsi="Times New Roman" w:eastAsia="黑体"/>
          <w:b/>
          <w:color w:val="000000"/>
          <w:sz w:val="28"/>
        </w:rPr>
        <w:t>第九章  附录</w:t>
      </w:r>
    </w:p>
    <w:p>
      <w:pPr>
        <w:pStyle w:val="Heading2"/>
        <w:spacing w:before="120" w:after="0" w:line="300" w:lineRule="auto"/>
        <w:jc w:val="left"/>
      </w:pPr>
      <w:r>
        <w:rPr>
          <w:rFonts w:ascii="Times New Roman" w:hAnsi="Times New Roman" w:eastAsia="黑体"/>
          <w:b/>
          <w:color w:val="000000"/>
          <w:sz w:val="21"/>
        </w:rPr>
        <w:t>一、首批课程知识图谱建设计划</w:t>
      </w:r>
    </w:p>
    <w:p>
      <w:pPr>
        <w:spacing w:before="0" w:after="0" w:line="300" w:lineRule="auto"/>
        <w:ind w:firstLine="420"/>
        <w:jc w:val="both"/>
      </w:pPr>
      <w:r>
        <w:rPr>
          <w:rFonts w:ascii="Times New Roman" w:hAnsi="Times New Roman" w:eastAsia="宋体"/>
          <w:b w:val="0"/>
          <w:color w:val="000000"/>
          <w:sz w:val="21"/>
        </w:rPr>
        <w:t>数学类：高等数学（上、下）、线性代数、概率论与数理统计、离散数学。</w:t>
      </w:r>
    </w:p>
    <w:p>
      <w:pPr>
        <w:spacing w:before="0" w:after="0" w:line="300" w:lineRule="auto"/>
        <w:ind w:firstLine="420"/>
        <w:jc w:val="both"/>
      </w:pPr>
      <w:r>
        <w:rPr>
          <w:rFonts w:ascii="Times New Roman" w:hAnsi="Times New Roman" w:eastAsia="宋体"/>
          <w:b w:val="0"/>
          <w:color w:val="000000"/>
          <w:sz w:val="21"/>
        </w:rPr>
        <w:t>计算机类：程序设计基础、数据结构、操作系统、计算机网络、数据库系统、计算机组成原理、算法设计与分析。</w:t>
      </w:r>
    </w:p>
    <w:p>
      <w:pPr>
        <w:spacing w:before="0" w:after="0" w:line="300" w:lineRule="auto"/>
        <w:ind w:firstLine="420"/>
        <w:jc w:val="both"/>
      </w:pPr>
      <w:r>
        <w:rPr>
          <w:rFonts w:ascii="Times New Roman" w:hAnsi="Times New Roman" w:eastAsia="宋体"/>
          <w:b w:val="0"/>
          <w:color w:val="000000"/>
          <w:sz w:val="21"/>
        </w:rPr>
        <w:t>物理与电子类：大学物理、电路分析、模拟电子技术、数字电子技术、信号与系统。</w:t>
      </w:r>
    </w:p>
    <w:p>
      <w:pPr>
        <w:spacing w:before="0" w:after="0" w:line="300" w:lineRule="auto"/>
        <w:ind w:firstLine="420"/>
        <w:jc w:val="both"/>
      </w:pPr>
      <w:r>
        <w:rPr>
          <w:rFonts w:ascii="Times New Roman" w:hAnsi="Times New Roman" w:eastAsia="宋体"/>
          <w:b w:val="0"/>
          <w:color w:val="000000"/>
          <w:sz w:val="21"/>
        </w:rPr>
        <w:t>经管与外语类：微观经济学、宏观经济学、管理学原理、会计学原理、大学英语四级与六级备考。</w:t>
      </w:r>
    </w:p>
    <w:p>
      <w:pPr>
        <w:pStyle w:val="Heading2"/>
        <w:spacing w:before="120" w:after="0" w:line="300" w:lineRule="auto"/>
        <w:jc w:val="left"/>
      </w:pPr>
      <w:r>
        <w:rPr>
          <w:rFonts w:ascii="Times New Roman" w:hAnsi="Times New Roman" w:eastAsia="黑体"/>
          <w:b/>
          <w:color w:val="000000"/>
          <w:sz w:val="21"/>
        </w:rPr>
        <w:t>二、MVP 功能清单</w:t>
      </w:r>
    </w:p>
    <w:p>
      <w:pPr>
        <w:spacing w:before="60" w:after="60" w:line="300" w:lineRule="auto"/>
        <w:jc w:val="center"/>
      </w:pPr>
      <w:r>
        <w:rPr>
          <w:rFonts w:ascii="Times New Roman" w:hAnsi="Times New Roman" w:eastAsia="宋体"/>
          <w:b w:val="0"/>
          <w:color w:val="000000"/>
          <w:sz w:val="18"/>
        </w:rPr>
        <w:t>表 12 MVP 功能清单</w:t>
      </w:r>
    </w:p>
    <w:tbl>
      <w:tblPr>
        <w:tblStyle w:val="TableGrid"/>
        <w:tblW w:type="dxa" w:w="9635"/>
        <w:jc w:val="center"/>
        <w:tblLayout w:type="fixed"/>
        <w:tblLook w:firstColumn="1" w:firstRow="1" w:lastColumn="0" w:lastRow="0" w:noHBand="0" w:noVBand="1" w:val="04A0"/>
      </w:tblPr>
      <w:tblGrid>
        <w:gridCol w:w="1360"/>
        <w:gridCol w:w="3968"/>
        <w:gridCol w:w="1700"/>
        <w:gridCol w:w="2607"/>
      </w:tblGrid>
      <w:tr>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编号</w:t>
            </w:r>
          </w:p>
        </w:tc>
        <w:tc>
          <w:tcPr>
            <w:tcW w:type="dxa" w:w="3968"/>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功能</w:t>
            </w:r>
          </w:p>
        </w:tc>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优先级</w:t>
            </w:r>
          </w:p>
        </w:tc>
        <w:tc>
          <w:tcPr>
            <w:tcW w:type="dxa" w:w="260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预估工期</w:t>
            </w:r>
          </w:p>
        </w:tc>
      </w:tr>
      <w:tr>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F01</w:t>
            </w:r>
          </w:p>
        </w:tc>
        <w:tc>
          <w:tcPr>
            <w:tcW w:type="dxa" w:w="396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AI 文字问答</w:t>
            </w:r>
          </w:p>
        </w:tc>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P0</w:t>
            </w:r>
          </w:p>
        </w:tc>
        <w:tc>
          <w:tcPr>
            <w:tcW w:type="dxa" w:w="260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4 周</w:t>
            </w:r>
          </w:p>
        </w:tc>
      </w:tr>
      <w:tr>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F02</w:t>
            </w:r>
          </w:p>
        </w:tc>
        <w:tc>
          <w:tcPr>
            <w:tcW w:type="dxa" w:w="396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用户注册与登录</w:t>
            </w:r>
          </w:p>
        </w:tc>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P0</w:t>
            </w:r>
          </w:p>
        </w:tc>
        <w:tc>
          <w:tcPr>
            <w:tcW w:type="dxa" w:w="260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 周</w:t>
            </w:r>
          </w:p>
        </w:tc>
      </w:tr>
      <w:tr>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F03</w:t>
            </w:r>
          </w:p>
        </w:tc>
        <w:tc>
          <w:tcPr>
            <w:tcW w:type="dxa" w:w="396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高数与线代学习路径生成</w:t>
            </w:r>
          </w:p>
        </w:tc>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P0</w:t>
            </w:r>
          </w:p>
        </w:tc>
        <w:tc>
          <w:tcPr>
            <w:tcW w:type="dxa" w:w="260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3 周</w:t>
            </w:r>
          </w:p>
        </w:tc>
      </w:tr>
      <w:tr>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F04</w:t>
            </w:r>
          </w:p>
        </w:tc>
        <w:tc>
          <w:tcPr>
            <w:tcW w:type="dxa" w:w="396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基础知识图谱入库</w:t>
            </w:r>
          </w:p>
        </w:tc>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P0</w:t>
            </w:r>
          </w:p>
        </w:tc>
        <w:tc>
          <w:tcPr>
            <w:tcW w:type="dxa" w:w="260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3 周</w:t>
            </w:r>
          </w:p>
        </w:tc>
      </w:tr>
      <w:tr>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F05</w:t>
            </w:r>
          </w:p>
        </w:tc>
        <w:tc>
          <w:tcPr>
            <w:tcW w:type="dxa" w:w="396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RAG 课件检索增强</w:t>
            </w:r>
          </w:p>
        </w:tc>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P1</w:t>
            </w:r>
          </w:p>
        </w:tc>
        <w:tc>
          <w:tcPr>
            <w:tcW w:type="dxa" w:w="260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3 周</w:t>
            </w:r>
          </w:p>
        </w:tc>
      </w:tr>
      <w:tr>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F06</w:t>
            </w:r>
          </w:p>
        </w:tc>
        <w:tc>
          <w:tcPr>
            <w:tcW w:type="dxa" w:w="396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知识点诊断模型</w:t>
            </w:r>
          </w:p>
        </w:tc>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P1</w:t>
            </w:r>
          </w:p>
        </w:tc>
        <w:tc>
          <w:tcPr>
            <w:tcW w:type="dxa" w:w="260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4 周</w:t>
            </w:r>
          </w:p>
        </w:tc>
      </w:tr>
      <w:tr>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F07</w:t>
            </w:r>
          </w:p>
        </w:tc>
        <w:tc>
          <w:tcPr>
            <w:tcW w:type="dxa" w:w="396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学习数据看板</w:t>
            </w:r>
          </w:p>
        </w:tc>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P1</w:t>
            </w:r>
          </w:p>
        </w:tc>
        <w:tc>
          <w:tcPr>
            <w:tcW w:type="dxa" w:w="260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2 周</w:t>
            </w:r>
          </w:p>
        </w:tc>
      </w:tr>
      <w:tr>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F08</w:t>
            </w:r>
          </w:p>
        </w:tc>
        <w:tc>
          <w:tcPr>
            <w:tcW w:type="dxa" w:w="396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拍照提问与 OCR</w:t>
            </w:r>
          </w:p>
        </w:tc>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P1</w:t>
            </w:r>
          </w:p>
        </w:tc>
        <w:tc>
          <w:tcPr>
            <w:tcW w:type="dxa" w:w="260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3 周</w:t>
            </w:r>
          </w:p>
        </w:tc>
      </w:tr>
      <w:tr>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F09</w:t>
            </w:r>
          </w:p>
        </w:tc>
        <w:tc>
          <w:tcPr>
            <w:tcW w:type="dxa" w:w="396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教师端班级报告</w:t>
            </w:r>
          </w:p>
        </w:tc>
        <w:tc>
          <w:tcPr>
            <w:tcW w:type="dxa" w:w="170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P2</w:t>
            </w:r>
          </w:p>
        </w:tc>
        <w:tc>
          <w:tcPr>
            <w:tcW w:type="dxa" w:w="260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4 周</w:t>
            </w:r>
          </w:p>
        </w:tc>
      </w:tr>
    </w:tbl>
    <w:p>
      <w:pPr>
        <w:spacing w:before="0" w:after="40" w:line="300" w:lineRule="auto"/>
        <w:jc w:val="both"/>
      </w:pPr>
      <w:r>
        <w:rPr>
          <w:rFonts w:ascii="Times New Roman" w:hAnsi="Times New Roman" w:eastAsia="宋体"/>
          <w:b w:val="0"/>
          <w:color w:val="000000"/>
          <w:sz w:val="21"/>
        </w:rPr>
      </w:r>
    </w:p>
    <w:p>
      <w:pPr>
        <w:pStyle w:val="Heading2"/>
        <w:spacing w:before="120" w:after="0" w:line="300" w:lineRule="auto"/>
        <w:jc w:val="left"/>
      </w:pPr>
      <w:r>
        <w:rPr>
          <w:rFonts w:ascii="Times New Roman" w:hAnsi="Times New Roman" w:eastAsia="黑体"/>
          <w:b/>
          <w:color w:val="000000"/>
          <w:sz w:val="21"/>
        </w:rPr>
        <w:t>三、参考政策与规范</w:t>
      </w:r>
    </w:p>
    <w:p>
      <w:pPr>
        <w:spacing w:before="0" w:after="0" w:line="300" w:lineRule="auto"/>
        <w:ind w:firstLine="420"/>
        <w:jc w:val="both"/>
      </w:pPr>
      <w:r>
        <w:rPr>
          <w:rFonts w:ascii="Times New Roman" w:hAnsi="Times New Roman" w:eastAsia="宋体"/>
          <w:b w:val="0"/>
          <w:color w:val="000000"/>
          <w:sz w:val="21"/>
        </w:rPr>
        <w:t>《中华人民共和国网络安全法》</w:t>
      </w:r>
    </w:p>
    <w:p>
      <w:pPr>
        <w:spacing w:before="0" w:after="0" w:line="300" w:lineRule="auto"/>
        <w:ind w:firstLine="420"/>
        <w:jc w:val="both"/>
      </w:pPr>
      <w:r>
        <w:rPr>
          <w:rFonts w:ascii="Times New Roman" w:hAnsi="Times New Roman" w:eastAsia="宋体"/>
          <w:b w:val="0"/>
          <w:color w:val="000000"/>
          <w:sz w:val="21"/>
        </w:rPr>
        <w:t>《中华人民共和国个人信息保护法》</w:t>
      </w:r>
    </w:p>
    <w:p>
      <w:pPr>
        <w:spacing w:before="0" w:after="0" w:line="300" w:lineRule="auto"/>
        <w:ind w:firstLine="420"/>
        <w:jc w:val="both"/>
      </w:pPr>
      <w:r>
        <w:rPr>
          <w:rFonts w:ascii="Times New Roman" w:hAnsi="Times New Roman" w:eastAsia="宋体"/>
          <w:b w:val="0"/>
          <w:color w:val="000000"/>
          <w:sz w:val="21"/>
        </w:rPr>
        <w:t>《生成式人工智能服务管理暂行办法》</w:t>
      </w:r>
    </w:p>
    <w:p>
      <w:pPr>
        <w:spacing w:before="0" w:after="0" w:line="300" w:lineRule="auto"/>
        <w:ind w:firstLine="420"/>
        <w:jc w:val="both"/>
      </w:pPr>
      <w:r>
        <w:rPr>
          <w:rFonts w:ascii="Times New Roman" w:hAnsi="Times New Roman" w:eastAsia="宋体"/>
          <w:b w:val="0"/>
          <w:color w:val="000000"/>
          <w:sz w:val="21"/>
        </w:rPr>
        <w:t>《中国教育现代化 2035》</w:t>
      </w:r>
    </w:p>
    <w:p>
      <w:pPr>
        <w:spacing w:before="0" w:after="0" w:line="300" w:lineRule="auto"/>
        <w:ind w:firstLine="420"/>
        <w:jc w:val="both"/>
      </w:pPr>
      <w:r>
        <w:rPr>
          <w:rFonts w:ascii="Times New Roman" w:hAnsi="Times New Roman" w:eastAsia="宋体"/>
          <w:b w:val="0"/>
          <w:color w:val="000000"/>
          <w:sz w:val="21"/>
        </w:rPr>
        <w:t>《新一代人工智能发展规划》</w:t>
      </w:r>
    </w:p>
    <w:p>
      <w:pPr>
        <w:spacing w:before="0" w:after="0" w:line="300" w:lineRule="auto"/>
        <w:ind w:firstLine="420"/>
        <w:jc w:val="both"/>
      </w:pPr>
      <w:r>
        <w:rPr>
          <w:rFonts w:ascii="Times New Roman" w:hAnsi="Times New Roman" w:eastAsia="宋体"/>
          <w:b w:val="0"/>
          <w:color w:val="000000"/>
          <w:sz w:val="21"/>
        </w:rPr>
        <w:t>《教育强国建设规划纲要（2024－2035 年）》</w:t>
      </w:r>
    </w:p>
    <w:p>
      <w:r>
        <w:rPr>
          <w:color w:val="000000"/>
        </w:rPr>
        <w:br w:type="page"/>
      </w:r>
    </w:p>
    <w:p>
      <w:pPr>
        <w:pStyle w:val="Heading1"/>
        <w:spacing w:before="0" w:after="160" w:line="300" w:lineRule="auto"/>
        <w:jc w:val="center"/>
      </w:pPr>
      <w:r>
        <w:rPr>
          <w:rFonts w:ascii="Times New Roman" w:hAnsi="Times New Roman" w:eastAsia="黑体"/>
          <w:b/>
          <w:color w:val="000000"/>
          <w:sz w:val="28"/>
        </w:rPr>
        <w:t>团队成员分工表</w:t>
      </w:r>
    </w:p>
    <w:p>
      <w:pPr>
        <w:spacing w:before="0" w:after="0" w:line="300" w:lineRule="auto"/>
        <w:ind w:firstLine="420"/>
        <w:jc w:val="both"/>
      </w:pPr>
      <w:r>
        <w:rPr>
          <w:rFonts w:ascii="Times New Roman" w:hAnsi="Times New Roman" w:eastAsia="宋体"/>
          <w:b w:val="0"/>
          <w:color w:val="000000"/>
          <w:sz w:val="21"/>
        </w:rPr>
        <w:t>本页用于满足课程要求中“最后一页标明每位成员分工”的提交规范。请在提交前将姓名、专业、学号和联系方式补充完整，并确保与封面团队成员信息一致。</w:t>
      </w:r>
    </w:p>
    <w:p>
      <w:pPr>
        <w:spacing w:before="60" w:after="60" w:line="300" w:lineRule="auto"/>
        <w:jc w:val="center"/>
      </w:pPr>
      <w:r>
        <w:rPr>
          <w:rFonts w:ascii="Times New Roman" w:hAnsi="Times New Roman" w:eastAsia="宋体"/>
          <w:b w:val="0"/>
          <w:color w:val="000000"/>
          <w:sz w:val="18"/>
        </w:rPr>
        <w:t>表 13 团队成员分工</w:t>
      </w:r>
    </w:p>
    <w:tbl>
      <w:tblPr>
        <w:tblStyle w:val="TableGrid"/>
        <w:tblW w:type="dxa" w:w="9636"/>
        <w:jc w:val="center"/>
        <w:tblLayout w:type="fixed"/>
        <w:tblLook w:firstColumn="1" w:firstRow="1" w:lastColumn="0" w:lastRow="0" w:noHBand="0" w:noVBand="1" w:val="04A0"/>
      </w:tblPr>
      <w:tblGrid>
        <w:gridCol w:w="1360"/>
        <w:gridCol w:w="1814"/>
        <w:gridCol w:w="1587"/>
        <w:gridCol w:w="2948"/>
        <w:gridCol w:w="1927"/>
      </w:tblGrid>
      <w:tr>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成员</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专业与学号</w:t>
            </w:r>
          </w:p>
        </w:tc>
        <w:tc>
          <w:tcPr>
            <w:tcW w:type="dxa" w:w="158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联系电话</w:t>
            </w:r>
          </w:p>
        </w:tc>
        <w:tc>
          <w:tcPr>
            <w:tcW w:type="dxa" w:w="2948"/>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主要分工</w:t>
            </w:r>
          </w:p>
        </w:tc>
        <w:tc>
          <w:tcPr>
            <w:tcW w:type="dxa" w:w="192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color w:val="000000"/>
                <w:sz w:val="21"/>
              </w:rPr>
              <w:t>成果说明</w:t>
            </w:r>
          </w:p>
        </w:tc>
      </w:tr>
      <w:tr>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李林浩</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计算机科学与技术 202483290054</w:t>
            </w:r>
          </w:p>
        </w:tc>
        <w:tc>
          <w:tcPr>
            <w:tcW w:type="dxa" w:w="158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13357836327</w:t>
            </w:r>
          </w:p>
        </w:tc>
        <w:tc>
          <w:tcPr>
            <w:tcW w:type="dxa" w:w="294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负责项目总体统筹、商业模式完善、AI Agent 技术路线、RAG/知识图谱方案、后端架构和核心产品闭环设计。</w:t>
            </w:r>
          </w:p>
        </w:tc>
        <w:tc>
          <w:tcPr>
            <w:tcW w:type="dxa" w:w="1927"/>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将企业级 Agent 平台开发、Spring Boot/Redis/MySQL/Vue、LangChain/LangGraph/RAG、提示词工程和 AI 辅助开发经验转化为项目核心技术壁垒。</w:t>
            </w:r>
          </w:p>
        </w:tc>
      </w:tr>
      <w:tr>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周可名</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计算机科学与技术 202483290198</w:t>
            </w:r>
          </w:p>
        </w:tc>
        <w:tc>
          <w:tcPr>
            <w:tcW w:type="dxa" w:w="158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__________</w:t>
            </w:r>
          </w:p>
        </w:tc>
        <w:tc>
          <w:tcPr>
            <w:tcW w:type="dxa" w:w="294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负责自动化部署、Docker 容器化、CI/CD 流水线、数据库版本管理、云服务资源配置、安全组与对象存储权限管理。</w:t>
            </w:r>
          </w:p>
        </w:tc>
        <w:tc>
          <w:tcPr>
            <w:tcW w:type="dxa" w:w="1927"/>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将 Jenkins、Docker/Docker Compose、Flyway、Caddy、GitLab、云服务资源管理和 AI 辅助编程能力注入平台工程化落地方案。</w:t>
            </w:r>
          </w:p>
        </w:tc>
      </w:tr>
      <w:tr>
        <w:tc>
          <w:tcPr>
            <w:tcW w:type="dxa" w:w="1360"/>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余越</w:t>
            </w:r>
          </w:p>
        </w:tc>
        <w:tc>
          <w:tcPr>
            <w:tcW w:type="dxa" w:w="1814"/>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计算机科学与技术 202483290188</w:t>
            </w:r>
          </w:p>
        </w:tc>
        <w:tc>
          <w:tcPr>
            <w:tcW w:type="dxa" w:w="1587"/>
            <w:vAlign w:val="center"/>
            <w:tcMar>
              <w:top w:w="80" w:type="dxa"/>
              <w:start w:w="120" w:type="dxa"/>
              <w:bottom w:w="80" w:type="dxa"/>
              <w:end w:w="120" w:type="dxa"/>
            </w:tcMar>
          </w:tcPr>
          <w:p>
            <w:pPr>
              <w:spacing w:before="0" w:after="0" w:line="300" w:lineRule="auto"/>
              <w:jc w:val="center"/>
            </w:pPr>
            <w:r>
              <w:rPr>
                <w:color w:val="000000"/>
              </w:rPr>
            </w:r>
            <w:r>
              <w:rPr>
                <w:rFonts w:ascii="Times New Roman" w:hAnsi="Times New Roman" w:eastAsia="宋体"/>
                <w:b w:val="0"/>
                <w:color w:val="000000"/>
                <w:sz w:val="21"/>
              </w:rPr>
              <w:t>15248138746</w:t>
            </w:r>
          </w:p>
        </w:tc>
        <w:tc>
          <w:tcPr>
            <w:tcW w:type="dxa" w:w="2948"/>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负责 AI 应用功能设计、多智能体内容生成流程、SSE 流式交互、前后端联调、权限体系和用户安全模块设计。</w:t>
            </w:r>
          </w:p>
        </w:tc>
        <w:tc>
          <w:tcPr>
            <w:tcW w:type="dxa" w:w="1927"/>
            <w:vAlign w:val="center"/>
            <w:tcMar>
              <w:top w:w="80" w:type="dxa"/>
              <w:start w:w="120" w:type="dxa"/>
              <w:bottom w:w="80" w:type="dxa"/>
              <w:end w:w="120" w:type="dxa"/>
            </w:tcMar>
          </w:tcPr>
          <w:p>
            <w:pPr>
              <w:spacing w:before="0" w:after="0" w:line="300" w:lineRule="auto"/>
              <w:jc w:val="left"/>
            </w:pPr>
            <w:r>
              <w:rPr>
                <w:color w:val="000000"/>
              </w:rPr>
            </w:r>
            <w:r>
              <w:rPr>
                <w:rFonts w:ascii="Times New Roman" w:hAnsi="Times New Roman" w:eastAsia="宋体"/>
                <w:b w:val="0"/>
                <w:color w:val="000000"/>
                <w:sz w:val="21"/>
              </w:rPr>
              <w:t>将 Spring AI Alibaba、StateGraph 多智能体编排、React18/Ant Design Pro、Spring Boot、MySQL/Redis、RBAC 权限控制和蓝桥杯省一能力注入产品研发。</w:t>
            </w:r>
          </w:p>
        </w:tc>
      </w:tr>
    </w:tbl>
    <w:p>
      <w:pPr>
        <w:spacing w:before="0" w:after="40" w:line="300" w:lineRule="auto"/>
        <w:jc w:val="both"/>
      </w:pPr>
      <w:r>
        <w:rPr>
          <w:rFonts w:ascii="Times New Roman" w:hAnsi="Times New Roman" w:eastAsia="宋体"/>
          <w:b w:val="0"/>
          <w:color w:val="000000"/>
          <w:sz w:val="21"/>
        </w:rPr>
      </w:r>
    </w:p>
    <w:sectPr w:rsidR="00FC693F" w:rsidRPr="0006063C" w:rsidSect="00034616">
      <w:footerReference w:type="default" r:id="rId9"/>
      <w:pgSz w:w="11906" w:h="16838"/>
      <w:pgMar w:top="1417" w:right="1134" w:bottom="1417" w:left="113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00" w:lineRule="auto"/>
      <w:jc w:val="center"/>
    </w:pPr>
    <w:r>
      <w:rPr>
        <w:rFonts w:ascii="Times New Roman" w:hAnsi="Times New Roman" w:eastAsia="宋体"/>
        <w:b w:val="0"/>
        <w:sz w:val="18"/>
      </w:rPr>
      <w:t xml:space="preserve">第 </w:t>
    </w:r>
    <w:r>
      <w:rPr>
        <w:rFonts w:ascii="Times New Roman" w:hAnsi="Times New Roman" w:eastAsia="宋体"/>
        <w:b w:val="0"/>
        <w:sz w:val="18"/>
      </w:rPr>
      <w:fldChar w:fldCharType="begin"/>
    </w:r>
    <w:r>
      <w:rPr>
        <w:rFonts w:ascii="Times New Roman" w:hAnsi="Times New Roman" w:eastAsia="宋体"/>
        <w:b w:val="0"/>
        <w:sz w:val="18"/>
      </w:rPr>
      <w:instrText xml:space="preserve"> PAGE </w:instrText>
    </w:r>
    <w:r>
      <w:rPr>
        <w:rFonts w:ascii="Times New Roman" w:hAnsi="Times New Roman" w:eastAsia="宋体"/>
        <w:b w:val="0"/>
        <w:sz w:val="18"/>
      </w:rPr>
      <w:fldChar w:fldCharType="end"/>
    </w:r>
    <w:r>
      <w:rPr>
        <w:rFonts w:ascii="Times New Roman" w:hAnsi="Times New Roman" w:eastAsia="宋体"/>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0" w:after="0" w:line="300" w:lineRule="auto"/>
      <w:jc w:val="center"/>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line="300" w:lineRule="auto"/>
      <w:outlineLvl w:val="1"/>
    </w:pPr>
    <w:rPr>
      <w:rFonts w:asciiTheme="majorHAnsi" w:eastAsiaTheme="majorEastAsia" w:hAnsiTheme="majorHAnsi" w:cstheme="majorBidi" w:ascii="Times New Roman" w:hAnsi="Times New Roman" w:eastAsia="黑体"/>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0" w:after="0" w:line="300" w:lineRule="auto"/>
      <w:outlineLvl w:val="2"/>
    </w:pPr>
    <w:rPr>
      <w:rFonts w:asciiTheme="majorHAnsi" w:eastAsiaTheme="majorEastAsia" w:hAnsiTheme="majorHAnsi" w:cstheme="majorBidi" w:ascii="Times New Roman" w:hAnsi="Times New Roman" w:eastAsia="黑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000000" w:themeColor="text1"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themeColor="background1"/>
      </w:rPr>
      <w:tblPr/>
      <w:tcPr>
        <w:tcBorders>
          <w:bottom w:val="single" w:sz="12" w:space="0" w:color="FFFFFF" w:themeColor="background1"/>
        </w:tcBorders>
      </w:tcPr>
    </w:tblStylePr>
    <w:tblStylePr w:type="lastRow">
      <w:rPr>
        <w:b/>
        <w:bCs/>
        <w:color w:val="000000"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themeColor="background1"/>
      </w:rPr>
      <w:tblPr/>
      <w:tcPr>
        <w:tcBorders>
          <w:bottom w:val="single" w:sz="12" w:space="0" w:color="FFFFFF" w:themeColor="background1"/>
        </w:tcBorders>
      </w:tcPr>
    </w:tblStylePr>
    <w:tblStylePr w:type="lastRow">
      <w:rPr>
        <w:b/>
        <w:bCs/>
        <w:color w:val="000000"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themeColor="background1"/>
      </w:rPr>
      <w:tblPr/>
      <w:tcPr>
        <w:tcBorders>
          <w:bottom w:val="single" w:sz="12" w:space="0" w:color="FFFFFF" w:themeColor="background1"/>
        </w:tcBorders>
      </w:tcPr>
    </w:tblStylePr>
    <w:tblStylePr w:type="lastRow">
      <w:rPr>
        <w:b/>
        <w:bCs/>
        <w:color w:val="000000"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themeColor="background1"/>
      </w:rPr>
      <w:tblPr/>
      <w:tcPr>
        <w:tcBorders>
          <w:bottom w:val="single" w:sz="12" w:space="0" w:color="FFFFFF" w:themeColor="background1"/>
        </w:tcBorders>
      </w:tcPr>
    </w:tblStylePr>
    <w:tblStylePr w:type="lastRow">
      <w:rPr>
        <w:b/>
        <w:bCs/>
        <w:color w:val="000000"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themeColor="background1"/>
      </w:rPr>
      <w:tblPr/>
      <w:tcPr>
        <w:tcBorders>
          <w:bottom w:val="single" w:sz="12" w:space="0" w:color="FFFFFF" w:themeColor="background1"/>
        </w:tcBorders>
      </w:tcPr>
    </w:tblStylePr>
    <w:tblStylePr w:type="lastRow">
      <w:rPr>
        <w:b/>
        <w:bCs/>
        <w:color w:val="00000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themeColor="background1"/>
      </w:rPr>
      <w:tblPr/>
      <w:tcPr>
        <w:tcBorders>
          <w:bottom w:val="single" w:sz="12" w:space="0" w:color="FFFFFF" w:themeColor="background1"/>
        </w:tcBorders>
      </w:tcPr>
    </w:tblStylePr>
    <w:tblStylePr w:type="lastRow">
      <w:rPr>
        <w:b/>
        <w:bCs/>
        <w:color w:val="000000"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themeColor="background1"/>
      </w:rPr>
      <w:tblPr/>
      <w:tcPr>
        <w:tcBorders>
          <w:bottom w:val="single" w:sz="12" w:space="0" w:color="FFFFFF" w:themeColor="background1"/>
        </w:tcBorders>
      </w:tcPr>
    </w:tblStylePr>
    <w:tblStylePr w:type="lastRow">
      <w:rPr>
        <w:b/>
        <w:bCs/>
        <w:color w:val="000000"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000000" w:themeColor="background1"/>
      </w:rPr>
      <w:tblPr/>
      <w:tcPr/>
    </w:tblStylePr>
    <w:tblStylePr w:type="lastCol">
      <w:rPr>
        <w:color w:val="000000" w:themeColor="background1"/>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000000" w:themeColor="background1"/>
      </w:rPr>
      <w:tblPr/>
      <w:tcPr/>
    </w:tblStylePr>
    <w:tblStylePr w:type="lastCol">
      <w:rPr>
        <w:color w:val="000000" w:themeColor="background1"/>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000000" w:themeColor="background1"/>
      </w:rPr>
      <w:tblPr/>
      <w:tcPr/>
    </w:tblStylePr>
    <w:tblStylePr w:type="lastCol">
      <w:rPr>
        <w:color w:val="000000" w:themeColor="background1"/>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000000" w:themeColor="background1"/>
      </w:rPr>
      <w:tblPr/>
      <w:tcPr/>
    </w:tblStylePr>
    <w:tblStylePr w:type="lastCol">
      <w:rPr>
        <w:color w:val="000000" w:themeColor="background1"/>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000000" w:themeColor="background1"/>
      </w:rPr>
      <w:tblPr/>
      <w:tcPr/>
    </w:tblStylePr>
    <w:tblStylePr w:type="lastCol">
      <w:rPr>
        <w:color w:val="000000" w:themeColor="background1"/>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000000" w:themeColor="background1"/>
      </w:rPr>
      <w:tblPr/>
      <w:tcPr/>
    </w:tblStylePr>
    <w:tblStylePr w:type="lastCol">
      <w:rPr>
        <w:color w:val="000000" w:themeColor="background1"/>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000000" w:themeColor="background1"/>
      </w:rPr>
      <w:tblPr/>
      <w:tcPr/>
    </w:tblStylePr>
    <w:tblStylePr w:type="lastCol">
      <w:rPr>
        <w:color w:val="000000" w:themeColor="background1"/>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themeColor="accent1"/>
    </w:rPr>
  </w:style>
  <w:style w:type="character" w:customStyle="1" w:styleId="IntenseQuoteChar">
    <w:name w:val="Intense Quote Char"/>
    <w:basedOn w:val="DefaultParagraphFont"/>
    <w:link w:val="IntenseQuote"/>
    <w:uiPriority w:val="30"/>
    <w:rsid w:val="00FC693F"/>
    <w:rPr>
      <w:b/>
      <w:bCs/>
      <w:i/>
      <w:iCs/>
      <w:color w:val="000000" w:themeColor="accent1"/>
    </w:rPr>
  </w:style>
  <w:style w:type="character" w:styleId="SubtleEmphasis">
    <w:name w:val="Subtle Emphasis"/>
    <w:basedOn w:val="DefaultParagraphFont"/>
    <w:uiPriority w:val="19"/>
    <w:qFormat/>
    <w:rsid w:val="00FC693F"/>
    <w:rPr>
      <w:i/>
      <w:iCs/>
      <w:color w:val="000000" w:themeColor="text1" w:themeTint="7F"/>
    </w:rPr>
  </w:style>
  <w:style w:type="character" w:styleId="IntenseEmphasis">
    <w:name w:val="Intense Emphasis"/>
    <w:basedOn w:val="DefaultParagraphFont"/>
    <w:uiPriority w:val="21"/>
    <w:qFormat/>
    <w:rsid w:val="00FC693F"/>
    <w:rPr>
      <w:b/>
      <w:bCs/>
      <w:i/>
      <w:iCs/>
      <w:color w:val="000000" w:themeColor="accent1"/>
    </w:rPr>
  </w:style>
  <w:style w:type="character" w:styleId="SubtleReference">
    <w:name w:val="Subtle Reference"/>
    <w:basedOn w:val="DefaultParagraphFont"/>
    <w:uiPriority w:val="31"/>
    <w:qFormat/>
    <w:rsid w:val="00FC693F"/>
    <w:rPr>
      <w:smallCaps/>
      <w:color w:val="000000" w:themeColor="accent2"/>
      <w:u w:val="single"/>
    </w:rPr>
  </w:style>
  <w:style w:type="character" w:styleId="IntenseReference">
    <w:name w:val="Intense Reference"/>
    <w:basedOn w:val="DefaultParagraphFont"/>
    <w:uiPriority w:val="32"/>
    <w:qFormat/>
    <w:rsid w:val="00FC693F"/>
    <w:rPr>
      <w:b/>
      <w:bCs/>
      <w:smallCaps/>
      <w:color w:val="000000"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cPr>
    </w:tblStylePr>
    <w:tblStylePr w:type="band1Horz">
      <w:tblPr/>
      <w:tcP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cPr>
    </w:tblStylePr>
    <w:tblStylePr w:type="band1Horz">
      <w:tblPr/>
      <w:tcP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cPr>
    </w:tblStylePr>
    <w:tblStylePr w:type="band1Horz">
      <w:tblPr/>
      <w:tcP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cPr>
    </w:tblStylePr>
    <w:tblStylePr w:type="band1Horz">
      <w:tblPr/>
      <w:tcP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cPr>
    </w:tblStylePr>
    <w:tblStylePr w:type="band1Horz">
      <w:tblPr/>
      <w:tcP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cPr>
    </w:tblStylePr>
    <w:tblStylePr w:type="band1Horz">
      <w:tblPr/>
      <w:tcP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cPr>
    </w:tblStylePr>
    <w:tblStylePr w:type="band1Horz">
      <w:tblPr/>
      <w:tc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cPr>
    <w:tblStylePr w:type="firstRow">
      <w:rPr>
        <w:b/>
        <w:bCs/>
        <w:color w:val="000000" w:themeColor="text1"/>
      </w:rPr>
      <w:tblPr/>
      <w:tc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000000" w:themeColor="text1"/>
          <w:insideV w:val="single" w:sz="6" w:space="0" w:color="000000" w:themeColor="text1"/>
        </w:tcBorders>
      </w:tcPr>
    </w:tblStylePr>
    <w:tblStylePr w:type="nwCell">
      <w:tblPr/>
      <w:tc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cPr>
    <w:tblStylePr w:type="firstRow">
      <w:rPr>
        <w:b/>
        <w:bCs/>
        <w:color w:val="000000" w:themeColor="text1"/>
      </w:rPr>
      <w:tblPr/>
      <w:tc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4F81BD" w:themeColor="accent1"/>
          <w:insideV w:val="single" w:sz="6" w:space="0" w:color="4F81BD" w:themeColor="accent1"/>
        </w:tcBorders>
      </w:tcPr>
    </w:tblStylePr>
    <w:tblStylePr w:type="nwCell">
      <w:tblPr/>
      <w:tc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cPr>
    <w:tblStylePr w:type="firstRow">
      <w:rPr>
        <w:b/>
        <w:bCs/>
        <w:color w:val="000000" w:themeColor="text1"/>
      </w:rPr>
      <w:tblPr/>
      <w:tc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C0504D" w:themeColor="accent2"/>
          <w:insideV w:val="single" w:sz="6" w:space="0" w:color="C0504D" w:themeColor="accent2"/>
        </w:tcBorders>
      </w:tcPr>
    </w:tblStylePr>
    <w:tblStylePr w:type="nwCell">
      <w:tblPr/>
      <w:tc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cPr>
    <w:tblStylePr w:type="firstRow">
      <w:rPr>
        <w:b/>
        <w:bCs/>
        <w:color w:val="000000" w:themeColor="text1"/>
      </w:rPr>
      <w:tblPr/>
      <w:tc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9BBB59" w:themeColor="accent3"/>
          <w:insideV w:val="single" w:sz="6" w:space="0" w:color="9BBB59" w:themeColor="accent3"/>
        </w:tcBorders>
      </w:tcPr>
    </w:tblStylePr>
    <w:tblStylePr w:type="nwCell">
      <w:tblPr/>
      <w:tc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cPr>
    <w:tblStylePr w:type="firstRow">
      <w:rPr>
        <w:b/>
        <w:bCs/>
        <w:color w:val="000000" w:themeColor="text1"/>
      </w:rPr>
      <w:tblPr/>
      <w:tc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8064A2" w:themeColor="accent4"/>
          <w:insideV w:val="single" w:sz="6" w:space="0" w:color="8064A2" w:themeColor="accent4"/>
        </w:tcBorders>
      </w:tcPr>
    </w:tblStylePr>
    <w:tblStylePr w:type="nwCell">
      <w:tblPr/>
      <w:tc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cPr>
    <w:tblStylePr w:type="firstRow">
      <w:rPr>
        <w:b/>
        <w:bCs/>
        <w:color w:val="000000" w:themeColor="text1"/>
      </w:rPr>
      <w:tblPr/>
      <w:tc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4BACC6" w:themeColor="accent5"/>
          <w:insideV w:val="single" w:sz="6" w:space="0" w:color="4BACC6" w:themeColor="accent5"/>
        </w:tcBorders>
      </w:tcPr>
    </w:tblStylePr>
    <w:tblStylePr w:type="nwCell">
      <w:tblPr/>
      <w:tc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cPr>
    <w:tblStylePr w:type="firstRow">
      <w:rPr>
        <w:b/>
        <w:bCs/>
        <w:color w:val="000000" w:themeColor="text1"/>
      </w:rPr>
      <w:tblPr/>
      <w:tc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F79646" w:themeColor="accent6"/>
          <w:insideV w:val="single" w:sz="6" w:space="0" w:color="F79646" w:themeColor="accent6"/>
        </w:tcBorders>
      </w:tcPr>
    </w:tblStylePr>
    <w:tblStylePr w:type="nwCell">
      <w:tblPr/>
      <w:tc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000000" w:themeColor="text1"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cPr>
    </w:tblStylePr>
    <w:tblStylePr w:type="band1Horz">
      <w:tblPr/>
      <w:tcP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cPr>
    <w:tblStylePr w:type="firstRow">
      <w:rPr>
        <w:b/>
        <w:bCs/>
        <w:color w:val="000000" w:themeColor="background1"/>
      </w:rPr>
      <w:tblPr/>
      <w:tcPr>
        <w:tcBorders>
          <w:bottom w:val="single" w:sz="12" w:space="0" w:color="FFFFFF" w:themeColor="background1"/>
        </w:tcBorders>
      </w:tcPr>
    </w:tblStylePr>
    <w:tblStylePr w:type="lastRow">
      <w:rPr>
        <w:b/>
        <w:bCs/>
        <w:color w:val="000000"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cPr>
    <w:tblStylePr w:type="firstRow">
      <w:rPr>
        <w:b/>
        <w:bCs/>
        <w:color w:val="000000" w:themeColor="background1"/>
      </w:rPr>
      <w:tblPr/>
      <w:tcPr>
        <w:tcBorders>
          <w:bottom w:val="single" w:sz="12" w:space="0" w:color="FFFFFF" w:themeColor="background1"/>
        </w:tcBorders>
      </w:tcPr>
    </w:tblStylePr>
    <w:tblStylePr w:type="lastRow">
      <w:rPr>
        <w:b/>
        <w:bCs/>
        <w:color w:val="000000"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cPr>
    <w:tblStylePr w:type="firstRow">
      <w:rPr>
        <w:b/>
        <w:bCs/>
        <w:color w:val="000000" w:themeColor="background1"/>
      </w:rPr>
      <w:tblPr/>
      <w:tcPr>
        <w:tcBorders>
          <w:bottom w:val="single" w:sz="12" w:space="0" w:color="FFFFFF" w:themeColor="background1"/>
        </w:tcBorders>
      </w:tcPr>
    </w:tblStylePr>
    <w:tblStylePr w:type="lastRow">
      <w:rPr>
        <w:b/>
        <w:bCs/>
        <w:color w:val="000000"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cPr>
    <w:tblStylePr w:type="firstRow">
      <w:rPr>
        <w:b/>
        <w:bCs/>
        <w:color w:val="000000" w:themeColor="background1"/>
      </w:rPr>
      <w:tblPr/>
      <w:tcPr>
        <w:tcBorders>
          <w:bottom w:val="single" w:sz="12" w:space="0" w:color="FFFFFF" w:themeColor="background1"/>
        </w:tcBorders>
      </w:tcPr>
    </w:tblStylePr>
    <w:tblStylePr w:type="lastRow">
      <w:rPr>
        <w:b/>
        <w:bCs/>
        <w:color w:val="000000"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cPr>
    <w:tblStylePr w:type="firstRow">
      <w:rPr>
        <w:b/>
        <w:bCs/>
        <w:color w:val="000000" w:themeColor="background1"/>
      </w:rPr>
      <w:tblPr/>
      <w:tcPr>
        <w:tcBorders>
          <w:bottom w:val="single" w:sz="12" w:space="0" w:color="FFFFFF" w:themeColor="background1"/>
        </w:tcBorders>
      </w:tcPr>
    </w:tblStylePr>
    <w:tblStylePr w:type="lastRow">
      <w:rPr>
        <w:b/>
        <w:bCs/>
        <w:color w:val="00000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cPr>
    <w:tblStylePr w:type="firstRow">
      <w:rPr>
        <w:b/>
        <w:bCs/>
        <w:color w:val="000000" w:themeColor="background1"/>
      </w:rPr>
      <w:tblPr/>
      <w:tcPr>
        <w:tcBorders>
          <w:bottom w:val="single" w:sz="12" w:space="0" w:color="FFFFFF" w:themeColor="background1"/>
        </w:tcBorders>
      </w:tcPr>
    </w:tblStylePr>
    <w:tblStylePr w:type="lastRow">
      <w:rPr>
        <w:b/>
        <w:bCs/>
        <w:color w:val="000000"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cPr>
    <w:tblStylePr w:type="firstRow">
      <w:rPr>
        <w:b/>
        <w:bCs/>
        <w:color w:val="000000" w:themeColor="background1"/>
      </w:rPr>
      <w:tblPr/>
      <w:tcPr>
        <w:tcBorders>
          <w:bottom w:val="single" w:sz="12" w:space="0" w:color="FFFFFF" w:themeColor="background1"/>
        </w:tcBorders>
      </w:tcPr>
    </w:tblStylePr>
    <w:tblStylePr w:type="lastRow">
      <w:rPr>
        <w:b/>
        <w:bCs/>
        <w:color w:val="000000"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themeColor="text1"/>
      </w:rPr>
      <w:tblPr/>
      <w:tcPr>
      </w:tcPr>
    </w:tblStylePr>
    <w:tblStylePr w:type="firstCol">
      <w:rPr>
        <w:color w:val="000000" w:themeColor="background1"/>
      </w:rPr>
      <w:tblPr/>
      <w:tcPr>
      </w:tcPr>
    </w:tblStylePr>
    <w:tblStylePr w:type="lastCol">
      <w:rPr>
        <w:color w:val="000000" w:themeColor="background1"/>
      </w:rPr>
      <w:tblPr/>
      <w:tcPr>
      </w:tcPr>
    </w:tblStylePr>
    <w:tblStylePr w:type="band1Vert">
      <w:tblPr/>
      <w:tcPr>
      </w:tcPr>
    </w:tblStylePr>
    <w:tblStylePr w:type="band1Horz">
      <w:tblPr/>
      <w:tcP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themeColor="text1"/>
      </w:rPr>
      <w:tblPr/>
      <w:tcPr>
      </w:tcPr>
    </w:tblStylePr>
    <w:tblStylePr w:type="firstCol">
      <w:rPr>
        <w:color w:val="000000" w:themeColor="background1"/>
      </w:rPr>
      <w:tblPr/>
      <w:tcPr>
      </w:tcPr>
    </w:tblStylePr>
    <w:tblStylePr w:type="lastCol">
      <w:rPr>
        <w:color w:val="000000" w:themeColor="background1"/>
      </w:rPr>
      <w:tblPr/>
      <w:tcPr>
      </w:tcPr>
    </w:tblStylePr>
    <w:tblStylePr w:type="band1Vert">
      <w:tblPr/>
      <w:tcPr>
      </w:tcPr>
    </w:tblStylePr>
    <w:tblStylePr w:type="band1Horz">
      <w:tblPr/>
      <w:tcP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themeColor="text1"/>
      </w:rPr>
      <w:tblPr/>
      <w:tcPr>
      </w:tcPr>
    </w:tblStylePr>
    <w:tblStylePr w:type="firstCol">
      <w:rPr>
        <w:color w:val="000000" w:themeColor="background1"/>
      </w:rPr>
      <w:tblPr/>
      <w:tcPr>
      </w:tcPr>
    </w:tblStylePr>
    <w:tblStylePr w:type="lastCol">
      <w:rPr>
        <w:color w:val="000000" w:themeColor="background1"/>
      </w:rPr>
      <w:tblPr/>
      <w:tcPr>
      </w:tcPr>
    </w:tblStylePr>
    <w:tblStylePr w:type="band1Vert">
      <w:tblPr/>
      <w:tcPr>
      </w:tcPr>
    </w:tblStylePr>
    <w:tblStylePr w:type="band1Horz">
      <w:tblPr/>
      <w:tcP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themeColor="text1"/>
      </w:rPr>
      <w:tblPr/>
      <w:tcPr>
      </w:tcPr>
    </w:tblStylePr>
    <w:tblStylePr w:type="firstCol">
      <w:rPr>
        <w:color w:val="000000" w:themeColor="background1"/>
      </w:rPr>
      <w:tblPr/>
      <w:tcPr>
      </w:tcPr>
    </w:tblStylePr>
    <w:tblStylePr w:type="lastCol">
      <w:rPr>
        <w:color w:val="000000" w:themeColor="background1"/>
      </w:rPr>
      <w:tblPr/>
      <w:tcPr>
      </w:tcPr>
    </w:tblStylePr>
    <w:tblStylePr w:type="band1Vert">
      <w:tblPr/>
      <w:tcPr>
      </w:tcPr>
    </w:tblStylePr>
    <w:tblStylePr w:type="band1Horz">
      <w:tblPr/>
      <w:tcP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themeColor="text1"/>
      </w:rPr>
      <w:tblPr/>
      <w:tcPr>
      </w:tcPr>
    </w:tblStylePr>
    <w:tblStylePr w:type="firstCol">
      <w:rPr>
        <w:color w:val="000000" w:themeColor="background1"/>
      </w:rPr>
      <w:tblPr/>
      <w:tcPr>
      </w:tcPr>
    </w:tblStylePr>
    <w:tblStylePr w:type="lastCol">
      <w:rPr>
        <w:color w:val="000000" w:themeColor="background1"/>
      </w:rPr>
      <w:tblPr/>
      <w:tcPr>
      </w:tcPr>
    </w:tblStylePr>
    <w:tblStylePr w:type="band1Vert">
      <w:tblPr/>
      <w:tcPr>
      </w:tcPr>
    </w:tblStylePr>
    <w:tblStylePr w:type="band1Horz">
      <w:tblPr/>
      <w:tcP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themeColor="text1"/>
      </w:rPr>
      <w:tblPr/>
      <w:tcPr>
      </w:tcPr>
    </w:tblStylePr>
    <w:tblStylePr w:type="firstCol">
      <w:rPr>
        <w:color w:val="000000" w:themeColor="background1"/>
      </w:rPr>
      <w:tblPr/>
      <w:tcPr>
      </w:tcPr>
    </w:tblStylePr>
    <w:tblStylePr w:type="lastCol">
      <w:rPr>
        <w:color w:val="000000" w:themeColor="background1"/>
      </w:rPr>
      <w:tblPr/>
      <w:tcPr>
      </w:tcPr>
    </w:tblStylePr>
    <w:tblStylePr w:type="band1Vert">
      <w:tblPr/>
      <w:tcPr>
      </w:tcPr>
    </w:tblStylePr>
    <w:tblStylePr w:type="band1Horz">
      <w:tblPr/>
      <w:tcP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themeColor="text1"/>
      </w:rPr>
      <w:tblPr/>
      <w:tcPr>
      </w:tcPr>
    </w:tblStylePr>
    <w:tblStylePr w:type="firstCol">
      <w:rPr>
        <w:color w:val="000000" w:themeColor="background1"/>
      </w:rPr>
      <w:tblPr/>
      <w:tcPr>
      </w:tcPr>
    </w:tblStylePr>
    <w:tblStylePr w:type="lastCol">
      <w:rPr>
        <w:color w:val="000000" w:themeColor="background1"/>
      </w:rPr>
      <w:tblPr/>
      <w:tcPr>
      </w:tcPr>
    </w:tblStylePr>
    <w:tblStylePr w:type="band1Vert">
      <w:tblPr/>
      <w:tcPr>
      </w:tcPr>
    </w:tblStylePr>
    <w:tblStylePr w:type="band1Horz">
      <w:tblPr/>
      <w:tcP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智学派 LearnGen 创业计划书</dc:title>
  <dc:subject>创新创业基础课程作业</dc:subject>
  <dc:creator>python-docx</dc:creator>
  <cp:keywords>智学派; LearnGen; AI教育; 创业计划书</cp:keywords>
  <dc:description>generated by python-docx</dc:description>
  <cp:lastModifiedBy/>
  <cp:revision>1</cp:revision>
  <dcterms:created xsi:type="dcterms:W3CDTF">2013-12-23T23:15:00Z</dcterms:created>
  <dcterms:modified xsi:type="dcterms:W3CDTF">2013-12-23T23:15:00Z</dcterms:modified>
  <cp:category/>
</cp:coreProperties>
</file>