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SimHei"/>
          <w:b/>
          <w:color w:val="0B2545"/>
          <w:sz w:val="40"/>
        </w:rPr>
        <w:t>图像增强与复原算法综合应用课程设计报告</w:t>
      </w:r>
    </w:p>
    <w:p>
      <w:pPr>
        <w:spacing w:after="280"/>
        <w:jc w:val="center"/>
      </w:pPr>
      <w:r>
        <w:rPr>
          <w:rFonts w:ascii="Calibri" w:hAnsi="Calibri" w:eastAsia="SimSun"/>
          <w:color w:val="666666"/>
          <w:sz w:val="21"/>
        </w:rPr>
        <w:t>课程：数字图像处理实践    姓名：待填写    学号：待填写    班级：待填写</w:t>
      </w:r>
    </w:p>
    <w:p>
      <w:pPr>
        <w:pStyle w:val="Heading1"/>
      </w:pPr>
      <w:r>
        <w:t>摘要</w:t>
      </w:r>
    </w:p>
    <w:p>
      <w:pPr>
        <w:spacing w:after="120" w:line="264" w:lineRule="auto"/>
      </w:pPr>
      <w:r>
        <w:rPr>
          <w:rFonts w:ascii="Calibri" w:hAnsi="Calibri" w:eastAsia="SimSun"/>
          <w:sz w:val="22"/>
        </w:rPr>
        <w:t>本课程设计围绕混合噪声图像增强和未知降质图像复原两个任务展开。图像增强任务中，先通过傅里叶频谱分析定位周期噪声峰值，再设计高斯陷波滤波器在频率域抑制周期噪声，随后使用中值滤波、均值滤波、高提升锐化和百分位灰度拉伸在空间域进一步降低随机噪声。图像复原任务中，默认按学号尾数为偶数选择图1模糊树林图像，采用近似高斯点扩散函数的维纳复原方法，并结合高提升锐化和灰度拉伸恢复边缘细节。</w:t>
      </w:r>
    </w:p>
    <w:p>
      <w:pPr>
        <w:spacing w:after="120" w:line="264" w:lineRule="auto"/>
      </w:pPr>
      <w:r>
        <w:rPr>
          <w:rFonts w:ascii="Calibri" w:hAnsi="Calibri" w:eastAsia="SimSun"/>
          <w:sz w:val="22"/>
        </w:rPr>
        <w:t>实验结果表明，增强任务的 MSE 由 0.071191 降至 0.006541，SNR 由 4.664 dB 提升至 15.032 dB，PSNR 由 11.476 dB 提升至 21.844 dB，SSIM 由 0.1039 提升至 0.6558。图1复原后平均梯度由 0.03489 提升至 0.11841，拉普拉斯方差由 0.01926 提升至 0.12463，说明图像细节和边缘清晰度明显增强。</w:t>
      </w:r>
    </w:p>
    <w:p>
      <w:pPr>
        <w:spacing w:after="120" w:line="264" w:lineRule="auto"/>
      </w:pPr>
      <w:r>
        <w:rPr>
          <w:rFonts w:ascii="Calibri" w:hAnsi="Calibri" w:eastAsia="SimSun"/>
          <w:sz w:val="22"/>
        </w:rPr>
        <w:t>关键词：图像增强；周期噪声；陷波滤波；中值滤波；维纳滤波；图像复原</w:t>
      </w:r>
    </w:p>
    <w:p>
      <w:pPr>
        <w:pStyle w:val="Heading1"/>
      </w:pPr>
      <w:r>
        <w:t>1. 任务描述</w:t>
      </w:r>
    </w:p>
    <w:p>
      <w:pPr>
        <w:spacing w:after="120" w:line="264" w:lineRule="auto"/>
      </w:pPr>
      <w:r>
        <w:rPr>
          <w:rFonts w:ascii="Calibri" w:hAnsi="Calibri" w:eastAsia="SimSun"/>
          <w:sz w:val="22"/>
        </w:rPr>
        <w:t>课程设计包含图像增强和图像复原两部分。增强任务要求对含随机噪声和周期噪声的图像进行处理，清晰图像仅用于算法评估。复原任务要求在两幅未知降质图像中按学号尾数选择一幅进行复原。本文默认按偶数学号选择图1模糊树林图像；脚本同时生成图2低照度瀑布图像的备选结果。</w:t>
      </w:r>
    </w:p>
    <w:p>
      <w:pPr>
        <w:pStyle w:val="Heading1"/>
      </w:pPr>
      <w:r>
        <w:t>2. 问题分析</w:t>
      </w:r>
    </w:p>
    <w:p>
      <w:pPr>
        <w:pStyle w:val="Heading2"/>
      </w:pPr>
      <w:r>
        <w:t>2.1 混合噪声图像增强</w:t>
      </w:r>
    </w:p>
    <w:p>
      <w:pPr>
        <w:spacing w:after="120" w:line="264" w:lineRule="auto"/>
      </w:pPr>
      <w:r>
        <w:rPr>
          <w:rFonts w:ascii="Calibri" w:hAnsi="Calibri" w:eastAsia="SimSun"/>
          <w:sz w:val="22"/>
        </w:rPr>
        <w:t>退化图像中存在明显规则条纹，并叠加随机噪声。周期噪声在空间域中表现为规则明暗变化，在频率域中表现为远离中心的成对亮点。因此，单纯使用空间域滤波难以彻底去除周期条纹，而单纯使用频域滤波又不能充分处理随机噪声。本文采用频率域陷波和空间域滤波相结合的方案。</w:t>
      </w:r>
    </w:p>
    <w:p>
      <w:pPr>
        <w:pStyle w:val="Heading2"/>
      </w:pPr>
      <w:r>
        <w:t>2.2 模糊图像复原</w:t>
      </w:r>
    </w:p>
    <w:p>
      <w:pPr>
        <w:spacing w:after="120" w:line="264" w:lineRule="auto"/>
      </w:pPr>
      <w:r>
        <w:rPr>
          <w:rFonts w:ascii="Calibri" w:hAnsi="Calibri" w:eastAsia="SimSun"/>
          <w:sz w:val="22"/>
        </w:rPr>
        <w:t>图1模糊树林图像主要表现为边缘不清晰、纹理细节弱。该退化过程可近似为清晰图像经过低通型点扩散函数模糊后再叠加少量噪声。由于真实退化函数未知，本文使用高斯点扩散函数近似退化模型，并采用维纳滤波抑制逆滤波可能导致的噪声放大。</w:t>
      </w:r>
    </w:p>
    <w:p>
      <w:pPr>
        <w:pStyle w:val="Heading1"/>
      </w:pPr>
      <w:r>
        <w:t>3. 算法设计</w:t>
      </w:r>
    </w:p>
    <w:p>
      <w:pPr>
        <w:pStyle w:val="Heading2"/>
      </w:pPr>
      <w:r>
        <w:t>3.1 图像增强算法</w:t>
      </w:r>
    </w:p>
    <w:p>
      <w:pPr>
        <w:spacing w:after="120" w:line="264" w:lineRule="auto"/>
      </w:pPr>
      <w:r>
        <w:rPr>
          <w:rFonts w:ascii="Calibri" w:hAnsi="Calibri" w:eastAsia="SimSun"/>
          <w:sz w:val="22"/>
        </w:rPr>
        <w:t>增强算法流程为：读入图像并归一化，进行傅里叶变换，按频谱峰值构造高斯陷波滤波器，再依次使用 5 x 5 中值滤波、3 x 3 均值滤波、高提升锐化和百分位灰度拉伸。主陷波中心设为 (0, ±71) 和 (±74, 0)，陷波半径 D0 取 10。</w:t>
      </w:r>
    </w:p>
    <w:p>
      <w:pPr>
        <w:spacing w:after="120" w:line="264" w:lineRule="auto"/>
      </w:pPr>
      <w:r>
        <w:rPr>
          <w:rFonts w:ascii="Calibri" w:hAnsi="Calibri" w:eastAsia="SimSun"/>
          <w:sz w:val="22"/>
        </w:rPr>
        <w:t>高斯陷波滤波器定义为 H_k(u,v)=1-exp(-D_k(u,v)^2/(2D0^2))，总滤波器为各陷波器的乘积。</w:t>
      </w:r>
    </w:p>
    <w:p>
      <w:pPr>
        <w:pStyle w:val="Heading2"/>
      </w:pPr>
      <w:r>
        <w:t>3.2 图像复原算法</w:t>
      </w:r>
    </w:p>
    <w:p>
      <w:pPr>
        <w:spacing w:after="120" w:line="264" w:lineRule="auto"/>
      </w:pPr>
      <w:r>
        <w:rPr>
          <w:rFonts w:ascii="Calibri" w:hAnsi="Calibri" w:eastAsia="SimSun"/>
          <w:sz w:val="22"/>
        </w:rPr>
        <w:t>复原算法使用退化模型 g(x,y)=h(x,y)*f(x,y)+n(x,y)。图1中取高斯 PSF 近似 h(x,y)，参数为 psf_size=13、psf_sigma=1.35，并使用维纳滤波公式 F_hat=H*/(|H|^2+K)G，K=0.004。复原后的亮度分量再经高提升锐化和百分位拉伸后替换回彩色图像。</w:t>
      </w:r>
    </w:p>
    <w:p>
      <w:pPr>
        <w:pStyle w:val="Heading1"/>
      </w:pPr>
      <w:r>
        <w:t>4. 实验结果与分析</w:t>
      </w:r>
    </w:p>
    <w:p>
      <w:pPr>
        <w:pStyle w:val="Heading2"/>
      </w:pPr>
      <w:r>
        <w:t>4.1 增强任务结果</w:t>
      </w:r>
    </w:p>
    <w:tbl>
      <w:tblPr>
        <w:tblW w:type="dxa" w:w="9360"/>
        <w:jc w:val="left"/>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60"/>
        <w:gridCol w:w="1560"/>
        <w:gridCol w:w="1560"/>
        <w:gridCol w:w="1560"/>
        <w:gridCol w:w="1560"/>
        <w:gridCol w:w="1560"/>
      </w:tblGrid>
      <w:tr>
        <w:tc>
          <w:tcPr>
            <w:tcW w:type="dxa" w:w="1560"/>
            <w:vAlign w:val="center"/>
            <w:shd w:fill="F2F4F7"/>
          </w:tcPr>
          <w:p>
            <w:pPr>
              <w:jc w:val="center"/>
            </w:pPr>
            <w:r/>
            <w:r>
              <w:rPr>
                <w:rFonts w:ascii="Calibri" w:hAnsi="Calibri" w:eastAsia="SimSun"/>
                <w:b/>
                <w:sz w:val="19"/>
              </w:rPr>
              <w:t>阶段</w:t>
            </w:r>
          </w:p>
        </w:tc>
        <w:tc>
          <w:tcPr>
            <w:tcW w:type="dxa" w:w="1560"/>
            <w:vAlign w:val="center"/>
            <w:shd w:fill="F2F4F7"/>
          </w:tcPr>
          <w:p>
            <w:pPr>
              <w:jc w:val="center"/>
            </w:pPr>
            <w:r/>
            <w:r>
              <w:rPr>
                <w:rFonts w:ascii="Calibri" w:hAnsi="Calibri" w:eastAsia="SimSun"/>
                <w:b/>
                <w:sz w:val="19"/>
              </w:rPr>
              <w:t>MSE</w:t>
            </w:r>
          </w:p>
        </w:tc>
        <w:tc>
          <w:tcPr>
            <w:tcW w:type="dxa" w:w="1560"/>
            <w:vAlign w:val="center"/>
            <w:shd w:fill="F2F4F7"/>
          </w:tcPr>
          <w:p>
            <w:pPr>
              <w:jc w:val="center"/>
            </w:pPr>
            <w:r/>
            <w:r>
              <w:rPr>
                <w:rFonts w:ascii="Calibri" w:hAnsi="Calibri" w:eastAsia="SimSun"/>
                <w:b/>
                <w:sz w:val="19"/>
              </w:rPr>
              <w:t>RMSE</w:t>
            </w:r>
          </w:p>
        </w:tc>
        <w:tc>
          <w:tcPr>
            <w:tcW w:type="dxa" w:w="1560"/>
            <w:vAlign w:val="center"/>
            <w:shd w:fill="F2F4F7"/>
          </w:tcPr>
          <w:p>
            <w:pPr>
              <w:jc w:val="center"/>
            </w:pPr>
            <w:r/>
            <w:r>
              <w:rPr>
                <w:rFonts w:ascii="Calibri" w:hAnsi="Calibri" w:eastAsia="SimSun"/>
                <w:b/>
                <w:sz w:val="19"/>
              </w:rPr>
              <w:t>SNR/dB</w:t>
            </w:r>
          </w:p>
        </w:tc>
        <w:tc>
          <w:tcPr>
            <w:tcW w:type="dxa" w:w="1560"/>
            <w:vAlign w:val="center"/>
            <w:shd w:fill="F2F4F7"/>
          </w:tcPr>
          <w:p>
            <w:pPr>
              <w:jc w:val="center"/>
            </w:pPr>
            <w:r/>
            <w:r>
              <w:rPr>
                <w:rFonts w:ascii="Calibri" w:hAnsi="Calibri" w:eastAsia="SimSun"/>
                <w:b/>
                <w:sz w:val="19"/>
              </w:rPr>
              <w:t>PSNR/dB</w:t>
            </w:r>
          </w:p>
        </w:tc>
        <w:tc>
          <w:tcPr>
            <w:tcW w:type="dxa" w:w="1560"/>
            <w:vAlign w:val="center"/>
            <w:shd w:fill="F2F4F7"/>
          </w:tcPr>
          <w:p>
            <w:pPr>
              <w:jc w:val="center"/>
            </w:pPr>
            <w:r/>
            <w:r>
              <w:rPr>
                <w:rFonts w:ascii="Calibri" w:hAnsi="Calibri" w:eastAsia="SimSun"/>
                <w:b/>
                <w:sz w:val="19"/>
              </w:rPr>
              <w:t>SSIM</w:t>
            </w:r>
          </w:p>
        </w:tc>
      </w:tr>
      <w:tr>
        <w:tc>
          <w:tcPr>
            <w:tcW w:type="dxa" w:w="1560"/>
          </w:tcPr>
          <w:p>
            <w:pPr>
              <w:jc w:val="left"/>
            </w:pPr>
            <w:r/>
            <w:r>
              <w:rPr>
                <w:rFonts w:ascii="Calibri" w:hAnsi="Calibri" w:eastAsia="SimSun"/>
                <w:sz w:val="19"/>
              </w:rPr>
              <w:t>处理前</w:t>
            </w:r>
          </w:p>
        </w:tc>
        <w:tc>
          <w:tcPr>
            <w:tcW w:type="dxa" w:w="1560"/>
          </w:tcPr>
          <w:p>
            <w:pPr>
              <w:jc w:val="center"/>
            </w:pPr>
            <w:r/>
            <w:r>
              <w:rPr>
                <w:rFonts w:ascii="Calibri" w:hAnsi="Calibri" w:eastAsia="SimSun"/>
                <w:sz w:val="19"/>
              </w:rPr>
              <w:t>0.071191</w:t>
            </w:r>
          </w:p>
        </w:tc>
        <w:tc>
          <w:tcPr>
            <w:tcW w:type="dxa" w:w="1560"/>
          </w:tcPr>
          <w:p>
            <w:pPr>
              <w:jc w:val="center"/>
            </w:pPr>
            <w:r/>
            <w:r>
              <w:rPr>
                <w:rFonts w:ascii="Calibri" w:hAnsi="Calibri" w:eastAsia="SimSun"/>
                <w:sz w:val="19"/>
              </w:rPr>
              <w:t>0.266816</w:t>
            </w:r>
          </w:p>
        </w:tc>
        <w:tc>
          <w:tcPr>
            <w:tcW w:type="dxa" w:w="1560"/>
          </w:tcPr>
          <w:p>
            <w:pPr>
              <w:jc w:val="center"/>
            </w:pPr>
            <w:r/>
            <w:r>
              <w:rPr>
                <w:rFonts w:ascii="Calibri" w:hAnsi="Calibri" w:eastAsia="SimSun"/>
                <w:sz w:val="19"/>
              </w:rPr>
              <w:t>4.664</w:t>
            </w:r>
          </w:p>
        </w:tc>
        <w:tc>
          <w:tcPr>
            <w:tcW w:type="dxa" w:w="1560"/>
          </w:tcPr>
          <w:p>
            <w:pPr>
              <w:jc w:val="center"/>
            </w:pPr>
            <w:r/>
            <w:r>
              <w:rPr>
                <w:rFonts w:ascii="Calibri" w:hAnsi="Calibri" w:eastAsia="SimSun"/>
                <w:sz w:val="19"/>
              </w:rPr>
              <w:t>11.476</w:t>
            </w:r>
          </w:p>
        </w:tc>
        <w:tc>
          <w:tcPr>
            <w:tcW w:type="dxa" w:w="1560"/>
          </w:tcPr>
          <w:p>
            <w:pPr>
              <w:jc w:val="center"/>
            </w:pPr>
            <w:r/>
            <w:r>
              <w:rPr>
                <w:rFonts w:ascii="Calibri" w:hAnsi="Calibri" w:eastAsia="SimSun"/>
                <w:sz w:val="19"/>
              </w:rPr>
              <w:t>0.1039</w:t>
            </w:r>
          </w:p>
        </w:tc>
      </w:tr>
      <w:tr>
        <w:tc>
          <w:tcPr>
            <w:tcW w:type="dxa" w:w="1560"/>
          </w:tcPr>
          <w:p>
            <w:pPr>
              <w:jc w:val="left"/>
            </w:pPr>
            <w:r/>
            <w:r>
              <w:rPr>
                <w:rFonts w:ascii="Calibri" w:hAnsi="Calibri" w:eastAsia="SimSun"/>
                <w:sz w:val="19"/>
              </w:rPr>
              <w:t>处理后</w:t>
            </w:r>
          </w:p>
        </w:tc>
        <w:tc>
          <w:tcPr>
            <w:tcW w:type="dxa" w:w="1560"/>
          </w:tcPr>
          <w:p>
            <w:pPr>
              <w:jc w:val="center"/>
            </w:pPr>
            <w:r/>
            <w:r>
              <w:rPr>
                <w:rFonts w:ascii="Calibri" w:hAnsi="Calibri" w:eastAsia="SimSun"/>
                <w:sz w:val="19"/>
              </w:rPr>
              <w:t>0.006541</w:t>
            </w:r>
          </w:p>
        </w:tc>
        <w:tc>
          <w:tcPr>
            <w:tcW w:type="dxa" w:w="1560"/>
          </w:tcPr>
          <w:p>
            <w:pPr>
              <w:jc w:val="center"/>
            </w:pPr>
            <w:r/>
            <w:r>
              <w:rPr>
                <w:rFonts w:ascii="Calibri" w:hAnsi="Calibri" w:eastAsia="SimSun"/>
                <w:sz w:val="19"/>
              </w:rPr>
              <w:t>0.080877</w:t>
            </w:r>
          </w:p>
        </w:tc>
        <w:tc>
          <w:tcPr>
            <w:tcW w:type="dxa" w:w="1560"/>
          </w:tcPr>
          <w:p>
            <w:pPr>
              <w:jc w:val="center"/>
            </w:pPr>
            <w:r/>
            <w:r>
              <w:rPr>
                <w:rFonts w:ascii="Calibri" w:hAnsi="Calibri" w:eastAsia="SimSun"/>
                <w:sz w:val="19"/>
              </w:rPr>
              <w:t>15.032</w:t>
            </w:r>
          </w:p>
        </w:tc>
        <w:tc>
          <w:tcPr>
            <w:tcW w:type="dxa" w:w="1560"/>
          </w:tcPr>
          <w:p>
            <w:pPr>
              <w:jc w:val="center"/>
            </w:pPr>
            <w:r/>
            <w:r>
              <w:rPr>
                <w:rFonts w:ascii="Calibri" w:hAnsi="Calibri" w:eastAsia="SimSun"/>
                <w:sz w:val="19"/>
              </w:rPr>
              <w:t>21.844</w:t>
            </w:r>
          </w:p>
        </w:tc>
        <w:tc>
          <w:tcPr>
            <w:tcW w:type="dxa" w:w="1560"/>
          </w:tcPr>
          <w:p>
            <w:pPr>
              <w:jc w:val="center"/>
            </w:pPr>
            <w:r/>
            <w:r>
              <w:rPr>
                <w:rFonts w:ascii="Calibri" w:hAnsi="Calibri" w:eastAsia="SimSun"/>
                <w:sz w:val="19"/>
              </w:rPr>
              <w:t>0.6558</w:t>
            </w:r>
          </w:p>
        </w:tc>
      </w:tr>
    </w:tbl>
    <w:p/>
    <w:p>
      <w:pPr>
        <w:spacing w:after="120" w:line="264" w:lineRule="auto"/>
      </w:pPr>
      <w:r>
        <w:rPr>
          <w:rFonts w:ascii="Calibri" w:hAnsi="Calibri" w:eastAsia="SimSun"/>
          <w:sz w:val="22"/>
        </w:rPr>
        <w:t>处理后 MSE 明显下降，SNR 和 PSNR 均提升约 10 dB，SSIM 从 0.1039 提升到 0.6558，说明周期噪声和随机噪声均得到有效抑制，图像结构信息恢复明显。</w:t>
      </w:r>
    </w:p>
    <w:p>
      <w:pPr>
        <w:jc w:val="center"/>
      </w:pPr>
      <w:r>
        <w:drawing>
          <wp:inline xmlns:a="http://schemas.openxmlformats.org/drawingml/2006/main" xmlns:pic="http://schemas.openxmlformats.org/drawingml/2006/picture">
            <wp:extent cx="5760720" cy="3127850"/>
            <wp:docPr id="1" name="Picture 1"/>
            <wp:cNvGraphicFramePr>
              <a:graphicFrameLocks noChangeAspect="1"/>
            </wp:cNvGraphicFramePr>
            <a:graphic>
              <a:graphicData uri="http://schemas.openxmlformats.org/drawingml/2006/picture">
                <pic:pic>
                  <pic:nvPicPr>
                    <pic:cNvPr id="0" name="enhancement_comparison.png"/>
                    <pic:cNvPicPr/>
                  </pic:nvPicPr>
                  <pic:blipFill>
                    <a:blip r:embed="rId11"/>
                    <a:stretch>
                      <a:fillRect/>
                    </a:stretch>
                  </pic:blipFill>
                  <pic:spPr>
                    <a:xfrm>
                      <a:off x="0" y="0"/>
                      <a:ext cx="5760720" cy="3127850"/>
                    </a:xfrm>
                    <a:prstGeom prst="rect"/>
                  </pic:spPr>
                </pic:pic>
              </a:graphicData>
            </a:graphic>
          </wp:inline>
        </w:drawing>
      </w:r>
    </w:p>
    <w:p>
      <w:pPr>
        <w:spacing w:before="40" w:after="160"/>
        <w:jc w:val="center"/>
      </w:pPr>
      <w:r>
        <w:rPr>
          <w:rFonts w:ascii="Calibri" w:hAnsi="Calibri" w:eastAsia="SimSun"/>
          <w:color w:val="666666"/>
          <w:sz w:val="18"/>
        </w:rPr>
        <w:t>图1 图像增强处理流程与结果对比</w:t>
      </w:r>
    </w:p>
    <w:p>
      <w:pPr>
        <w:jc w:val="center"/>
      </w:pPr>
      <w:r>
        <w:drawing>
          <wp:inline xmlns:a="http://schemas.openxmlformats.org/drawingml/2006/main" xmlns:pic="http://schemas.openxmlformats.org/drawingml/2006/picture">
            <wp:extent cx="5760720" cy="2018556"/>
            <wp:docPr id="2" name="Picture 2"/>
            <wp:cNvGraphicFramePr>
              <a:graphicFrameLocks noChangeAspect="1"/>
            </wp:cNvGraphicFramePr>
            <a:graphic>
              <a:graphicData uri="http://schemas.openxmlformats.org/drawingml/2006/picture">
                <pic:pic>
                  <pic:nvPicPr>
                    <pic:cNvPr id="0" name="enhancement_spectrum_and_notch.png"/>
                    <pic:cNvPicPr/>
                  </pic:nvPicPr>
                  <pic:blipFill>
                    <a:blip r:embed="rId12"/>
                    <a:stretch>
                      <a:fillRect/>
                    </a:stretch>
                  </pic:blipFill>
                  <pic:spPr>
                    <a:xfrm>
                      <a:off x="0" y="0"/>
                      <a:ext cx="5760720" cy="2018556"/>
                    </a:xfrm>
                    <a:prstGeom prst="rect"/>
                  </pic:spPr>
                </pic:pic>
              </a:graphicData>
            </a:graphic>
          </wp:inline>
        </w:drawing>
      </w:r>
    </w:p>
    <w:p>
      <w:pPr>
        <w:spacing w:before="40" w:after="160"/>
        <w:jc w:val="center"/>
      </w:pPr>
      <w:r>
        <w:rPr>
          <w:rFonts w:ascii="Calibri" w:hAnsi="Calibri" w:eastAsia="SimSun"/>
          <w:color w:val="666666"/>
          <w:sz w:val="18"/>
        </w:rPr>
        <w:t>图2 周期噪声频谱峰值与高斯陷波滤波器</w:t>
      </w:r>
    </w:p>
    <w:p>
      <w:pPr>
        <w:jc w:val="center"/>
      </w:pPr>
      <w:r>
        <w:drawing>
          <wp:inline xmlns:a="http://schemas.openxmlformats.org/drawingml/2006/main" xmlns:pic="http://schemas.openxmlformats.org/drawingml/2006/picture">
            <wp:extent cx="5760720" cy="2201741"/>
            <wp:docPr id="3" name="Picture 3"/>
            <wp:cNvGraphicFramePr>
              <a:graphicFrameLocks noChangeAspect="1"/>
            </wp:cNvGraphicFramePr>
            <a:graphic>
              <a:graphicData uri="http://schemas.openxmlformats.org/drawingml/2006/picture">
                <pic:pic>
                  <pic:nvPicPr>
                    <pic:cNvPr id="0" name="enhancement_error_comparison.png"/>
                    <pic:cNvPicPr/>
                  </pic:nvPicPr>
                  <pic:blipFill>
                    <a:blip r:embed="rId13"/>
                    <a:stretch>
                      <a:fillRect/>
                    </a:stretch>
                  </pic:blipFill>
                  <pic:spPr>
                    <a:xfrm>
                      <a:off x="0" y="0"/>
                      <a:ext cx="5760720" cy="2201741"/>
                    </a:xfrm>
                    <a:prstGeom prst="rect"/>
                  </pic:spPr>
                </pic:pic>
              </a:graphicData>
            </a:graphic>
          </wp:inline>
        </w:drawing>
      </w:r>
    </w:p>
    <w:p>
      <w:pPr>
        <w:spacing w:before="40" w:after="160"/>
        <w:jc w:val="center"/>
      </w:pPr>
      <w:r>
        <w:rPr>
          <w:rFonts w:ascii="Calibri" w:hAnsi="Calibri" w:eastAsia="SimSun"/>
          <w:color w:val="666666"/>
          <w:sz w:val="18"/>
        </w:rPr>
        <w:t>图3 增强前后误差对比</w:t>
      </w:r>
    </w:p>
    <w:p>
      <w:pPr>
        <w:pStyle w:val="Heading2"/>
      </w:pPr>
      <w:r>
        <w:t>4.2 复原任务结果</w:t>
      </w:r>
    </w:p>
    <w:tbl>
      <w:tblPr>
        <w:tblW w:type="dxa" w:w="9360"/>
        <w:jc w:val="left"/>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c>
          <w:tcPr>
            <w:tcW w:type="dxa" w:w="1872"/>
            <w:vAlign w:val="center"/>
            <w:shd w:fill="F2F4F7"/>
          </w:tcPr>
          <w:p>
            <w:pPr>
              <w:jc w:val="center"/>
            </w:pPr>
            <w:r/>
            <w:r>
              <w:rPr>
                <w:rFonts w:ascii="Calibri" w:hAnsi="Calibri" w:eastAsia="SimSun"/>
                <w:b/>
                <w:sz w:val="19"/>
              </w:rPr>
              <w:t>阶段</w:t>
            </w:r>
          </w:p>
        </w:tc>
        <w:tc>
          <w:tcPr>
            <w:tcW w:type="dxa" w:w="1872"/>
            <w:vAlign w:val="center"/>
            <w:shd w:fill="F2F4F7"/>
          </w:tcPr>
          <w:p>
            <w:pPr>
              <w:jc w:val="center"/>
            </w:pPr>
            <w:r/>
            <w:r>
              <w:rPr>
                <w:rFonts w:ascii="Calibri" w:hAnsi="Calibri" w:eastAsia="SimSun"/>
                <w:b/>
                <w:sz w:val="19"/>
              </w:rPr>
              <w:t>信息熵</w:t>
            </w:r>
          </w:p>
        </w:tc>
        <w:tc>
          <w:tcPr>
            <w:tcW w:type="dxa" w:w="1872"/>
            <w:vAlign w:val="center"/>
            <w:shd w:fill="F2F4F7"/>
          </w:tcPr>
          <w:p>
            <w:pPr>
              <w:jc w:val="center"/>
            </w:pPr>
            <w:r/>
            <w:r>
              <w:rPr>
                <w:rFonts w:ascii="Calibri" w:hAnsi="Calibri" w:eastAsia="SimSun"/>
                <w:b/>
                <w:sz w:val="19"/>
              </w:rPr>
              <w:t>标准差</w:t>
            </w:r>
          </w:p>
        </w:tc>
        <w:tc>
          <w:tcPr>
            <w:tcW w:type="dxa" w:w="1872"/>
            <w:vAlign w:val="center"/>
            <w:shd w:fill="F2F4F7"/>
          </w:tcPr>
          <w:p>
            <w:pPr>
              <w:jc w:val="center"/>
            </w:pPr>
            <w:r/>
            <w:r>
              <w:rPr>
                <w:rFonts w:ascii="Calibri" w:hAnsi="Calibri" w:eastAsia="SimSun"/>
                <w:b/>
                <w:sz w:val="19"/>
              </w:rPr>
              <w:t>平均梯度</w:t>
            </w:r>
          </w:p>
        </w:tc>
        <w:tc>
          <w:tcPr>
            <w:tcW w:type="dxa" w:w="1872"/>
            <w:vAlign w:val="center"/>
            <w:shd w:fill="F2F4F7"/>
          </w:tcPr>
          <w:p>
            <w:pPr>
              <w:jc w:val="center"/>
            </w:pPr>
            <w:r/>
            <w:r>
              <w:rPr>
                <w:rFonts w:ascii="Calibri" w:hAnsi="Calibri" w:eastAsia="SimSun"/>
                <w:b/>
                <w:sz w:val="19"/>
              </w:rPr>
              <w:t>拉普拉斯方差</w:t>
            </w:r>
          </w:p>
        </w:tc>
      </w:tr>
      <w:tr>
        <w:tc>
          <w:tcPr>
            <w:tcW w:type="dxa" w:w="1872"/>
          </w:tcPr>
          <w:p>
            <w:pPr>
              <w:jc w:val="left"/>
            </w:pPr>
            <w:r/>
            <w:r>
              <w:rPr>
                <w:rFonts w:ascii="Calibri" w:hAnsi="Calibri" w:eastAsia="SimSun"/>
                <w:sz w:val="19"/>
              </w:rPr>
              <w:t>复原前</w:t>
            </w:r>
          </w:p>
        </w:tc>
        <w:tc>
          <w:tcPr>
            <w:tcW w:type="dxa" w:w="1872"/>
          </w:tcPr>
          <w:p>
            <w:pPr>
              <w:jc w:val="center"/>
            </w:pPr>
            <w:r/>
            <w:r>
              <w:rPr>
                <w:rFonts w:ascii="Calibri" w:hAnsi="Calibri" w:eastAsia="SimSun"/>
                <w:sz w:val="19"/>
              </w:rPr>
              <w:t>7.320</w:t>
            </w:r>
          </w:p>
        </w:tc>
        <w:tc>
          <w:tcPr>
            <w:tcW w:type="dxa" w:w="1872"/>
          </w:tcPr>
          <w:p>
            <w:pPr>
              <w:jc w:val="center"/>
            </w:pPr>
            <w:r/>
            <w:r>
              <w:rPr>
                <w:rFonts w:ascii="Calibri" w:hAnsi="Calibri" w:eastAsia="SimSun"/>
                <w:sz w:val="19"/>
              </w:rPr>
              <w:t>0.176</w:t>
            </w:r>
          </w:p>
        </w:tc>
        <w:tc>
          <w:tcPr>
            <w:tcW w:type="dxa" w:w="1872"/>
          </w:tcPr>
          <w:p>
            <w:pPr>
              <w:jc w:val="center"/>
            </w:pPr>
            <w:r/>
            <w:r>
              <w:rPr>
                <w:rFonts w:ascii="Calibri" w:hAnsi="Calibri" w:eastAsia="SimSun"/>
                <w:sz w:val="19"/>
              </w:rPr>
              <w:t>0.03489</w:t>
            </w:r>
          </w:p>
        </w:tc>
        <w:tc>
          <w:tcPr>
            <w:tcW w:type="dxa" w:w="1872"/>
          </w:tcPr>
          <w:p>
            <w:pPr>
              <w:jc w:val="center"/>
            </w:pPr>
            <w:r/>
            <w:r>
              <w:rPr>
                <w:rFonts w:ascii="Calibri" w:hAnsi="Calibri" w:eastAsia="SimSun"/>
                <w:sz w:val="19"/>
              </w:rPr>
              <w:t>0.01926</w:t>
            </w:r>
          </w:p>
        </w:tc>
      </w:tr>
      <w:tr>
        <w:tc>
          <w:tcPr>
            <w:tcW w:type="dxa" w:w="1872"/>
          </w:tcPr>
          <w:p>
            <w:pPr>
              <w:jc w:val="left"/>
            </w:pPr>
            <w:r/>
            <w:r>
              <w:rPr>
                <w:rFonts w:ascii="Calibri" w:hAnsi="Calibri" w:eastAsia="SimSun"/>
                <w:sz w:val="19"/>
              </w:rPr>
              <w:t>复原后</w:t>
            </w:r>
          </w:p>
        </w:tc>
        <w:tc>
          <w:tcPr>
            <w:tcW w:type="dxa" w:w="1872"/>
          </w:tcPr>
          <w:p>
            <w:pPr>
              <w:jc w:val="center"/>
            </w:pPr>
            <w:r/>
            <w:r>
              <w:rPr>
                <w:rFonts w:ascii="Calibri" w:hAnsi="Calibri" w:eastAsia="SimSun"/>
                <w:sz w:val="19"/>
              </w:rPr>
              <w:t>7.607</w:t>
            </w:r>
          </w:p>
        </w:tc>
        <w:tc>
          <w:tcPr>
            <w:tcW w:type="dxa" w:w="1872"/>
          </w:tcPr>
          <w:p>
            <w:pPr>
              <w:jc w:val="center"/>
            </w:pPr>
            <w:r/>
            <w:r>
              <w:rPr>
                <w:rFonts w:ascii="Calibri" w:hAnsi="Calibri" w:eastAsia="SimSun"/>
                <w:sz w:val="19"/>
              </w:rPr>
              <w:t>0.228</w:t>
            </w:r>
          </w:p>
        </w:tc>
        <w:tc>
          <w:tcPr>
            <w:tcW w:type="dxa" w:w="1872"/>
          </w:tcPr>
          <w:p>
            <w:pPr>
              <w:jc w:val="center"/>
            </w:pPr>
            <w:r/>
            <w:r>
              <w:rPr>
                <w:rFonts w:ascii="Calibri" w:hAnsi="Calibri" w:eastAsia="SimSun"/>
                <w:sz w:val="19"/>
              </w:rPr>
              <w:t>0.11841</w:t>
            </w:r>
          </w:p>
        </w:tc>
        <w:tc>
          <w:tcPr>
            <w:tcW w:type="dxa" w:w="1872"/>
          </w:tcPr>
          <w:p>
            <w:pPr>
              <w:jc w:val="center"/>
            </w:pPr>
            <w:r/>
            <w:r>
              <w:rPr>
                <w:rFonts w:ascii="Calibri" w:hAnsi="Calibri" w:eastAsia="SimSun"/>
                <w:sz w:val="19"/>
              </w:rPr>
              <w:t>0.12463</w:t>
            </w:r>
          </w:p>
        </w:tc>
      </w:tr>
    </w:tbl>
    <w:p/>
    <w:p>
      <w:pPr>
        <w:spacing w:after="120" w:line="264" w:lineRule="auto"/>
      </w:pPr>
      <w:r>
        <w:rPr>
          <w:rFonts w:ascii="Calibri" w:hAnsi="Calibri" w:eastAsia="SimSun"/>
          <w:sz w:val="22"/>
        </w:rPr>
        <w:t>图1复原后信息熵和标准差均有所提升，说明灰度层次和整体对比度增强。平均梯度和拉普拉斯方差大幅提升，说明边缘变化和高频细节明显增强，树林纹理和轮廓比复原前更清晰。</w:t>
      </w:r>
    </w:p>
    <w:p>
      <w:pPr>
        <w:jc w:val="center"/>
      </w:pPr>
      <w:r>
        <w:drawing>
          <wp:inline xmlns:a="http://schemas.openxmlformats.org/drawingml/2006/main" xmlns:pic="http://schemas.openxmlformats.org/drawingml/2006/picture">
            <wp:extent cx="5760720" cy="2497848"/>
            <wp:docPr id="4" name="Picture 4"/>
            <wp:cNvGraphicFramePr>
              <a:graphicFrameLocks noChangeAspect="1"/>
            </wp:cNvGraphicFramePr>
            <a:graphic>
              <a:graphicData uri="http://schemas.openxmlformats.org/drawingml/2006/picture">
                <pic:pic>
                  <pic:nvPicPr>
                    <pic:cNvPr id="0" name="restoration_fig1_comparison.png"/>
                    <pic:cNvPicPr/>
                  </pic:nvPicPr>
                  <pic:blipFill>
                    <a:blip r:embed="rId14"/>
                    <a:stretch>
                      <a:fillRect/>
                    </a:stretch>
                  </pic:blipFill>
                  <pic:spPr>
                    <a:xfrm>
                      <a:off x="0" y="0"/>
                      <a:ext cx="5760720" cy="2497848"/>
                    </a:xfrm>
                    <a:prstGeom prst="rect"/>
                  </pic:spPr>
                </pic:pic>
              </a:graphicData>
            </a:graphic>
          </wp:inline>
        </w:drawing>
      </w:r>
    </w:p>
    <w:p>
      <w:pPr>
        <w:spacing w:before="40" w:after="160"/>
        <w:jc w:val="center"/>
      </w:pPr>
      <w:r>
        <w:rPr>
          <w:rFonts w:ascii="Calibri" w:hAnsi="Calibri" w:eastAsia="SimSun"/>
          <w:color w:val="666666"/>
          <w:sz w:val="18"/>
        </w:rPr>
        <w:t>图4 图1模糊树林图像复原结果</w:t>
      </w:r>
    </w:p>
    <w:p>
      <w:pPr>
        <w:pStyle w:val="Heading2"/>
      </w:pPr>
      <w:r>
        <w:t>4.3 图2备选结果</w:t>
      </w:r>
    </w:p>
    <w:tbl>
      <w:tblPr>
        <w:tblW w:type="dxa" w:w="9360"/>
        <w:jc w:val="left"/>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c>
          <w:tcPr>
            <w:tcW w:type="dxa" w:w="1872"/>
            <w:vAlign w:val="center"/>
            <w:shd w:fill="F2F4F7"/>
          </w:tcPr>
          <w:p>
            <w:pPr>
              <w:jc w:val="center"/>
            </w:pPr>
            <w:r/>
            <w:r>
              <w:rPr>
                <w:rFonts w:ascii="Calibri" w:hAnsi="Calibri" w:eastAsia="SimSun"/>
                <w:b/>
                <w:sz w:val="19"/>
              </w:rPr>
              <w:t>阶段</w:t>
            </w:r>
          </w:p>
        </w:tc>
        <w:tc>
          <w:tcPr>
            <w:tcW w:type="dxa" w:w="1872"/>
            <w:vAlign w:val="center"/>
            <w:shd w:fill="F2F4F7"/>
          </w:tcPr>
          <w:p>
            <w:pPr>
              <w:jc w:val="center"/>
            </w:pPr>
            <w:r/>
            <w:r>
              <w:rPr>
                <w:rFonts w:ascii="Calibri" w:hAnsi="Calibri" w:eastAsia="SimSun"/>
                <w:b/>
                <w:sz w:val="19"/>
              </w:rPr>
              <w:t>信息熵</w:t>
            </w:r>
          </w:p>
        </w:tc>
        <w:tc>
          <w:tcPr>
            <w:tcW w:type="dxa" w:w="1872"/>
            <w:vAlign w:val="center"/>
            <w:shd w:fill="F2F4F7"/>
          </w:tcPr>
          <w:p>
            <w:pPr>
              <w:jc w:val="center"/>
            </w:pPr>
            <w:r/>
            <w:r>
              <w:rPr>
                <w:rFonts w:ascii="Calibri" w:hAnsi="Calibri" w:eastAsia="SimSun"/>
                <w:b/>
                <w:sz w:val="19"/>
              </w:rPr>
              <w:t>标准差</w:t>
            </w:r>
          </w:p>
        </w:tc>
        <w:tc>
          <w:tcPr>
            <w:tcW w:type="dxa" w:w="1872"/>
            <w:vAlign w:val="center"/>
            <w:shd w:fill="F2F4F7"/>
          </w:tcPr>
          <w:p>
            <w:pPr>
              <w:jc w:val="center"/>
            </w:pPr>
            <w:r/>
            <w:r>
              <w:rPr>
                <w:rFonts w:ascii="Calibri" w:hAnsi="Calibri" w:eastAsia="SimSun"/>
                <w:b/>
                <w:sz w:val="19"/>
              </w:rPr>
              <w:t>平均梯度</w:t>
            </w:r>
          </w:p>
        </w:tc>
        <w:tc>
          <w:tcPr>
            <w:tcW w:type="dxa" w:w="1872"/>
            <w:vAlign w:val="center"/>
            <w:shd w:fill="F2F4F7"/>
          </w:tcPr>
          <w:p>
            <w:pPr>
              <w:jc w:val="center"/>
            </w:pPr>
            <w:r/>
            <w:r>
              <w:rPr>
                <w:rFonts w:ascii="Calibri" w:hAnsi="Calibri" w:eastAsia="SimSun"/>
                <w:b/>
                <w:sz w:val="19"/>
              </w:rPr>
              <w:t>拉普拉斯方差</w:t>
            </w:r>
          </w:p>
        </w:tc>
      </w:tr>
      <w:tr>
        <w:tc>
          <w:tcPr>
            <w:tcW w:type="dxa" w:w="1872"/>
          </w:tcPr>
          <w:p>
            <w:pPr>
              <w:jc w:val="left"/>
            </w:pPr>
            <w:r/>
            <w:r>
              <w:rPr>
                <w:rFonts w:ascii="Calibri" w:hAnsi="Calibri" w:eastAsia="SimSun"/>
                <w:sz w:val="19"/>
              </w:rPr>
              <w:t>复原前</w:t>
            </w:r>
          </w:p>
        </w:tc>
        <w:tc>
          <w:tcPr>
            <w:tcW w:type="dxa" w:w="1872"/>
          </w:tcPr>
          <w:p>
            <w:pPr>
              <w:jc w:val="center"/>
            </w:pPr>
            <w:r/>
            <w:r>
              <w:rPr>
                <w:rFonts w:ascii="Calibri" w:hAnsi="Calibri" w:eastAsia="SimSun"/>
                <w:sz w:val="19"/>
              </w:rPr>
              <w:t>6.926</w:t>
            </w:r>
          </w:p>
        </w:tc>
        <w:tc>
          <w:tcPr>
            <w:tcW w:type="dxa" w:w="1872"/>
          </w:tcPr>
          <w:p>
            <w:pPr>
              <w:jc w:val="center"/>
            </w:pPr>
            <w:r/>
            <w:r>
              <w:rPr>
                <w:rFonts w:ascii="Calibri" w:hAnsi="Calibri" w:eastAsia="SimSun"/>
                <w:sz w:val="19"/>
              </w:rPr>
              <w:t>0.163</w:t>
            </w:r>
          </w:p>
        </w:tc>
        <w:tc>
          <w:tcPr>
            <w:tcW w:type="dxa" w:w="1872"/>
          </w:tcPr>
          <w:p>
            <w:pPr>
              <w:jc w:val="center"/>
            </w:pPr>
            <w:r/>
            <w:r>
              <w:rPr>
                <w:rFonts w:ascii="Calibri" w:hAnsi="Calibri" w:eastAsia="SimSun"/>
                <w:sz w:val="19"/>
              </w:rPr>
              <w:t>0.01148</w:t>
            </w:r>
          </w:p>
        </w:tc>
        <w:tc>
          <w:tcPr>
            <w:tcW w:type="dxa" w:w="1872"/>
          </w:tcPr>
          <w:p>
            <w:pPr>
              <w:jc w:val="center"/>
            </w:pPr>
            <w:r/>
            <w:r>
              <w:rPr>
                <w:rFonts w:ascii="Calibri" w:hAnsi="Calibri" w:eastAsia="SimSun"/>
                <w:sz w:val="19"/>
              </w:rPr>
              <w:t>0.00100</w:t>
            </w:r>
          </w:p>
        </w:tc>
      </w:tr>
      <w:tr>
        <w:tc>
          <w:tcPr>
            <w:tcW w:type="dxa" w:w="1872"/>
          </w:tcPr>
          <w:p>
            <w:pPr>
              <w:jc w:val="left"/>
            </w:pPr>
            <w:r/>
            <w:r>
              <w:rPr>
                <w:rFonts w:ascii="Calibri" w:hAnsi="Calibri" w:eastAsia="SimSun"/>
                <w:sz w:val="19"/>
              </w:rPr>
              <w:t>复原后</w:t>
            </w:r>
          </w:p>
        </w:tc>
        <w:tc>
          <w:tcPr>
            <w:tcW w:type="dxa" w:w="1872"/>
          </w:tcPr>
          <w:p>
            <w:pPr>
              <w:jc w:val="center"/>
            </w:pPr>
            <w:r/>
            <w:r>
              <w:rPr>
                <w:rFonts w:ascii="Calibri" w:hAnsi="Calibri" w:eastAsia="SimSun"/>
                <w:sz w:val="19"/>
              </w:rPr>
              <w:t>7.525</w:t>
            </w:r>
          </w:p>
        </w:tc>
        <w:tc>
          <w:tcPr>
            <w:tcW w:type="dxa" w:w="1872"/>
          </w:tcPr>
          <w:p>
            <w:pPr>
              <w:jc w:val="center"/>
            </w:pPr>
            <w:r/>
            <w:r>
              <w:rPr>
                <w:rFonts w:ascii="Calibri" w:hAnsi="Calibri" w:eastAsia="SimSun"/>
                <w:sz w:val="19"/>
              </w:rPr>
              <w:t>0.201</w:t>
            </w:r>
          </w:p>
        </w:tc>
        <w:tc>
          <w:tcPr>
            <w:tcW w:type="dxa" w:w="1872"/>
          </w:tcPr>
          <w:p>
            <w:pPr>
              <w:jc w:val="center"/>
            </w:pPr>
            <w:r/>
            <w:r>
              <w:rPr>
                <w:rFonts w:ascii="Calibri" w:hAnsi="Calibri" w:eastAsia="SimSun"/>
                <w:sz w:val="19"/>
              </w:rPr>
              <w:t>0.03442</w:t>
            </w:r>
          </w:p>
        </w:tc>
        <w:tc>
          <w:tcPr>
            <w:tcW w:type="dxa" w:w="1872"/>
          </w:tcPr>
          <w:p>
            <w:pPr>
              <w:jc w:val="center"/>
            </w:pPr>
            <w:r/>
            <w:r>
              <w:rPr>
                <w:rFonts w:ascii="Calibri" w:hAnsi="Calibri" w:eastAsia="SimSun"/>
                <w:sz w:val="19"/>
              </w:rPr>
              <w:t>0.01115</w:t>
            </w:r>
          </w:p>
        </w:tc>
      </w:tr>
    </w:tbl>
    <w:p/>
    <w:p>
      <w:pPr>
        <w:spacing w:after="120" w:line="264" w:lineRule="auto"/>
      </w:pPr>
      <w:r>
        <w:rPr>
          <w:rFonts w:ascii="Calibri" w:hAnsi="Calibri" w:eastAsia="SimSun"/>
          <w:sz w:val="22"/>
        </w:rPr>
        <w:t>若学号尾数为奇数，可选择图2低照度瀑布图像。脚本对图2使用 Retinex 光照校正、gamma 变换和高提升锐化。从无参考指标看，处理后亮度层次、对比度和细节清晰度均有提升。</w:t>
      </w:r>
    </w:p>
    <w:p>
      <w:pPr>
        <w:jc w:val="center"/>
      </w:pPr>
      <w:r>
        <w:drawing>
          <wp:inline xmlns:a="http://schemas.openxmlformats.org/drawingml/2006/main" xmlns:pic="http://schemas.openxmlformats.org/drawingml/2006/picture">
            <wp:extent cx="5760720" cy="2497848"/>
            <wp:docPr id="5" name="Picture 5"/>
            <wp:cNvGraphicFramePr>
              <a:graphicFrameLocks noChangeAspect="1"/>
            </wp:cNvGraphicFramePr>
            <a:graphic>
              <a:graphicData uri="http://schemas.openxmlformats.org/drawingml/2006/picture">
                <pic:pic>
                  <pic:nvPicPr>
                    <pic:cNvPr id="0" name="restoration_fig2_comparison.png"/>
                    <pic:cNvPicPr/>
                  </pic:nvPicPr>
                  <pic:blipFill>
                    <a:blip r:embed="rId15"/>
                    <a:stretch>
                      <a:fillRect/>
                    </a:stretch>
                  </pic:blipFill>
                  <pic:spPr>
                    <a:xfrm>
                      <a:off x="0" y="0"/>
                      <a:ext cx="5760720" cy="2497848"/>
                    </a:xfrm>
                    <a:prstGeom prst="rect"/>
                  </pic:spPr>
                </pic:pic>
              </a:graphicData>
            </a:graphic>
          </wp:inline>
        </w:drawing>
      </w:r>
    </w:p>
    <w:p>
      <w:pPr>
        <w:spacing w:before="40" w:after="160"/>
        <w:jc w:val="center"/>
      </w:pPr>
      <w:r>
        <w:rPr>
          <w:rFonts w:ascii="Calibri" w:hAnsi="Calibri" w:eastAsia="SimSun"/>
          <w:color w:val="666666"/>
          <w:sz w:val="18"/>
        </w:rPr>
        <w:t>图5 图2低照度瀑布图像备选复原结果</w:t>
      </w:r>
    </w:p>
    <w:p>
      <w:pPr>
        <w:pStyle w:val="Heading1"/>
      </w:pPr>
      <w:r>
        <w:t>5. 关键 MATLAB 实现</w:t>
      </w:r>
    </w:p>
    <w:p>
      <w:pPr>
        <w:spacing w:after="120" w:line="264" w:lineRule="auto"/>
      </w:pPr>
      <w:r>
        <w:rPr>
          <w:rFonts w:ascii="Calibri" w:hAnsi="Calibri" w:eastAsia="SimSun"/>
          <w:sz w:val="22"/>
        </w:rPr>
        <w:t>完整程序见 01-topics/image-enhancement-restoration-course-design/matlab/run_course_design3.m。核心流程如下。</w:t>
      </w:r>
    </w:p>
    <w:p>
      <w:pPr>
        <w:spacing w:after="0"/>
      </w:pPr>
      <w:r>
        <w:rPr>
          <w:rFonts w:ascii="Courier New" w:hAnsi="Courier New" w:eastAsia="SimSun"/>
          <w:sz w:val="19"/>
        </w:rPr>
        <w:t>[freqFiltered, notchFilter] = gaussian_notch_reject(noisy, notchOffsets, notchRadius);</w:t>
      </w:r>
    </w:p>
    <w:p>
      <w:pPr>
        <w:spacing w:after="0"/>
      </w:pPr>
      <w:r>
        <w:rPr>
          <w:rFonts w:ascii="Courier New" w:hAnsi="Courier New" w:eastAsia="SimSun"/>
          <w:sz w:val="19"/>
        </w:rPr>
        <w:t>medianFiltered = median_filter2(freqFiltered, 5);</w:t>
      </w:r>
    </w:p>
    <w:p>
      <w:pPr>
        <w:spacing w:after="0"/>
      </w:pPr>
      <w:r>
        <w:rPr>
          <w:rFonts w:ascii="Courier New" w:hAnsi="Courier New" w:eastAsia="SimSun"/>
          <w:sz w:val="19"/>
        </w:rPr>
        <w:t>meanFiltered = mean_filter2(medianFiltered, 3);</w:t>
      </w:r>
    </w:p>
    <w:p>
      <w:pPr>
        <w:spacing w:after="0"/>
      </w:pPr>
      <w:r>
        <w:rPr>
          <w:rFonts w:ascii="Courier New" w:hAnsi="Courier New" w:eastAsia="SimSun"/>
          <w:sz w:val="19"/>
        </w:rPr>
        <w:t>sharpened = high_boost(meanFiltered, 0.15);</w:t>
      </w:r>
    </w:p>
    <w:p>
      <w:pPr>
        <w:spacing w:after="0"/>
      </w:pPr>
      <w:r>
        <w:rPr>
          <w:rFonts w:ascii="Courier New" w:hAnsi="Courier New" w:eastAsia="SimSun"/>
          <w:sz w:val="19"/>
        </w:rPr>
        <w:t>enhanced = percentile_stretch(sharpened, 0.5, 99.5);</w:t>
      </w:r>
    </w:p>
    <w:p>
      <w:pPr>
        <w:spacing w:after="0"/>
      </w:pPr>
      <w:r>
        <w:rPr>
          <w:rFonts w:ascii="Courier New" w:hAnsi="Courier New" w:eastAsia="SimSun"/>
          <w:sz w:val="19"/>
        </w:rPr>
      </w:r>
    </w:p>
    <w:p>
      <w:pPr>
        <w:spacing w:after="0"/>
      </w:pPr>
      <w:r>
        <w:rPr>
          <w:rFonts w:ascii="Courier New" w:hAnsi="Courier New" w:eastAsia="SimSun"/>
          <w:sz w:val="19"/>
        </w:rPr>
        <w:t>psf = gaussian_kernel2(13, 1.35);</w:t>
      </w:r>
    </w:p>
    <w:p>
      <w:pPr>
        <w:spacing w:after="0"/>
      </w:pPr>
      <w:r>
        <w:rPr>
          <w:rFonts w:ascii="Courier New" w:hAnsi="Courier New" w:eastAsia="SimSun"/>
          <w:sz w:val="19"/>
        </w:rPr>
        <w:t>deconvY = wiener_deconvolution(y, psf, 0.004);</w:t>
      </w:r>
    </w:p>
    <w:p>
      <w:pPr>
        <w:spacing w:after="0"/>
      </w:pPr>
      <w:r>
        <w:rPr>
          <w:rFonts w:ascii="Courier New" w:hAnsi="Courier New" w:eastAsia="SimSun"/>
          <w:sz w:val="19"/>
        </w:rPr>
        <w:t>detail = deconvY - gaussian_blur2(deconvY, 1.0);</w:t>
      </w:r>
    </w:p>
    <w:p>
      <w:pPr>
        <w:spacing w:after="0"/>
      </w:pPr>
      <w:r>
        <w:rPr>
          <w:rFonts w:ascii="Courier New" w:hAnsi="Courier New" w:eastAsia="SimSun"/>
          <w:sz w:val="19"/>
        </w:rPr>
        <w:t>restoredY = clamp01(deconvY + 0.28 * detail);</w:t>
      </w:r>
    </w:p>
    <w:p>
      <w:pPr>
        <w:spacing w:after="0"/>
      </w:pPr>
      <w:r>
        <w:rPr>
          <w:rFonts w:ascii="Courier New" w:hAnsi="Courier New" w:eastAsia="SimSun"/>
          <w:sz w:val="19"/>
        </w:rPr>
        <w:t>restoredY = percentile_stretch(restoredY, 1.0, 99.0);</w:t>
      </w:r>
    </w:p>
    <w:p/>
    <w:p>
      <w:pPr>
        <w:pStyle w:val="Heading1"/>
      </w:pPr>
      <w:r>
        <w:t>6. 结论</w:t>
      </w:r>
    </w:p>
    <w:p>
      <w:pPr>
        <w:spacing w:after="120" w:line="264" w:lineRule="auto"/>
      </w:pPr>
      <w:r>
        <w:rPr>
          <w:rFonts w:ascii="Calibri" w:hAnsi="Calibri" w:eastAsia="SimSun"/>
          <w:sz w:val="22"/>
        </w:rPr>
        <w:t>本文完成了混合噪声图像增强和未知降质图像复原两个任务。增强任务中，频域高斯陷波能够有效抑制周期条纹，空间域中值滤波和均值滤波进一步降低随机噪声，高提升锐化和灰度拉伸改善了细节与对比度。从 MSE、SNR、PSNR 和 SSIM 指标看，处理结果明显优于退化图像。</w:t>
      </w:r>
    </w:p>
    <w:p>
      <w:pPr>
        <w:spacing w:after="120" w:line="264" w:lineRule="auto"/>
      </w:pPr>
      <w:r>
        <w:rPr>
          <w:rFonts w:ascii="Calibri" w:hAnsi="Calibri" w:eastAsia="SimSun"/>
          <w:sz w:val="22"/>
        </w:rPr>
        <w:t>复原任务中，本文针对图1模糊树林图像建立近似高斯模糊模型，并使用维纳滤波进行复原。由于没有清晰参考图，本文采用信息熵、标准差、平均梯度和拉普拉斯方差作为无参考评价指标。实验结果表明，复原后图像细节和边缘清晰度均得到改善。</w:t>
      </w:r>
    </w:p>
    <w:p>
      <w:pPr>
        <w:spacing w:after="120" w:line="264" w:lineRule="auto"/>
      </w:pPr>
      <w:r>
        <w:rPr>
          <w:rFonts w:ascii="Calibri" w:hAnsi="Calibri" w:eastAsia="SimSun"/>
          <w:sz w:val="22"/>
        </w:rPr>
        <w:t>本实验仍存在一定限制：增强任务中的陷波中心依赖当前图像频谱分析，复原任务中的退化函数为近似模型。后续可进一步研究自适应频谱峰检测、盲去卷积和更稳定的无参考图像质量评价方法。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SimSun"/>
        <w:color w:val="666666"/>
        <w:sz w:val="18"/>
      </w:rPr>
      <w:t xml:space="preserve">第 </w:t>
    </w:r>
    <w:r>
      <w:rPr>
        <w:rFonts w:ascii="Calibri" w:hAnsi="Calibri" w:eastAsia="SimSun"/>
        <w:color w:val="666666"/>
        <w:sz w:val="18"/>
      </w:rPr>
      <w:fldChar w:fldCharType="begin"/>
      <w:instrText xml:space="preserve">PAGE</w:instrText>
      <w:fldChar w:fldCharType="end"/>
    </w:r>
    <w:r>
      <w:rPr>
        <w:rFonts w:ascii="Calibri" w:hAnsi="Calibri" w:eastAsia="SimSun"/>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D9E2F3"/>
      </w:pBdr>
    </w:pPr>
    <w:r>
      <w:rPr>
        <w:rFonts w:ascii="Calibri" w:hAnsi="Calibri" w:eastAsia="SimSun"/>
        <w:color w:val="666666"/>
        <w:sz w:val="18"/>
      </w:rPr>
      <w:t>图像增强与复原算法综合应用课程设计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Sim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Sim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