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sz w:val="16"/>
        </w:rPr>
      </w:r>
    </w:p>
    <w:p>
      <w:pPr>
        <w:spacing w:line="240" w:lineRule="auto"/>
      </w:pPr>
      <w:r>
        <w:rPr>
          <w:sz w:val="16"/>
        </w:rPr>
      </w:r>
    </w:p>
    <w:p>
      <w:pPr>
        <w:spacing w:line="240" w:lineRule="auto"/>
      </w:pPr>
      <w:r>
        <w:rPr>
          <w:sz w:val="16"/>
        </w:rPr>
      </w:r>
    </w:p>
    <w:p>
      <w:pPr>
        <w:spacing w:line="240" w:lineRule="auto"/>
      </w:pPr>
      <w:r>
        <w:rPr>
          <w:sz w:val="16"/>
        </w:rPr>
      </w:r>
    </w:p>
    <w:p>
      <w:pPr>
        <w:spacing w:line="240" w:lineRule="auto"/>
      </w:pPr>
      <w:r>
        <w:rPr>
          <w:sz w:val="16"/>
        </w:rPr>
      </w:r>
    </w:p>
    <w:p>
      <w:pPr>
        <w:spacing w:line="240" w:lineRule="auto"/>
      </w:pPr>
      <w:r>
        <w:rPr>
          <w:sz w:val="16"/>
        </w:rPr>
      </w:r>
    </w:p>
    <w:p>
      <w:pPr>
        <w:jc w:val="center"/>
        <w:spacing w:line="300" w:lineRule="auto" w:before="480" w:after="360"/>
      </w:pPr>
      <w:r>
        <w:rPr>
          <w:rFonts w:ascii="黑体" w:hAnsi="黑体" w:eastAsia="黑体"/>
          <w:b/>
          <w:sz w:val="52"/>
        </w:rPr>
        <w:t>智学派（LearnGen）</w:t>
      </w:r>
    </w:p>
    <w:p>
      <w:pPr>
        <w:jc w:val="center"/>
        <w:spacing w:line="300" w:lineRule="auto"/>
      </w:pPr>
      <w:r>
        <w:rPr>
          <w:rFonts w:ascii="楷体" w:hAnsi="楷体" w:eastAsia="楷体"/>
          <w:color w:val="595959"/>
          <w:sz w:val="32"/>
        </w:rPr>
        <w:t>AI 驱动的个性化学习辅助平台</w:t>
      </w:r>
    </w:p>
    <w:p>
      <w:pPr>
        <w:spacing w:line="240" w:lineRule="auto"/>
      </w:pPr>
      <w:r>
        <w:rPr>
          <w:sz w:val="16"/>
        </w:rPr>
      </w:r>
    </w:p>
    <w:p>
      <w:pPr>
        <w:spacing w:line="240" w:lineRule="auto"/>
      </w:pPr>
      <w:r>
        <w:rPr>
          <w:sz w:val="16"/>
        </w:rPr>
      </w:r>
    </w:p>
    <w:p>
      <w:pPr>
        <w:jc w:val="center"/>
        <w:spacing w:line="300" w:lineRule="auto" w:before="480" w:after="360"/>
      </w:pPr>
      <w:r>
        <w:rPr>
          <w:rFonts w:ascii="黑体" w:hAnsi="黑体" w:eastAsia="黑体"/>
          <w:b/>
          <w:sz w:val="56"/>
        </w:rPr>
        <w:t>商 业 计 划 书</w:t>
      </w:r>
    </w:p>
    <w:p>
      <w:pPr>
        <w:spacing w:line="240" w:lineRule="auto"/>
      </w:pPr>
      <w:r>
        <w:rPr>
          <w:sz w:val="16"/>
        </w:rPr>
      </w:r>
    </w:p>
    <w:p>
      <w:pPr>
        <w:spacing w:line="240" w:lineRule="auto"/>
      </w:pPr>
      <w:r>
        <w:rPr>
          <w:sz w:val="16"/>
        </w:rPr>
      </w:r>
    </w:p>
    <w:p>
      <w:pPr>
        <w:spacing w:line="240" w:lineRule="auto"/>
      </w:pPr>
      <w:r>
        <w:rPr>
          <w:sz w:val="16"/>
        </w:rPr>
      </w:r>
    </w:p>
    <w:p>
      <w:pPr>
        <w:spacing w:line="240" w:lineRule="auto"/>
      </w:pPr>
      <w:r>
        <w:rPr>
          <w:sz w:val="16"/>
        </w:rPr>
      </w:r>
    </w:p>
    <w:p>
      <w:pPr>
        <w:jc w:val="center"/>
        <w:spacing w:line="360" w:lineRule="auto"/>
      </w:pPr>
      <w:r>
        <w:rPr>
          <w:rFonts w:ascii="宋体" w:hAnsi="宋体" w:eastAsia="宋体"/>
          <w:sz w:val="28"/>
        </w:rPr>
        <w:t>编制时间：2026 年 6 月</w:t>
      </w:r>
    </w:p>
    <w:p>
      <w:pPr>
        <w:jc w:val="center"/>
        <w:spacing w:line="360" w:lineRule="auto"/>
      </w:pPr>
      <w:r>
        <w:rPr>
          <w:rFonts w:ascii="宋体" w:hAnsi="宋体" w:eastAsia="宋体"/>
          <w:sz w:val="28"/>
        </w:rPr>
        <w:t>联 系 人：___________</w:t>
      </w:r>
    </w:p>
    <w:p>
      <w:pPr>
        <w:jc w:val="center"/>
        <w:spacing w:line="360" w:lineRule="auto"/>
      </w:pPr>
      <w:r>
        <w:rPr>
          <w:rFonts w:ascii="宋体" w:hAnsi="宋体" w:eastAsia="宋体"/>
          <w:sz w:val="28"/>
        </w:rPr>
        <w:t>电　　话：___________</w:t>
      </w:r>
    </w:p>
    <w:p>
      <w:pPr>
        <w:jc w:val="center"/>
        <w:spacing w:line="360" w:lineRule="auto"/>
      </w:pPr>
      <w:r>
        <w:rPr>
          <w:rFonts w:ascii="宋体" w:hAnsi="宋体" w:eastAsia="宋体"/>
          <w:sz w:val="28"/>
        </w:rPr>
        <w:t>电子邮箱：___________</w:t>
      </w:r>
    </w:p>
    <w:p>
      <w:r>
        <w:br w:type="page"/>
      </w:r>
    </w:p>
    <w:p>
      <w:pPr>
        <w:jc w:val="left"/>
        <w:spacing w:line="300" w:lineRule="auto" w:before="360" w:after="200"/>
      </w:pPr>
      <w:r>
        <w:rPr>
          <w:rFonts w:ascii="黑体" w:hAnsi="黑体" w:eastAsia="黑体"/>
          <w:b/>
          <w:sz w:val="32"/>
        </w:rPr>
        <w:t>保密须知</w:t>
      </w:r>
    </w:p>
    <w:p>
      <w:pPr>
        <w:spacing w:line="300" w:lineRule="auto"/>
        <w:ind w:firstLine="480" w:firstLineChars="200"/>
      </w:pPr>
      <w:r>
        <w:rPr>
          <w:rFonts w:ascii="宋体" w:hAnsi="宋体" w:eastAsia="宋体"/>
          <w:sz w:val="24"/>
        </w:rPr>
        <w:t>本商业计划书属于商业机密，所有权属于智学派项目团队。所涉及的内容和资料仅限于已签署投资意向的投资者使用。收到本计划书后，收件人应即刻确认，并遵守以下规定：</w:t>
      </w:r>
    </w:p>
    <w:p>
      <w:pPr>
        <w:spacing w:line="300" w:lineRule="auto"/>
        <w:ind w:firstLine="480" w:firstLineChars="200"/>
      </w:pPr>
      <w:r>
        <w:rPr>
          <w:rFonts w:ascii="宋体" w:hAnsi="宋体" w:eastAsia="宋体"/>
          <w:sz w:val="24"/>
        </w:rPr>
        <w:t>（1）若收件人不希望参与本计划书所述项目，请按上述地址尽快将本计划书完整退回；</w:t>
      </w:r>
    </w:p>
    <w:p>
      <w:pPr>
        <w:spacing w:line="300" w:lineRule="auto"/>
        <w:ind w:firstLine="480" w:firstLineChars="200"/>
      </w:pPr>
      <w:r>
        <w:rPr>
          <w:rFonts w:ascii="宋体" w:hAnsi="宋体" w:eastAsia="宋体"/>
          <w:sz w:val="24"/>
        </w:rPr>
        <w:t>（2）在没有取得智学派项目团队书面同意前，收件人不得将本计划书全部或部分地予以复制、传递给他人、影印、泄露或散布给他人；</w:t>
      </w:r>
    </w:p>
    <w:p>
      <w:pPr>
        <w:spacing w:line="300" w:lineRule="auto"/>
        <w:ind w:firstLine="480" w:firstLineChars="200"/>
      </w:pPr>
      <w:r>
        <w:rPr>
          <w:rFonts w:ascii="宋体" w:hAnsi="宋体" w:eastAsia="宋体"/>
          <w:sz w:val="24"/>
        </w:rPr>
        <w:t>（3）应以对待贵公司机密资料一样的态度对待本计划书所提供的所有商业秘密资料。</w:t>
      </w:r>
    </w:p>
    <w:p>
      <w:pPr>
        <w:spacing w:line="300" w:lineRule="auto"/>
        <w:ind w:firstLine="480" w:firstLineChars="200"/>
      </w:pPr>
      <w:r>
        <w:rPr>
          <w:rFonts w:ascii="宋体" w:hAnsi="宋体" w:eastAsia="宋体"/>
          <w:sz w:val="24"/>
        </w:rPr>
        <w:t>本商业计划书不可用作销售报价使用，也不可用作购买时的报价使用。</w:t>
      </w:r>
    </w:p>
    <w:p>
      <w:pPr>
        <w:spacing w:line="240" w:lineRule="auto"/>
      </w:pPr>
      <w:r>
        <w:rPr>
          <w:sz w:val="16"/>
        </w:rPr>
      </w:r>
    </w:p>
    <w:p>
      <w:pPr>
        <w:spacing w:line="300" w:lineRule="auto"/>
      </w:pPr>
      <w:r>
        <w:rPr>
          <w:rFonts w:ascii="宋体" w:hAnsi="宋体" w:eastAsia="宋体"/>
          <w:sz w:val="24"/>
        </w:rPr>
        <w:t>商业计划书编号：2026-001</w:t>
      </w:r>
    </w:p>
    <w:p>
      <w:pPr>
        <w:spacing w:line="300" w:lineRule="auto"/>
      </w:pPr>
      <w:r>
        <w:rPr>
          <w:rFonts w:ascii="宋体" w:hAnsi="宋体" w:eastAsia="宋体"/>
          <w:sz w:val="24"/>
        </w:rPr>
        <w:t>签　　字：___________</w:t>
      </w:r>
    </w:p>
    <w:p>
      <w:pPr>
        <w:spacing w:line="300" w:lineRule="auto"/>
      </w:pPr>
      <w:r>
        <w:rPr>
          <w:rFonts w:ascii="宋体" w:hAnsi="宋体" w:eastAsia="宋体"/>
          <w:sz w:val="24"/>
        </w:rPr>
        <w:t>公　　司：___________</w:t>
      </w:r>
    </w:p>
    <w:p>
      <w:r>
        <w:br w:type="page"/>
      </w:r>
    </w:p>
    <w:p>
      <w:pPr>
        <w:jc w:val="left"/>
        <w:spacing w:line="300" w:lineRule="auto" w:before="360" w:after="200"/>
      </w:pPr>
      <w:r>
        <w:rPr>
          <w:rFonts w:ascii="黑体" w:hAnsi="黑体" w:eastAsia="黑体"/>
          <w:b/>
          <w:sz w:val="32"/>
        </w:rPr>
        <w:t>目　录</w:t>
      </w:r>
    </w:p>
    <w:p>
      <w:pPr>
        <w:spacing w:line="240" w:lineRule="auto"/>
      </w:pPr>
      <w:r>
        <w:rPr>
          <w:sz w:val="16"/>
        </w:rPr>
      </w:r>
    </w:p>
    <w:p>
      <w:pPr>
        <w:spacing w:line="360" w:lineRule="auto"/>
      </w:pPr>
      <w:r>
        <w:rPr>
          <w:rFonts w:ascii="宋体" w:hAnsi="宋体" w:eastAsia="宋体"/>
          <w:b/>
          <w:sz w:val="24"/>
        </w:rPr>
        <w:t>第一章　摘　要</w:t>
      </w:r>
    </w:p>
    <w:p>
      <w:pPr>
        <w:spacing w:line="360" w:lineRule="auto"/>
      </w:pPr>
      <w:r>
        <w:rPr>
          <w:rFonts w:ascii="宋体" w:hAnsi="宋体" w:eastAsia="宋体"/>
          <w:b/>
          <w:sz w:val="24"/>
        </w:rPr>
        <w:t>第二章　公司概述</w:t>
      </w:r>
    </w:p>
    <w:p>
      <w:pPr>
        <w:spacing w:line="360" w:lineRule="auto"/>
      </w:pPr>
      <w:r>
        <w:rPr>
          <w:rFonts w:ascii="宋体" w:hAnsi="宋体" w:eastAsia="宋体"/>
          <w:sz w:val="22"/>
        </w:rPr>
        <w:t xml:space="preserve">　　一、宗旨与使命</w:t>
      </w:r>
    </w:p>
    <w:p>
      <w:pPr>
        <w:spacing w:line="360" w:lineRule="auto"/>
      </w:pPr>
      <w:r>
        <w:rPr>
          <w:rFonts w:ascii="宋体" w:hAnsi="宋体" w:eastAsia="宋体"/>
          <w:sz w:val="22"/>
        </w:rPr>
        <w:t xml:space="preserve">　　二、公司简介</w:t>
      </w:r>
    </w:p>
    <w:p>
      <w:pPr>
        <w:spacing w:line="360" w:lineRule="auto"/>
      </w:pPr>
      <w:r>
        <w:rPr>
          <w:rFonts w:ascii="宋体" w:hAnsi="宋体" w:eastAsia="宋体"/>
          <w:sz w:val="22"/>
        </w:rPr>
        <w:t xml:space="preserve">　　三、公司战略</w:t>
      </w:r>
    </w:p>
    <w:p>
      <w:pPr>
        <w:spacing w:line="360" w:lineRule="auto"/>
      </w:pPr>
      <w:r>
        <w:rPr>
          <w:rFonts w:ascii="宋体" w:hAnsi="宋体" w:eastAsia="宋体"/>
          <w:sz w:val="22"/>
        </w:rPr>
        <w:t xml:space="preserve">　　四、核心技术</w:t>
      </w:r>
    </w:p>
    <w:p>
      <w:pPr>
        <w:spacing w:line="360" w:lineRule="auto"/>
      </w:pPr>
      <w:r>
        <w:rPr>
          <w:rFonts w:ascii="宋体" w:hAnsi="宋体" w:eastAsia="宋体"/>
          <w:sz w:val="22"/>
        </w:rPr>
        <w:t xml:space="preserve">　　五、价值主张</w:t>
      </w:r>
    </w:p>
    <w:p>
      <w:pPr>
        <w:spacing w:line="360" w:lineRule="auto"/>
      </w:pPr>
      <w:r>
        <w:rPr>
          <w:rFonts w:ascii="宋体" w:hAnsi="宋体" w:eastAsia="宋体"/>
          <w:sz w:val="22"/>
        </w:rPr>
        <w:t xml:space="preserve">　　六、公司管理</w:t>
      </w:r>
    </w:p>
    <w:p>
      <w:pPr>
        <w:spacing w:line="360" w:lineRule="auto"/>
      </w:pPr>
      <w:r>
        <w:rPr>
          <w:rFonts w:ascii="宋体" w:hAnsi="宋体" w:eastAsia="宋体"/>
          <w:sz w:val="22"/>
        </w:rPr>
        <w:t xml:space="preserve">　　七、组织与协作关系</w:t>
      </w:r>
    </w:p>
    <w:p>
      <w:pPr>
        <w:spacing w:line="360" w:lineRule="auto"/>
      </w:pPr>
      <w:r>
        <w:rPr>
          <w:rFonts w:ascii="宋体" w:hAnsi="宋体" w:eastAsia="宋体"/>
          <w:sz w:val="22"/>
        </w:rPr>
        <w:t xml:space="preserve">　　八、知识产权策略</w:t>
      </w:r>
    </w:p>
    <w:p>
      <w:pPr>
        <w:spacing w:line="360" w:lineRule="auto"/>
      </w:pPr>
      <w:r>
        <w:rPr>
          <w:rFonts w:ascii="宋体" w:hAnsi="宋体" w:eastAsia="宋体"/>
          <w:sz w:val="22"/>
        </w:rPr>
        <w:t xml:space="preserve">　　九、场地与设施</w:t>
      </w:r>
    </w:p>
    <w:p>
      <w:pPr>
        <w:spacing w:line="360" w:lineRule="auto"/>
      </w:pPr>
      <w:r>
        <w:rPr>
          <w:rFonts w:ascii="宋体" w:hAnsi="宋体" w:eastAsia="宋体"/>
          <w:sz w:val="22"/>
        </w:rPr>
        <w:t xml:space="preserve">　　十、风险分析</w:t>
      </w:r>
    </w:p>
    <w:p>
      <w:pPr>
        <w:spacing w:line="360" w:lineRule="auto"/>
      </w:pPr>
      <w:r>
        <w:rPr>
          <w:rFonts w:ascii="宋体" w:hAnsi="宋体" w:eastAsia="宋体"/>
          <w:b/>
          <w:sz w:val="24"/>
        </w:rPr>
        <w:t>第三章　市场分析</w:t>
      </w:r>
    </w:p>
    <w:p>
      <w:pPr>
        <w:spacing w:line="360" w:lineRule="auto"/>
      </w:pPr>
      <w:r>
        <w:rPr>
          <w:rFonts w:ascii="宋体" w:hAnsi="宋体" w:eastAsia="宋体"/>
          <w:sz w:val="22"/>
        </w:rPr>
        <w:t xml:space="preserve">　　一、市场介绍</w:t>
      </w:r>
    </w:p>
    <w:p>
      <w:pPr>
        <w:spacing w:line="360" w:lineRule="auto"/>
      </w:pPr>
      <w:r>
        <w:rPr>
          <w:rFonts w:ascii="宋体" w:hAnsi="宋体" w:eastAsia="宋体"/>
          <w:sz w:val="22"/>
        </w:rPr>
        <w:t xml:space="preserve">　　二、目标市场</w:t>
      </w:r>
    </w:p>
    <w:p>
      <w:pPr>
        <w:spacing w:line="360" w:lineRule="auto"/>
      </w:pPr>
      <w:r>
        <w:rPr>
          <w:rFonts w:ascii="宋体" w:hAnsi="宋体" w:eastAsia="宋体"/>
          <w:sz w:val="22"/>
        </w:rPr>
        <w:t xml:space="preserve">　　三、顾客购买准则</w:t>
      </w:r>
    </w:p>
    <w:p>
      <w:pPr>
        <w:spacing w:line="360" w:lineRule="auto"/>
      </w:pPr>
      <w:r>
        <w:rPr>
          <w:rFonts w:ascii="宋体" w:hAnsi="宋体" w:eastAsia="宋体"/>
          <w:sz w:val="22"/>
        </w:rPr>
        <w:t xml:space="preserve">　　四、销售策略</w:t>
      </w:r>
    </w:p>
    <w:p>
      <w:pPr>
        <w:spacing w:line="360" w:lineRule="auto"/>
      </w:pPr>
      <w:r>
        <w:rPr>
          <w:rFonts w:ascii="宋体" w:hAnsi="宋体" w:eastAsia="宋体"/>
          <w:sz w:val="22"/>
        </w:rPr>
        <w:t xml:space="preserve">　　五、市场渗透与增长</w:t>
      </w:r>
    </w:p>
    <w:p>
      <w:pPr>
        <w:spacing w:line="360" w:lineRule="auto"/>
      </w:pPr>
      <w:r>
        <w:rPr>
          <w:rFonts w:ascii="宋体" w:hAnsi="宋体" w:eastAsia="宋体"/>
          <w:b/>
          <w:sz w:val="24"/>
        </w:rPr>
        <w:t>第四章　竞争分析</w:t>
      </w:r>
    </w:p>
    <w:p>
      <w:pPr>
        <w:spacing w:line="360" w:lineRule="auto"/>
      </w:pPr>
      <w:r>
        <w:rPr>
          <w:rFonts w:ascii="宋体" w:hAnsi="宋体" w:eastAsia="宋体"/>
          <w:b/>
          <w:sz w:val="24"/>
        </w:rPr>
        <w:t>第五章　产品与服务</w:t>
      </w:r>
    </w:p>
    <w:p>
      <w:pPr>
        <w:spacing w:line="360" w:lineRule="auto"/>
      </w:pPr>
      <w:r>
        <w:rPr>
          <w:rFonts w:ascii="宋体" w:hAnsi="宋体" w:eastAsia="宋体"/>
          <w:sz w:val="22"/>
        </w:rPr>
        <w:t xml:space="preserve">　　一、核心产品模块</w:t>
      </w:r>
    </w:p>
    <w:p>
      <w:pPr>
        <w:spacing w:line="360" w:lineRule="auto"/>
      </w:pPr>
      <w:r>
        <w:rPr>
          <w:rFonts w:ascii="宋体" w:hAnsi="宋体" w:eastAsia="宋体"/>
          <w:sz w:val="22"/>
        </w:rPr>
        <w:t xml:space="preserve">　　二、延展产品方向</w:t>
      </w:r>
    </w:p>
    <w:p>
      <w:pPr>
        <w:spacing w:line="360" w:lineRule="auto"/>
      </w:pPr>
      <w:r>
        <w:rPr>
          <w:rFonts w:ascii="宋体" w:hAnsi="宋体" w:eastAsia="宋体"/>
          <w:sz w:val="22"/>
        </w:rPr>
        <w:t xml:space="preserve">　　三、产品路线图</w:t>
      </w:r>
    </w:p>
    <w:p>
      <w:pPr>
        <w:spacing w:line="360" w:lineRule="auto"/>
      </w:pPr>
      <w:r>
        <w:rPr>
          <w:rFonts w:ascii="宋体" w:hAnsi="宋体" w:eastAsia="宋体"/>
          <w:b/>
          <w:sz w:val="24"/>
        </w:rPr>
        <w:t>第六章　营销与销售</w:t>
      </w:r>
    </w:p>
    <w:p>
      <w:pPr>
        <w:spacing w:line="360" w:lineRule="auto"/>
      </w:pPr>
      <w:r>
        <w:rPr>
          <w:rFonts w:ascii="宋体" w:hAnsi="宋体" w:eastAsia="宋体"/>
          <w:sz w:val="22"/>
        </w:rPr>
        <w:t xml:space="preserve">　　一、获客策略</w:t>
      </w:r>
    </w:p>
    <w:p>
      <w:pPr>
        <w:spacing w:line="360" w:lineRule="auto"/>
      </w:pPr>
      <w:r>
        <w:rPr>
          <w:rFonts w:ascii="宋体" w:hAnsi="宋体" w:eastAsia="宋体"/>
          <w:sz w:val="22"/>
        </w:rPr>
        <w:t xml:space="preserve">　　二、用户留存与转化</w:t>
      </w:r>
    </w:p>
    <w:p>
      <w:pPr>
        <w:spacing w:line="360" w:lineRule="auto"/>
      </w:pPr>
      <w:r>
        <w:rPr>
          <w:rFonts w:ascii="宋体" w:hAnsi="宋体" w:eastAsia="宋体"/>
          <w:sz w:val="22"/>
        </w:rPr>
        <w:t xml:space="preserve">　　三、品牌定位</w:t>
      </w:r>
    </w:p>
    <w:p>
      <w:pPr>
        <w:spacing w:line="360" w:lineRule="auto"/>
      </w:pPr>
      <w:r>
        <w:rPr>
          <w:rFonts w:ascii="宋体" w:hAnsi="宋体" w:eastAsia="宋体"/>
          <w:b/>
          <w:sz w:val="24"/>
        </w:rPr>
        <w:t>第七章　财务计划</w:t>
      </w:r>
    </w:p>
    <w:p>
      <w:pPr>
        <w:spacing w:line="360" w:lineRule="auto"/>
      </w:pPr>
      <w:r>
        <w:rPr>
          <w:rFonts w:ascii="宋体" w:hAnsi="宋体" w:eastAsia="宋体"/>
          <w:sz w:val="22"/>
        </w:rPr>
        <w:t xml:space="preserve">　　一、初期融资需求</w:t>
      </w:r>
    </w:p>
    <w:p>
      <w:pPr>
        <w:spacing w:line="360" w:lineRule="auto"/>
      </w:pPr>
      <w:r>
        <w:rPr>
          <w:rFonts w:ascii="宋体" w:hAnsi="宋体" w:eastAsia="宋体"/>
          <w:sz w:val="22"/>
        </w:rPr>
        <w:t xml:space="preserve">　　二、收入预测</w:t>
      </w:r>
    </w:p>
    <w:p>
      <w:pPr>
        <w:spacing w:line="360" w:lineRule="auto"/>
      </w:pPr>
      <w:r>
        <w:rPr>
          <w:rFonts w:ascii="宋体" w:hAnsi="宋体" w:eastAsia="宋体"/>
          <w:sz w:val="22"/>
        </w:rPr>
        <w:t xml:space="preserve">　　三、成本与利润预测</w:t>
      </w:r>
    </w:p>
    <w:p>
      <w:pPr>
        <w:spacing w:line="360" w:lineRule="auto"/>
      </w:pPr>
      <w:r>
        <w:rPr>
          <w:rFonts w:ascii="宋体" w:hAnsi="宋体" w:eastAsia="宋体"/>
          <w:sz w:val="22"/>
        </w:rPr>
        <w:t xml:space="preserve">　　四、关键财务假设</w:t>
      </w:r>
    </w:p>
    <w:p>
      <w:pPr>
        <w:spacing w:line="360" w:lineRule="auto"/>
      </w:pPr>
      <w:r>
        <w:rPr>
          <w:rFonts w:ascii="宋体" w:hAnsi="宋体" w:eastAsia="宋体"/>
          <w:sz w:val="22"/>
        </w:rPr>
        <w:t xml:space="preserve">　　五、退出机制</w:t>
      </w:r>
    </w:p>
    <w:p>
      <w:pPr>
        <w:spacing w:line="360" w:lineRule="auto"/>
      </w:pPr>
      <w:r>
        <w:rPr>
          <w:rFonts w:ascii="宋体" w:hAnsi="宋体" w:eastAsia="宋体"/>
          <w:b/>
          <w:sz w:val="24"/>
        </w:rPr>
        <w:t>第八章　附　录</w:t>
      </w:r>
    </w:p>
    <w:p>
      <w:r>
        <w:br w:type="page"/>
      </w:r>
    </w:p>
    <w:p>
      <w:pPr>
        <w:jc w:val="left"/>
        <w:spacing w:line="300" w:lineRule="auto" w:before="360" w:after="200"/>
      </w:pPr>
      <w:r>
        <w:rPr>
          <w:rFonts w:ascii="黑体" w:hAnsi="黑体" w:eastAsia="黑体"/>
          <w:b/>
          <w:sz w:val="32"/>
        </w:rPr>
        <w:t>第一章　摘　要</w:t>
      </w:r>
    </w:p>
    <w:p>
      <w:pPr>
        <w:spacing w:line="240" w:lineRule="auto"/>
      </w:pPr>
      <w:r>
        <w:rPr>
          <w:sz w:val="16"/>
        </w:rPr>
      </w:r>
    </w:p>
    <w:p>
      <w:pPr>
        <w:spacing w:line="300" w:lineRule="auto"/>
        <w:ind w:firstLine="480" w:firstLineChars="200"/>
      </w:pPr>
      <w:r>
        <w:rPr>
          <w:rFonts w:ascii="宋体" w:hAnsi="宋体" w:eastAsia="宋体"/>
          <w:sz w:val="24"/>
        </w:rPr>
        <w:t>智学派（LearnGen）是一个面向大学生的 AI 个性化学习助手，核心功能包括 AI 驱动的学习路径生成、基于课程知识库的智能答疑以及知识点薄弱环节精准诊断。产品以大语言模型（LLM）结合检索增强生成（RAG）技术为基础，自建高校主流课程知识图谱，为学生提供比通用 AI 工具更准确、更懂课程的专属学习辅导。</w:t>
      </w:r>
    </w:p>
    <w:p>
      <w:pPr>
        <w:spacing w:line="300" w:lineRule="auto"/>
        <w:ind w:firstLine="480" w:firstLineChars="200"/>
      </w:pPr>
      <w:r>
        <w:rPr>
          <w:rFonts w:ascii="宋体" w:hAnsi="宋体" w:eastAsia="宋体"/>
          <w:sz w:val="24"/>
        </w:rPr>
        <w:t>中国高等教育在校生规模已超 4000 万，在线教育与教育科技市场规模突破 5000 亿元人民币，AI+教育赛道年复合增长率超过 30%。与此同时，传统教育模式下优质师资稀缺、一对一家教费用高昂、慕课/录播课完课率不足 5%，学生高效个性化学习的需求远未被满足。智学派以"Freemium + 高校合作"双引擎模式切入市场：C 端 Pro 版定价 29.9 元/月，B 端高校合作版定价 50-100 万元/校/年。</w:t>
      </w:r>
    </w:p>
    <w:p>
      <w:pPr>
        <w:spacing w:line="300" w:lineRule="auto"/>
        <w:ind w:firstLine="480" w:firstLineChars="200"/>
      </w:pPr>
      <w:r>
        <w:rPr>
          <w:rFonts w:ascii="宋体" w:hAnsi="宋体" w:eastAsia="宋体"/>
          <w:sz w:val="24"/>
        </w:rPr>
        <w:t>项目启动资金需求为 300 万元人民币，主要用于产品研发（60%）、市场推广（25%）和运营储备（15%）。预计三年内覆盖 1000 所高校，注册用户突破 300 万，第三年实现盈亏平衡。本轮融资为 Pre-A 轮，拟出让 10%-15% 股权。</w:t>
      </w:r>
    </w:p>
    <w:p>
      <w:r>
        <w:br w:type="page"/>
      </w:r>
    </w:p>
    <w:p>
      <w:pPr>
        <w:jc w:val="left"/>
        <w:spacing w:line="300" w:lineRule="auto" w:before="360" w:after="200"/>
      </w:pPr>
      <w:r>
        <w:rPr>
          <w:rFonts w:ascii="黑体" w:hAnsi="黑体" w:eastAsia="黑体"/>
          <w:b/>
          <w:sz w:val="32"/>
        </w:rPr>
        <w:t>第二章　公司概述</w:t>
      </w:r>
    </w:p>
    <w:p>
      <w:pPr>
        <w:spacing w:line="240" w:lineRule="auto"/>
      </w:pPr>
      <w:r>
        <w:rPr>
          <w:sz w:val="16"/>
        </w:rPr>
      </w:r>
    </w:p>
    <w:p>
      <w:pPr>
        <w:jc w:val="left"/>
        <w:spacing w:line="300" w:lineRule="auto" w:before="240" w:after="120"/>
      </w:pPr>
      <w:r>
        <w:rPr>
          <w:rFonts w:ascii="黑体" w:hAnsi="黑体" w:eastAsia="黑体"/>
          <w:b/>
          <w:sz w:val="28"/>
        </w:rPr>
        <w:t>一、宗旨与使命</w:t>
      </w:r>
    </w:p>
    <w:p>
      <w:pPr>
        <w:spacing w:line="300" w:lineRule="auto"/>
        <w:ind w:firstLine="480" w:firstLineChars="200"/>
      </w:pPr>
      <w:r>
        <w:rPr>
          <w:rFonts w:ascii="宋体" w:hAnsi="宋体" w:eastAsia="宋体"/>
          <w:sz w:val="24"/>
        </w:rPr>
        <w:t>愿景：成为 Z 世代首选 AI 学习平台，让每个学生都拥有自己的 AI 导师。</w:t>
      </w:r>
    </w:p>
    <w:p>
      <w:pPr>
        <w:spacing w:line="300" w:lineRule="auto"/>
        <w:ind w:firstLine="480" w:firstLineChars="200"/>
      </w:pPr>
      <w:r>
        <w:rPr>
          <w:rFonts w:ascii="宋体" w:hAnsi="宋体" w:eastAsia="宋体"/>
          <w:sz w:val="24"/>
        </w:rPr>
        <w:t>使命：利用大模型技术打破教育资源不均的壁垒，为每一位大学生提供普惠且高质量的个性化学习体验，用技术的力量让"因材施教"从理念走向现实。</w:t>
      </w:r>
    </w:p>
    <w:p>
      <w:pPr>
        <w:jc w:val="left"/>
        <w:spacing w:line="300" w:lineRule="auto" w:before="240" w:after="120"/>
      </w:pPr>
      <w:r>
        <w:rPr>
          <w:rFonts w:ascii="黑体" w:hAnsi="黑体" w:eastAsia="黑体"/>
          <w:b/>
          <w:sz w:val="28"/>
        </w:rPr>
        <w:t>二、公司简介</w:t>
      </w:r>
    </w:p>
    <w:p>
      <w:pPr>
        <w:spacing w:line="300" w:lineRule="auto"/>
        <w:ind w:firstLine="480" w:firstLineChars="200"/>
      </w:pPr>
      <w:r>
        <w:rPr>
          <w:rFonts w:ascii="宋体" w:hAnsi="宋体" w:eastAsia="宋体"/>
          <w:sz w:val="24"/>
        </w:rPr>
        <w:t>智学派教育科技有限公司（LearnGen EduTech Co., Ltd.）是一家专注 AI+教育领域的科技创业公司，由华中科技大学计算机学院学生团队发起创立。公司致力于将前沿大语言模型技术与高校教学场景深度融合，打造懂课程、懂学生、懂考试的 AI 学习助手。</w:t>
      </w:r>
    </w:p>
    <w:p>
      <w:pPr>
        <w:spacing w:line="300" w:lineRule="auto"/>
        <w:ind w:firstLine="480" w:firstLineChars="200"/>
      </w:pPr>
      <w:r>
        <w:rPr>
          <w:rFonts w:ascii="宋体" w:hAnsi="宋体" w:eastAsia="宋体"/>
          <w:sz w:val="24"/>
        </w:rPr>
        <w:t>公司总部拟设在武汉光谷，充分利用光谷科创大走廊的政策扶持、高校人才资源和相对较低的运营成本。初期团队规模 5-8 人，核心成员来自计算机科学、软件工程、教育学等专业方向。</w:t>
      </w:r>
    </w:p>
    <w:p>
      <w:pPr>
        <w:jc w:val="left"/>
        <w:spacing w:line="300" w:lineRule="auto" w:before="240" w:after="120"/>
      </w:pPr>
      <w:r>
        <w:rPr>
          <w:rFonts w:ascii="黑体" w:hAnsi="黑体" w:eastAsia="黑体"/>
          <w:b/>
          <w:sz w:val="28"/>
        </w:rPr>
        <w:t>三、公司战略</w:t>
      </w:r>
    </w:p>
    <w:p>
      <w:pPr>
        <w:jc w:val="left"/>
        <w:spacing w:line="300" w:lineRule="auto" w:before="120" w:after="60"/>
      </w:pPr>
      <w:r>
        <w:rPr>
          <w:rFonts w:ascii="黑体" w:hAnsi="黑体" w:eastAsia="黑体"/>
          <w:b/>
          <w:sz w:val="24"/>
        </w:rPr>
        <w:t>（一）产品与服务战略</w:t>
      </w:r>
    </w:p>
    <w:p>
      <w:pPr>
        <w:spacing w:line="300" w:lineRule="auto"/>
        <w:ind w:firstLine="480" w:firstLineChars="200"/>
      </w:pPr>
      <w:r>
        <w:rPr>
          <w:rFonts w:ascii="宋体" w:hAnsi="宋体" w:eastAsia="宋体"/>
          <w:sz w:val="24"/>
        </w:rPr>
        <w:t>以 AI 引擎为核心壁垒，围绕高校课程体系构建细粒度知识图谱和高质量课程向量库，确保答疑的准确性和课程相关性。产品采用"一横一纵"策略：横向覆盖更多高校和学科，纵向在每门课程上做到深度覆盖。</w:t>
      </w:r>
    </w:p>
    <w:p>
      <w:pPr>
        <w:jc w:val="left"/>
        <w:spacing w:line="300" w:lineRule="auto" w:before="120" w:after="60"/>
      </w:pPr>
      <w:r>
        <w:rPr>
          <w:rFonts w:ascii="黑体" w:hAnsi="黑体" w:eastAsia="黑体"/>
          <w:b/>
          <w:sz w:val="24"/>
        </w:rPr>
        <w:t>（二）市场战略</w:t>
      </w:r>
    </w:p>
    <w:p>
      <w:pPr>
        <w:spacing w:line="300" w:lineRule="auto"/>
        <w:ind w:firstLine="480" w:firstLineChars="200"/>
      </w:pPr>
      <w:r>
        <w:rPr>
          <w:rFonts w:ascii="宋体" w:hAnsi="宋体" w:eastAsia="宋体"/>
          <w:sz w:val="24"/>
        </w:rPr>
        <w:t>采用 B2B2C 模式切入：先与高校教师和院系建立合作关系，以免费试用撬动种子用户，再通过课程群裂变和学习打卡等社交机制实现 C 端规模化增长。初期聚焦 985/211 高校的理工科学生（约 1500 万目标用户），验证产品和商业模式后逐步拓展至全部本科和高职高专院校。</w:t>
      </w:r>
    </w:p>
    <w:p>
      <w:pPr>
        <w:jc w:val="left"/>
        <w:spacing w:line="300" w:lineRule="auto" w:before="120" w:after="60"/>
      </w:pPr>
      <w:r>
        <w:rPr>
          <w:rFonts w:ascii="黑体" w:hAnsi="黑体" w:eastAsia="黑体"/>
          <w:b/>
          <w:sz w:val="24"/>
        </w:rPr>
        <w:t>（三）客户服务与增值业务</w:t>
      </w:r>
    </w:p>
    <w:p>
      <w:pPr>
        <w:spacing w:line="300" w:lineRule="auto"/>
        <w:ind w:firstLine="480" w:firstLineChars="200"/>
      </w:pPr>
      <w:r>
        <w:rPr>
          <w:rFonts w:ascii="宋体" w:hAnsi="宋体" w:eastAsia="宋体"/>
          <w:sz w:val="24"/>
        </w:rPr>
        <w:t>基础 AI 答疑和学习路径规划免费开放，高级功能（无限答疑、深度诊断报告、个性化备考方案、课件智能解析等）通过 Pro 订阅收费。中长期拓展至考研、考公、考证等强付费意愿的备考场景，提供增值内容服务和 1v1 AI 辅导。</w:t>
      </w:r>
    </w:p>
    <w:p>
      <w:pPr>
        <w:jc w:val="left"/>
        <w:spacing w:line="300" w:lineRule="auto" w:before="120" w:after="60"/>
      </w:pPr>
      <w:r>
        <w:rPr>
          <w:rFonts w:ascii="黑体" w:hAnsi="黑体" w:eastAsia="黑体"/>
          <w:b/>
          <w:sz w:val="24"/>
        </w:rPr>
        <w:t>（四）技术战略</w:t>
      </w:r>
    </w:p>
    <w:p>
      <w:pPr>
        <w:spacing w:line="300" w:lineRule="auto"/>
        <w:ind w:firstLine="480" w:firstLineChars="200"/>
      </w:pPr>
      <w:r>
        <w:rPr>
          <w:rFonts w:ascii="宋体" w:hAnsi="宋体" w:eastAsia="宋体"/>
          <w:sz w:val="24"/>
        </w:rPr>
        <w:t>核心技术路线是基于开源大模型进行微调（Fine-tuning），结合自建课程知识库做 RAG 增强检索，在降低 API 调用成本的同时提升回答质量。构建"数据飞轮"：用户学习行为数据反哺模型优化，模型越精准，用户粘性越高，数据积累越多。</w:t>
      </w:r>
    </w:p>
    <w:p>
      <w:pPr>
        <w:jc w:val="left"/>
        <w:spacing w:line="300" w:lineRule="auto" w:before="240" w:after="120"/>
      </w:pPr>
      <w:r>
        <w:rPr>
          <w:rFonts w:ascii="黑体" w:hAnsi="黑体" w:eastAsia="黑体"/>
          <w:b/>
          <w:sz w:val="28"/>
        </w:rPr>
        <w:t>四、核心技术</w:t>
      </w:r>
    </w:p>
    <w:p>
      <w:pPr>
        <w:jc w:val="left"/>
        <w:spacing w:line="300" w:lineRule="auto" w:before="120" w:after="60"/>
      </w:pPr>
      <w:r>
        <w:rPr>
          <w:rFonts w:ascii="黑体" w:hAnsi="黑体" w:eastAsia="黑体"/>
          <w:b/>
          <w:sz w:val="24"/>
        </w:rPr>
        <w:t>（一）大模型 + RAG 混合架构</w:t>
      </w:r>
    </w:p>
    <w:p>
      <w:pPr>
        <w:spacing w:line="300" w:lineRule="auto"/>
        <w:ind w:firstLine="480" w:firstLineChars="200"/>
      </w:pPr>
      <w:r>
        <w:rPr>
          <w:rFonts w:ascii="宋体" w:hAnsi="宋体" w:eastAsia="宋体"/>
          <w:sz w:val="24"/>
        </w:rPr>
        <w:t>底层接入 GPT-4o、Claude Opus 等主流大模型 API 作为基础推理引擎，同时基于 LangChain 框架搭建 RAG 管线。学生上传的课件、教材、笔记经向量化处理后存入 Milvus 向量数据库，查询时先检索相关知识点片段，再与大模型生成结果融合输出，有效解决大模型在具体课程内容上的"幻觉"问题。</w:t>
      </w:r>
    </w:p>
    <w:p>
      <w:pPr>
        <w:jc w:val="left"/>
        <w:spacing w:line="300" w:lineRule="auto" w:before="120" w:after="60"/>
      </w:pPr>
      <w:r>
        <w:rPr>
          <w:rFonts w:ascii="黑体" w:hAnsi="黑体" w:eastAsia="黑体"/>
          <w:b/>
          <w:sz w:val="24"/>
        </w:rPr>
        <w:t>（二）课程知识图谱</w:t>
      </w:r>
    </w:p>
    <w:p>
      <w:pPr>
        <w:spacing w:line="300" w:lineRule="auto"/>
        <w:ind w:firstLine="480" w:firstLineChars="200"/>
      </w:pPr>
      <w:r>
        <w:rPr>
          <w:rFonts w:ascii="宋体" w:hAnsi="宋体" w:eastAsia="宋体"/>
          <w:sz w:val="24"/>
        </w:rPr>
        <w:t>自建覆盖高等数学、线性代数、大学物理、数据结构、操作系统等 30+ 门核心课程的知识图谱。每个知识点标注前置依赖、难度层级、常见错误类型和关联考题。基于 Neo4j 图数据库存储和查询，支撑学习路径自动规划和薄弱环节诊断。</w:t>
      </w:r>
    </w:p>
    <w:p>
      <w:pPr>
        <w:jc w:val="left"/>
        <w:spacing w:line="300" w:lineRule="auto" w:before="120" w:after="60"/>
      </w:pPr>
      <w:r>
        <w:rPr>
          <w:rFonts w:ascii="黑体" w:hAnsi="黑体" w:eastAsia="黑体"/>
          <w:b/>
          <w:sz w:val="24"/>
        </w:rPr>
        <w:t>（三）学习路径推荐算法</w:t>
      </w:r>
    </w:p>
    <w:p>
      <w:pPr>
        <w:spacing w:line="300" w:lineRule="auto"/>
        <w:ind w:firstLine="480" w:firstLineChars="200"/>
      </w:pPr>
      <w:r>
        <w:rPr>
          <w:rFonts w:ascii="宋体" w:hAnsi="宋体" w:eastAsia="宋体"/>
          <w:sz w:val="24"/>
        </w:rPr>
        <w:t>结合知识图谱拓扑结构和学生历史答题数据，采用改进的贝叶斯知识追踪（BKT）模型评估每个知识点的掌握概率，动态生成个性化学习路径。推荐学习顺序遵循"先修知识点→目标知识点→高级拓展"的依赖关系，确保学习过程有逻辑、有节奏。</w:t>
      </w:r>
    </w:p>
    <w:p>
      <w:pPr>
        <w:jc w:val="left"/>
        <w:spacing w:line="300" w:lineRule="auto" w:before="120" w:after="60"/>
      </w:pPr>
      <w:r>
        <w:rPr>
          <w:rFonts w:ascii="黑体" w:hAnsi="黑体" w:eastAsia="黑体"/>
          <w:b/>
          <w:sz w:val="24"/>
        </w:rPr>
        <w:t>（四）技术壁垒</w:t>
      </w:r>
    </w:p>
    <w:p>
      <w:pPr>
        <w:spacing w:line="300" w:lineRule="auto"/>
        <w:ind w:firstLine="480" w:firstLineChars="200"/>
      </w:pPr>
      <w:r>
        <w:rPr>
          <w:rFonts w:ascii="宋体" w:hAnsi="宋体" w:eastAsia="宋体"/>
          <w:sz w:val="24"/>
        </w:rPr>
        <w:t>数据飞轮效应：用户规模增长带来学习行为数据积累，模型迭代加速，形成正向循环。课程知识图谱：构建成本高、维护难度大，非通用模型短期可复制。垂直场景优化：针对大学课程做了大量 Prompt Engineering 和 Fine-tuning，通用工具无法直接替代。</w:t>
      </w:r>
    </w:p>
    <w:p>
      <w:pPr>
        <w:jc w:val="left"/>
        <w:spacing w:line="300" w:lineRule="auto" w:before="240" w:after="120"/>
      </w:pPr>
      <w:r>
        <w:rPr>
          <w:rFonts w:ascii="黑体" w:hAnsi="黑体" w:eastAsia="黑体"/>
          <w:b/>
          <w:sz w:val="28"/>
        </w:rPr>
        <w:t>五、价值主张</w:t>
      </w:r>
    </w:p>
    <w:p>
      <w:pPr>
        <w:jc w:val="left"/>
        <w:spacing w:line="300" w:lineRule="auto" w:before="120" w:after="60"/>
      </w:pPr>
      <w:r>
        <w:rPr>
          <w:rFonts w:ascii="黑体" w:hAnsi="黑体" w:eastAsia="黑体"/>
          <w:b/>
          <w:sz w:val="24"/>
        </w:rPr>
        <w:t>（一）对于学生</w:t>
      </w:r>
    </w:p>
    <w:p>
      <w:pPr>
        <w:spacing w:line="300" w:lineRule="auto"/>
        <w:ind w:firstLine="480" w:firstLineChars="200"/>
      </w:pPr>
      <w:r>
        <w:rPr>
          <w:rFonts w:ascii="宋体" w:hAnsi="宋体" w:eastAsia="宋体"/>
          <w:sz w:val="24"/>
        </w:rPr>
        <w:t>比辅导班便宜 90%，比自学高效 3 倍；7×24 小时即时答疑，不依赖老师的时间；每个学生都有自己的专属学习路径，告别"学不懂不知道从哪补"。</w:t>
      </w:r>
    </w:p>
    <w:p>
      <w:pPr>
        <w:jc w:val="left"/>
        <w:spacing w:line="300" w:lineRule="auto" w:before="120" w:after="60"/>
      </w:pPr>
      <w:r>
        <w:rPr>
          <w:rFonts w:ascii="黑体" w:hAnsi="黑体" w:eastAsia="黑体"/>
          <w:b/>
          <w:sz w:val="24"/>
        </w:rPr>
        <w:t>（二）对于高校</w:t>
      </w:r>
    </w:p>
    <w:p>
      <w:pPr>
        <w:spacing w:line="300" w:lineRule="auto"/>
        <w:ind w:firstLine="480" w:firstLineChars="200"/>
      </w:pPr>
      <w:r>
        <w:rPr>
          <w:rFonts w:ascii="宋体" w:hAnsi="宋体" w:eastAsia="宋体"/>
          <w:sz w:val="24"/>
        </w:rPr>
        <w:t>提升教学质量的数据化工具，精准定位班级知识薄弱点；降低挂科率和学业预警率；与教务系统对接，为教学改革提供数据支撑。</w:t>
      </w:r>
    </w:p>
    <w:p>
      <w:pPr>
        <w:jc w:val="left"/>
        <w:spacing w:line="300" w:lineRule="auto" w:before="120" w:after="60"/>
      </w:pPr>
      <w:r>
        <w:rPr>
          <w:rFonts w:ascii="黑体" w:hAnsi="黑体" w:eastAsia="黑体"/>
          <w:b/>
          <w:sz w:val="24"/>
        </w:rPr>
        <w:t>（三）对于投资者</w:t>
      </w:r>
    </w:p>
    <w:p>
      <w:pPr>
        <w:spacing w:line="300" w:lineRule="auto"/>
        <w:ind w:firstLine="480" w:firstLineChars="200"/>
      </w:pPr>
      <w:r>
        <w:rPr>
          <w:rFonts w:ascii="宋体" w:hAnsi="宋体" w:eastAsia="宋体"/>
          <w:sz w:val="24"/>
        </w:rPr>
        <w:t>进入 5000 亿在线教育赛道的 AI 入口；清晰的 Freemium + SaaS 双引擎商业模式；三年内有望覆盖千万级用户，具备独立上市或被巨头收购的退出路径。</w:t>
      </w:r>
    </w:p>
    <w:p>
      <w:pPr>
        <w:jc w:val="left"/>
        <w:spacing w:line="300" w:lineRule="auto" w:before="240" w:after="120"/>
      </w:pPr>
      <w:r>
        <w:rPr>
          <w:rFonts w:ascii="黑体" w:hAnsi="黑体" w:eastAsia="黑体"/>
          <w:b/>
          <w:sz w:val="28"/>
        </w:rPr>
        <w:t>六、公司管理</w:t>
      </w:r>
    </w:p>
    <w:p>
      <w:pPr>
        <w:spacing w:line="300" w:lineRule="auto"/>
      </w:pPr>
      <w:r>
        <w:rPr>
          <w:rFonts w:ascii="宋体" w:hAnsi="宋体" w:eastAsia="宋体"/>
          <w:sz w:val="24"/>
        </w:rPr>
        <w:t>核心团队（初期 5-8 人）：</w:t>
      </w:r>
    </w:p>
    <w:p>
      <w:pPr>
        <w:spacing w:line="240" w:lineRule="auto"/>
      </w:pPr>
      <w:r>
        <w:rPr>
          <w:sz w:val="16"/>
        </w:rPr>
      </w:r>
    </w:p>
    <w:tbl>
      <w:tblPr>
        <w:tblStyle w:val="TableGrid"/>
        <w:tblW w:type="auto" w:w="0"/>
        <w:tblLook w:firstColumn="1" w:firstRow="1" w:lastColumn="0" w:lastRow="0" w:noHBand="0" w:noVBand="1" w:val="04A0"/>
      </w:tblPr>
      <w:tblGrid>
        <w:gridCol w:w="3213"/>
        <w:gridCol w:w="3213"/>
        <w:gridCol w:w="3213"/>
      </w:tblGrid>
      <w:tr>
        <w:tc>
          <w:tcPr>
            <w:tcW w:type="dxa" w:w="3213"/>
            <w:shd w:fill="D9E2F3"/>
          </w:tcPr>
          <w:p>
            <w:pPr>
              <w:jc w:val="center"/>
              <w:spacing w:line="300" w:lineRule="auto"/>
            </w:pPr>
            <w:r>
              <w:rPr>
                <w:rFonts w:ascii="黑体" w:hAnsi="黑体" w:eastAsia="黑体"/>
                <w:b/>
                <w:sz w:val="20"/>
              </w:rPr>
              <w:t>角色</w:t>
            </w:r>
          </w:p>
        </w:tc>
        <w:tc>
          <w:tcPr>
            <w:tcW w:type="dxa" w:w="3213"/>
            <w:shd w:fill="D9E2F3"/>
          </w:tcPr>
          <w:p>
            <w:pPr>
              <w:jc w:val="center"/>
              <w:spacing w:line="300" w:lineRule="auto"/>
            </w:pPr>
            <w:r>
              <w:rPr>
                <w:rFonts w:ascii="黑体" w:hAnsi="黑体" w:eastAsia="黑体"/>
                <w:b/>
                <w:sz w:val="20"/>
              </w:rPr>
              <w:t>职责</w:t>
            </w:r>
          </w:p>
        </w:tc>
        <w:tc>
          <w:tcPr>
            <w:tcW w:type="dxa" w:w="3213"/>
            <w:shd w:fill="D9E2F3"/>
          </w:tcPr>
          <w:p>
            <w:pPr>
              <w:jc w:val="center"/>
              <w:spacing w:line="300" w:lineRule="auto"/>
            </w:pPr>
            <w:r>
              <w:rPr>
                <w:rFonts w:ascii="黑体" w:hAnsi="黑体" w:eastAsia="黑体"/>
                <w:b/>
                <w:sz w:val="20"/>
              </w:rPr>
              <w:t>背景要求</w:t>
            </w:r>
          </w:p>
        </w:tc>
      </w:tr>
      <w:tr>
        <w:tc>
          <w:tcPr>
            <w:tcW w:type="dxa" w:w="3213"/>
          </w:tcPr>
          <w:p>
            <w:pPr>
              <w:jc w:val="center"/>
              <w:spacing w:line="300" w:lineRule="auto"/>
            </w:pPr>
            <w:r>
              <w:rPr>
                <w:rFonts w:ascii="宋体" w:hAnsi="宋体" w:eastAsia="宋体"/>
                <w:sz w:val="20"/>
              </w:rPr>
              <w:t>CEO/创始人</w:t>
            </w:r>
          </w:p>
        </w:tc>
        <w:tc>
          <w:tcPr>
            <w:tcW w:type="dxa" w:w="3213"/>
          </w:tcPr>
          <w:p>
            <w:pPr>
              <w:jc w:val="center"/>
              <w:spacing w:line="300" w:lineRule="auto"/>
            </w:pPr>
            <w:r>
              <w:rPr>
                <w:rFonts w:ascii="宋体" w:hAnsi="宋体" w:eastAsia="宋体"/>
                <w:sz w:val="20"/>
              </w:rPr>
              <w:t>公司战略、融资、对外合作</w:t>
            </w:r>
          </w:p>
        </w:tc>
        <w:tc>
          <w:tcPr>
            <w:tcW w:type="dxa" w:w="3213"/>
          </w:tcPr>
          <w:p>
            <w:pPr>
              <w:jc w:val="center"/>
              <w:spacing w:line="300" w:lineRule="auto"/>
            </w:pPr>
            <w:r>
              <w:rPr>
                <w:rFonts w:ascii="宋体" w:hAnsi="宋体" w:eastAsia="宋体"/>
                <w:sz w:val="20"/>
              </w:rPr>
              <w:t>计算机专业，有学生创业或竞赛经历</w:t>
            </w:r>
          </w:p>
        </w:tc>
      </w:tr>
      <w:tr>
        <w:tc>
          <w:tcPr>
            <w:tcW w:type="dxa" w:w="3213"/>
          </w:tcPr>
          <w:p>
            <w:pPr>
              <w:jc w:val="center"/>
              <w:spacing w:line="300" w:lineRule="auto"/>
            </w:pPr>
            <w:r>
              <w:rPr>
                <w:rFonts w:ascii="宋体" w:hAnsi="宋体" w:eastAsia="宋体"/>
                <w:sz w:val="20"/>
              </w:rPr>
              <w:t>CTO</w:t>
            </w:r>
          </w:p>
        </w:tc>
        <w:tc>
          <w:tcPr>
            <w:tcW w:type="dxa" w:w="3213"/>
          </w:tcPr>
          <w:p>
            <w:pPr>
              <w:jc w:val="center"/>
              <w:spacing w:line="300" w:lineRule="auto"/>
            </w:pPr>
            <w:r>
              <w:rPr>
                <w:rFonts w:ascii="宋体" w:hAnsi="宋体" w:eastAsia="宋体"/>
                <w:sz w:val="20"/>
              </w:rPr>
              <w:t>技术架构、AI 引擎研发</w:t>
            </w:r>
          </w:p>
        </w:tc>
        <w:tc>
          <w:tcPr>
            <w:tcW w:type="dxa" w:w="3213"/>
          </w:tcPr>
          <w:p>
            <w:pPr>
              <w:jc w:val="center"/>
              <w:spacing w:line="300" w:lineRule="auto"/>
            </w:pPr>
            <w:r>
              <w:rPr>
                <w:rFonts w:ascii="宋体" w:hAnsi="宋体" w:eastAsia="宋体"/>
                <w:sz w:val="20"/>
              </w:rPr>
              <w:t>软件工程方向，熟悉 LLM 和推荐系统</w:t>
            </w:r>
          </w:p>
        </w:tc>
      </w:tr>
      <w:tr>
        <w:tc>
          <w:tcPr>
            <w:tcW w:type="dxa" w:w="3213"/>
          </w:tcPr>
          <w:p>
            <w:pPr>
              <w:jc w:val="center"/>
              <w:spacing w:line="300" w:lineRule="auto"/>
            </w:pPr>
            <w:r>
              <w:rPr>
                <w:rFonts w:ascii="宋体" w:hAnsi="宋体" w:eastAsia="宋体"/>
                <w:sz w:val="20"/>
              </w:rPr>
              <w:t>CPO</w:t>
            </w:r>
          </w:p>
        </w:tc>
        <w:tc>
          <w:tcPr>
            <w:tcW w:type="dxa" w:w="3213"/>
          </w:tcPr>
          <w:p>
            <w:pPr>
              <w:jc w:val="center"/>
              <w:spacing w:line="300" w:lineRule="auto"/>
            </w:pPr>
            <w:r>
              <w:rPr>
                <w:rFonts w:ascii="宋体" w:hAnsi="宋体" w:eastAsia="宋体"/>
                <w:sz w:val="20"/>
              </w:rPr>
              <w:t>产品设计与用户体验</w:t>
            </w:r>
          </w:p>
        </w:tc>
        <w:tc>
          <w:tcPr>
            <w:tcW w:type="dxa" w:w="3213"/>
          </w:tcPr>
          <w:p>
            <w:pPr>
              <w:jc w:val="center"/>
              <w:spacing w:line="300" w:lineRule="auto"/>
            </w:pPr>
            <w:r>
              <w:rPr>
                <w:rFonts w:ascii="宋体" w:hAnsi="宋体" w:eastAsia="宋体"/>
                <w:sz w:val="20"/>
              </w:rPr>
              <w:t>有产品设计经验</w:t>
            </w:r>
          </w:p>
        </w:tc>
      </w:tr>
      <w:tr>
        <w:tc>
          <w:tcPr>
            <w:tcW w:type="dxa" w:w="3213"/>
          </w:tcPr>
          <w:p>
            <w:pPr>
              <w:jc w:val="center"/>
              <w:spacing w:line="300" w:lineRule="auto"/>
            </w:pPr>
            <w:r>
              <w:rPr>
                <w:rFonts w:ascii="宋体" w:hAnsi="宋体" w:eastAsia="宋体"/>
                <w:sz w:val="20"/>
              </w:rPr>
              <w:t>COO</w:t>
            </w:r>
          </w:p>
        </w:tc>
        <w:tc>
          <w:tcPr>
            <w:tcW w:type="dxa" w:w="3213"/>
          </w:tcPr>
          <w:p>
            <w:pPr>
              <w:jc w:val="center"/>
              <w:spacing w:line="300" w:lineRule="auto"/>
            </w:pPr>
            <w:r>
              <w:rPr>
                <w:rFonts w:ascii="宋体" w:hAnsi="宋体" w:eastAsia="宋体"/>
                <w:sz w:val="20"/>
              </w:rPr>
              <w:t>日常运营、高校渠道</w:t>
            </w:r>
          </w:p>
        </w:tc>
        <w:tc>
          <w:tcPr>
            <w:tcW w:type="dxa" w:w="3213"/>
          </w:tcPr>
          <w:p>
            <w:pPr>
              <w:jc w:val="center"/>
              <w:spacing w:line="300" w:lineRule="auto"/>
            </w:pPr>
            <w:r>
              <w:rPr>
                <w:rFonts w:ascii="宋体" w:hAnsi="宋体" w:eastAsia="宋体"/>
                <w:sz w:val="20"/>
              </w:rPr>
              <w:t>有校园活动组织经验</w:t>
            </w:r>
          </w:p>
        </w:tc>
      </w:tr>
      <w:tr>
        <w:tc>
          <w:tcPr>
            <w:tcW w:type="dxa" w:w="3213"/>
          </w:tcPr>
          <w:p>
            <w:pPr>
              <w:jc w:val="center"/>
              <w:spacing w:line="300" w:lineRule="auto"/>
            </w:pPr>
            <w:r>
              <w:rPr>
                <w:rFonts w:ascii="宋体" w:hAnsi="宋体" w:eastAsia="宋体"/>
                <w:sz w:val="20"/>
              </w:rPr>
              <w:t>教育顾问（兼职）</w:t>
            </w:r>
          </w:p>
        </w:tc>
        <w:tc>
          <w:tcPr>
            <w:tcW w:type="dxa" w:w="3213"/>
          </w:tcPr>
          <w:p>
            <w:pPr>
              <w:jc w:val="center"/>
              <w:spacing w:line="300" w:lineRule="auto"/>
            </w:pPr>
            <w:r>
              <w:rPr>
                <w:rFonts w:ascii="宋体" w:hAnsi="宋体" w:eastAsia="宋体"/>
                <w:sz w:val="20"/>
              </w:rPr>
              <w:t>课程内容把关、教育方法论</w:t>
            </w:r>
          </w:p>
        </w:tc>
        <w:tc>
          <w:tcPr>
            <w:tcW w:type="dxa" w:w="3213"/>
          </w:tcPr>
          <w:p>
            <w:pPr>
              <w:jc w:val="center"/>
              <w:spacing w:line="300" w:lineRule="auto"/>
            </w:pPr>
            <w:r>
              <w:rPr>
                <w:rFonts w:ascii="宋体" w:hAnsi="宋体" w:eastAsia="宋体"/>
                <w:sz w:val="20"/>
              </w:rPr>
              <w:t>教育学院教师或研究生</w:t>
            </w:r>
          </w:p>
        </w:tc>
      </w:tr>
    </w:tbl>
    <w:p>
      <w:pPr>
        <w:spacing w:line="240" w:lineRule="auto"/>
      </w:pPr>
      <w:r>
        <w:rPr>
          <w:sz w:val="16"/>
        </w:rPr>
      </w:r>
    </w:p>
    <w:p>
      <w:pPr>
        <w:spacing w:line="300" w:lineRule="auto"/>
        <w:ind w:firstLine="480" w:firstLineChars="200"/>
      </w:pPr>
      <w:r>
        <w:rPr>
          <w:rFonts w:ascii="宋体" w:hAnsi="宋体" w:eastAsia="宋体"/>
          <w:sz w:val="24"/>
        </w:rPr>
        <w:t>股权结构：创始人团队持股 80%，预留 20% 用于后续融资和员工期权池。</w:t>
      </w:r>
    </w:p>
    <w:p>
      <w:pPr>
        <w:spacing w:line="300" w:lineRule="auto"/>
        <w:ind w:firstLine="480" w:firstLineChars="200"/>
      </w:pPr>
      <w:r>
        <w:rPr>
          <w:rFonts w:ascii="宋体" w:hAnsi="宋体" w:eastAsia="宋体"/>
          <w:sz w:val="24"/>
        </w:rPr>
        <w:t>外部支持：合作律师事务所提供知识产权和公司法务支持；合作会计师事务所提供财务规范和审计服务；拟入驻学校创业孵化器或光谷创业园区。</w:t>
      </w:r>
    </w:p>
    <w:p>
      <w:pPr>
        <w:spacing w:line="300" w:lineRule="auto"/>
        <w:ind w:firstLine="480" w:firstLineChars="200"/>
      </w:pPr>
      <w:r>
        <w:rPr>
          <w:rFonts w:ascii="宋体" w:hAnsi="宋体" w:eastAsia="宋体"/>
          <w:sz w:val="24"/>
        </w:rPr>
        <w:t>董事会：初期由创始人团队 3 人 + 高校创业导师 1 人 + 外部行业顾问 1 人组成 5 人董事会，为公司战略决策提供指导。</w:t>
      </w:r>
    </w:p>
    <w:p>
      <w:pPr>
        <w:jc w:val="left"/>
        <w:spacing w:line="300" w:lineRule="auto" w:before="240" w:after="120"/>
      </w:pPr>
      <w:r>
        <w:rPr>
          <w:rFonts w:ascii="黑体" w:hAnsi="黑体" w:eastAsia="黑体"/>
          <w:b/>
          <w:sz w:val="28"/>
        </w:rPr>
        <w:t>七、组织与协作关系</w:t>
      </w:r>
    </w:p>
    <w:p>
      <w:pPr>
        <w:spacing w:line="300" w:lineRule="auto"/>
        <w:ind w:firstLine="480" w:firstLineChars="200"/>
      </w:pPr>
      <w:r>
        <w:rPr>
          <w:rFonts w:ascii="宋体" w:hAnsi="宋体" w:eastAsia="宋体"/>
          <w:sz w:val="24"/>
        </w:rPr>
        <w:t>内部组织结构：CEO 下设 CTO、CPO、COO 三条线。CTO 负责 AI 研发、后端、前端；CPO 负责产品设计；COO 负责运营、市场、渠道。初期扁平化管理，随团队扩张逐步完善中层管理架构。</w:t>
      </w:r>
    </w:p>
    <w:p>
      <w:pPr>
        <w:spacing w:line="300" w:lineRule="auto"/>
        <w:ind w:firstLine="480" w:firstLineChars="200"/>
      </w:pPr>
      <w:r>
        <w:rPr>
          <w:rFonts w:ascii="宋体" w:hAnsi="宋体" w:eastAsia="宋体"/>
          <w:sz w:val="24"/>
        </w:rPr>
        <w:t>外部协作关系：与本校及周边高校的教务处、信息中心建立合作，推进产品试点；与高校教师合作开发课程知识图谱，确保内容权威性；使用阿里云/腾讯云算力资源，降低初期基础设施成本；与高校学生会、学习类社团合作进行校园推广。</w:t>
      </w:r>
    </w:p>
    <w:p>
      <w:pPr>
        <w:jc w:val="left"/>
        <w:spacing w:line="300" w:lineRule="auto" w:before="240" w:after="120"/>
      </w:pPr>
      <w:r>
        <w:rPr>
          <w:rFonts w:ascii="黑体" w:hAnsi="黑体" w:eastAsia="黑体"/>
          <w:b/>
          <w:sz w:val="28"/>
        </w:rPr>
        <w:t>八、知识产权策略</w:t>
      </w:r>
    </w:p>
    <w:p>
      <w:pPr>
        <w:spacing w:line="300" w:lineRule="auto"/>
        <w:ind w:firstLine="480" w:firstLineChars="200"/>
      </w:pPr>
      <w:r>
        <w:rPr>
          <w:rFonts w:ascii="宋体" w:hAnsi="宋体" w:eastAsia="宋体"/>
          <w:sz w:val="24"/>
        </w:rPr>
        <w:t>软件著作权：对智学派 App、Web 平台、管理后台等软件系统进行著作权登记（3 项以上）。</w:t>
      </w:r>
    </w:p>
    <w:p>
      <w:pPr>
        <w:spacing w:line="300" w:lineRule="auto"/>
        <w:ind w:firstLine="480" w:firstLineChars="200"/>
      </w:pPr>
      <w:r>
        <w:rPr>
          <w:rFonts w:ascii="宋体" w:hAnsi="宋体" w:eastAsia="宋体"/>
          <w:sz w:val="24"/>
        </w:rPr>
        <w:t>商标保护：对"智学派""LearnGen"品牌名称及 Logo 在第 9 类（软件）、第 41 类（教育服务）、第 42 类（技术服务）进行商标注册。</w:t>
      </w:r>
    </w:p>
    <w:p>
      <w:pPr>
        <w:spacing w:line="300" w:lineRule="auto"/>
        <w:ind w:firstLine="480" w:firstLineChars="200"/>
      </w:pPr>
      <w:r>
        <w:rPr>
          <w:rFonts w:ascii="宋体" w:hAnsi="宋体" w:eastAsia="宋体"/>
          <w:sz w:val="24"/>
        </w:rPr>
        <w:t>专利布局：对学习路径推荐算法、知识图谱构建方法、RAG 课程问答系统三项核心技术申请发明专利（3 项）。</w:t>
      </w:r>
    </w:p>
    <w:p>
      <w:pPr>
        <w:spacing w:line="300" w:lineRule="auto"/>
        <w:ind w:firstLine="480" w:firstLineChars="200"/>
      </w:pPr>
      <w:r>
        <w:rPr>
          <w:rFonts w:ascii="宋体" w:hAnsi="宋体" w:eastAsia="宋体"/>
          <w:sz w:val="24"/>
        </w:rPr>
        <w:t>商业秘密：课程知识图谱数据、用户学习行为分析模型、核心 Prompt 模板等作为商业秘密保护。</w:t>
      </w:r>
    </w:p>
    <w:p>
      <w:pPr>
        <w:spacing w:line="300" w:lineRule="auto"/>
        <w:ind w:firstLine="480" w:firstLineChars="200"/>
      </w:pPr>
      <w:r>
        <w:rPr>
          <w:rFonts w:ascii="宋体" w:hAnsi="宋体" w:eastAsia="宋体"/>
          <w:sz w:val="24"/>
        </w:rPr>
        <w:t>开源合规：使用开源 LLM 和框架严格遵守相关许可协议。</w:t>
      </w:r>
    </w:p>
    <w:p>
      <w:pPr>
        <w:jc w:val="left"/>
        <w:spacing w:line="300" w:lineRule="auto" w:before="240" w:after="120"/>
      </w:pPr>
      <w:r>
        <w:rPr>
          <w:rFonts w:ascii="黑体" w:hAnsi="黑体" w:eastAsia="黑体"/>
          <w:b/>
          <w:sz w:val="28"/>
        </w:rPr>
        <w:t>九、场地与设施</w:t>
      </w:r>
    </w:p>
    <w:p>
      <w:pPr>
        <w:spacing w:line="300" w:lineRule="auto"/>
        <w:ind w:firstLine="480" w:firstLineChars="200"/>
      </w:pPr>
      <w:r>
        <w:rPr>
          <w:rFonts w:ascii="宋体" w:hAnsi="宋体" w:eastAsia="宋体"/>
          <w:sz w:val="24"/>
        </w:rPr>
        <w:t>公司总部拟设在武汉光谷创业园区，初期租赁 80-120 平方米办公空间，满足 8-10 人团队办公需求。光谷地区拥有成熟的科创生态、便利的高校人才触达渠道和相对优惠的办公租金（约 60-80 元/㎡/月），是科技创业公司的理想起步地点。</w:t>
      </w:r>
    </w:p>
    <w:p>
      <w:pPr>
        <w:spacing w:line="300" w:lineRule="auto"/>
        <w:ind w:firstLine="480" w:firstLineChars="200"/>
      </w:pPr>
      <w:r>
        <w:rPr>
          <w:rFonts w:ascii="宋体" w:hAnsi="宋体" w:eastAsia="宋体"/>
          <w:sz w:val="24"/>
        </w:rPr>
        <w:t>核心 IT 设施采用云服务模式，无需自建机房：阿里云 GPU 实例用于模型微调和推理，OSS 对象存储 + 云数据库，CDN 加速保障全国用户访问体验。初期月度云服务成本预估 2-3 万元。</w:t>
      </w:r>
    </w:p>
    <w:p>
      <w:pPr>
        <w:jc w:val="left"/>
        <w:spacing w:line="300" w:lineRule="auto" w:before="240" w:after="120"/>
      </w:pPr>
      <w:r>
        <w:rPr>
          <w:rFonts w:ascii="黑体" w:hAnsi="黑体" w:eastAsia="黑体"/>
          <w:b/>
          <w:sz w:val="28"/>
        </w:rPr>
        <w:t>十、风险分析</w:t>
      </w:r>
    </w:p>
    <w:p>
      <w:pPr>
        <w:jc w:val="left"/>
        <w:spacing w:line="300" w:lineRule="auto" w:before="120" w:after="60"/>
      </w:pPr>
      <w:r>
        <w:rPr>
          <w:rFonts w:ascii="黑体" w:hAnsi="黑体" w:eastAsia="黑体"/>
          <w:b/>
          <w:sz w:val="24"/>
        </w:rPr>
        <w:t>（一）技术风险：大模型幻觉问题</w:t>
      </w:r>
    </w:p>
    <w:p>
      <w:pPr>
        <w:spacing w:line="300" w:lineRule="auto"/>
        <w:ind w:firstLine="480" w:firstLineChars="200"/>
      </w:pPr>
      <w:r>
        <w:rPr>
          <w:rFonts w:ascii="宋体" w:hAnsi="宋体" w:eastAsia="宋体"/>
          <w:sz w:val="24"/>
        </w:rPr>
        <w:t>LLM 在专业课程内容上可能生成似是而非的错误答案，影响用户信任。应对措施：RAG 检索增强 + 课程知识库约束生成范围 + 关键内容人工审核机制 + 答案附置信度标注。</w:t>
      </w:r>
    </w:p>
    <w:p>
      <w:pPr>
        <w:jc w:val="left"/>
        <w:spacing w:line="300" w:lineRule="auto" w:before="120" w:after="60"/>
      </w:pPr>
      <w:r>
        <w:rPr>
          <w:rFonts w:ascii="黑体" w:hAnsi="黑体" w:eastAsia="黑体"/>
          <w:b/>
          <w:sz w:val="24"/>
        </w:rPr>
        <w:t>（二）竞争风险：巨头入场</w:t>
      </w:r>
    </w:p>
    <w:p>
      <w:pPr>
        <w:spacing w:line="300" w:lineRule="auto"/>
        <w:ind w:firstLine="480" w:firstLineChars="200"/>
      </w:pPr>
      <w:r>
        <w:rPr>
          <w:rFonts w:ascii="宋体" w:hAnsi="宋体" w:eastAsia="宋体"/>
          <w:sz w:val="24"/>
        </w:rPr>
        <w:t>百度、字节跳动等大厂已在布局 AI+教育产品。应对措施：抢占细分赛道先发优势（专注大学课程而非 K12）；通过知识图谱和用户数据构建壁垒；高校渠道深度绑定。</w:t>
      </w:r>
    </w:p>
    <w:p>
      <w:pPr>
        <w:jc w:val="left"/>
        <w:spacing w:line="300" w:lineRule="auto" w:before="120" w:after="60"/>
      </w:pPr>
      <w:r>
        <w:rPr>
          <w:rFonts w:ascii="黑体" w:hAnsi="黑体" w:eastAsia="黑体"/>
          <w:b/>
          <w:sz w:val="24"/>
        </w:rPr>
        <w:t>（三）市场风险：用户付费意愿不足</w:t>
      </w:r>
    </w:p>
    <w:p>
      <w:pPr>
        <w:spacing w:line="300" w:lineRule="auto"/>
        <w:ind w:firstLine="480" w:firstLineChars="200"/>
      </w:pPr>
      <w:r>
        <w:rPr>
          <w:rFonts w:ascii="宋体" w:hAnsi="宋体" w:eastAsia="宋体"/>
          <w:sz w:val="24"/>
        </w:rPr>
        <w:t>大学生群体消费能力有限，C 端付费转化存在不确定性。应对措施：Freemium 模式降低体验门槛；高校合作版（B 端收入）平衡 C 端不确定性；优先切入考研、考公等高付费意愿场景。</w:t>
      </w:r>
    </w:p>
    <w:p>
      <w:pPr>
        <w:jc w:val="left"/>
        <w:spacing w:line="300" w:lineRule="auto" w:before="120" w:after="60"/>
      </w:pPr>
      <w:r>
        <w:rPr>
          <w:rFonts w:ascii="黑体" w:hAnsi="黑体" w:eastAsia="黑体"/>
          <w:b/>
          <w:sz w:val="24"/>
        </w:rPr>
        <w:t>（四）运营风险：用户增长不及预期</w:t>
      </w:r>
    </w:p>
    <w:p>
      <w:pPr>
        <w:spacing w:line="300" w:lineRule="auto"/>
        <w:ind w:firstLine="480" w:firstLineChars="200"/>
      </w:pPr>
      <w:r>
        <w:rPr>
          <w:rFonts w:ascii="宋体" w:hAnsi="宋体" w:eastAsia="宋体"/>
          <w:sz w:val="24"/>
        </w:rPr>
        <w:t>应对措施：以 B2B2C 策略保障初始用户基本盘；通过课程群裂变和学习打卡实现低成本获客；多轮融资保障资金链，适当延长烧钱周期。</w:t>
      </w:r>
    </w:p>
    <w:p>
      <w:pPr>
        <w:jc w:val="left"/>
        <w:spacing w:line="300" w:lineRule="auto" w:before="120" w:after="60"/>
      </w:pPr>
      <w:r>
        <w:rPr>
          <w:rFonts w:ascii="黑体" w:hAnsi="黑体" w:eastAsia="黑体"/>
          <w:b/>
          <w:sz w:val="24"/>
        </w:rPr>
        <w:t>（五）法律与合规风险</w:t>
      </w:r>
    </w:p>
    <w:p>
      <w:pPr>
        <w:spacing w:line="300" w:lineRule="auto"/>
        <w:ind w:firstLine="480" w:firstLineChars="200"/>
      </w:pPr>
      <w:r>
        <w:rPr>
          <w:rFonts w:ascii="宋体" w:hAnsi="宋体" w:eastAsia="宋体"/>
          <w:sz w:val="24"/>
        </w:rPr>
        <w:t>应对措施：严格遵守《网络安全法》《个人信息保护法》《生成式人工智能服务管理暂行办法》；用户数据脱敏处理；建立内容安全审核机制，防止有害内容生成。</w:t>
      </w:r>
    </w:p>
    <w:p>
      <w:r>
        <w:br w:type="page"/>
      </w:r>
    </w:p>
    <w:p>
      <w:pPr>
        <w:jc w:val="left"/>
        <w:spacing w:line="300" w:lineRule="auto" w:before="360" w:after="200"/>
      </w:pPr>
      <w:r>
        <w:rPr>
          <w:rFonts w:ascii="黑体" w:hAnsi="黑体" w:eastAsia="黑体"/>
          <w:b/>
          <w:sz w:val="32"/>
        </w:rPr>
        <w:t>第三章　市场分析</w:t>
      </w:r>
    </w:p>
    <w:p>
      <w:pPr>
        <w:spacing w:line="240" w:lineRule="auto"/>
      </w:pPr>
      <w:r>
        <w:rPr>
          <w:sz w:val="16"/>
        </w:rPr>
      </w:r>
    </w:p>
    <w:p>
      <w:pPr>
        <w:jc w:val="left"/>
        <w:spacing w:line="300" w:lineRule="auto" w:before="240" w:after="120"/>
      </w:pPr>
      <w:r>
        <w:rPr>
          <w:rFonts w:ascii="黑体" w:hAnsi="黑体" w:eastAsia="黑体"/>
          <w:b/>
          <w:sz w:val="28"/>
        </w:rPr>
        <w:t>一、市场介绍</w:t>
      </w:r>
    </w:p>
    <w:p>
      <w:pPr>
        <w:spacing w:line="300" w:lineRule="auto"/>
        <w:ind w:firstLine="480" w:firstLineChars="200"/>
      </w:pPr>
      <w:r>
        <w:rPr>
          <w:rFonts w:ascii="宋体" w:hAnsi="宋体" w:eastAsia="宋体"/>
          <w:sz w:val="24"/>
        </w:rPr>
        <w:t>中国在线教育市场是一个规模庞大且持续高速增长的赛道。据艾瑞咨询和前瞻产业研究院数据，2025 年中国在线教育市场规模已突破 5000 亿元人民币，预计 2028 年将超过 8000 亿元。其中 AI+教育细分领域增速尤为显著，年复合增长率超过 30%。</w:t>
      </w:r>
    </w:p>
    <w:p>
      <w:pPr>
        <w:spacing w:line="300" w:lineRule="auto"/>
        <w:ind w:firstLine="480" w:firstLineChars="200"/>
      </w:pPr>
      <w:r>
        <w:rPr>
          <w:rFonts w:ascii="宋体" w:hAnsi="宋体" w:eastAsia="宋体"/>
          <w:sz w:val="24"/>
        </w:rPr>
        <w:t>在政策层面，教育部持续推动教育数字化转型，《中国教育现代化 2035》明确提出"加快信息化时代教育变革"。国务院《新一代人工智能发展规划》将智能教育列为重点应用场景。2025 年《教育强国建设规划纲要》进一步强调利用人工智能促进个性化学习和教育公平。政策的持续加码为 AI+教育创业提供了有力的宏观支撑。</w:t>
      </w:r>
    </w:p>
    <w:p>
      <w:pPr>
        <w:spacing w:line="300" w:lineRule="auto"/>
        <w:ind w:firstLine="480" w:firstLineChars="200"/>
      </w:pPr>
      <w:r>
        <w:rPr>
          <w:rFonts w:ascii="宋体" w:hAnsi="宋体" w:eastAsia="宋体"/>
          <w:sz w:val="24"/>
        </w:rPr>
        <w:t>在技术层面，2024-2025 年大语言模型（LLM）技术实现质的飞跃，GPT-4o、Claude Opus、DeepSeek-R1 等先进模型在知识问答、逻辑推理、文本理解等能力上已接近甚至超越人类专家水平，为 AI 个性化教育从概念走向产品奠定了坚实的技术基础。</w:t>
      </w:r>
    </w:p>
    <w:p>
      <w:pPr>
        <w:spacing w:line="300" w:lineRule="auto"/>
        <w:ind w:firstLine="480" w:firstLineChars="200"/>
      </w:pPr>
      <w:r>
        <w:rPr>
          <w:rFonts w:ascii="宋体" w:hAnsi="宋体" w:eastAsia="宋体"/>
          <w:sz w:val="24"/>
        </w:rPr>
        <w:t>在市场痛点层面，中国高等教育长期面临三大矛盾：一是优质师资稀缺且分布不均，双一流高校和普通院校师资差距悬殊；二是传统辅导班和一对一家教价格昂贵（动辄数千元/学期），大部分学生无法负担；三是 MOOC 和录播课虽免费或低价，但缺乏互动和个性化指导，平均完课率不足 5%。这些痛点为 AI 驱动的个性化学习解决方案创造了巨大的市场空间。</w:t>
      </w:r>
    </w:p>
    <w:p>
      <w:pPr>
        <w:jc w:val="left"/>
        <w:spacing w:line="300" w:lineRule="auto" w:before="240" w:after="120"/>
      </w:pPr>
      <w:r>
        <w:rPr>
          <w:rFonts w:ascii="黑体" w:hAnsi="黑体" w:eastAsia="黑体"/>
          <w:b/>
          <w:sz w:val="28"/>
        </w:rPr>
        <w:t>二、目标市场</w:t>
      </w:r>
    </w:p>
    <w:p>
      <w:pPr>
        <w:spacing w:line="300" w:lineRule="auto"/>
        <w:ind w:firstLine="480" w:firstLineChars="200"/>
      </w:pPr>
      <w:r>
        <w:rPr>
          <w:rFonts w:ascii="宋体" w:hAnsi="宋体" w:eastAsia="宋体"/>
          <w:sz w:val="24"/>
        </w:rPr>
        <w:t>目标用户画像：在校大学生（含本科和高职高专），全国约 4000 万人。初期聚焦 985/211 及一本高校的理工科学生，约 1500 万人。年龄 18-24 岁，智能手机重度用户，对 AI 工具接受度高。有考试通过、绩点提升、考研备考等明确学习需求。</w:t>
      </w:r>
    </w:p>
    <w:p>
      <w:pPr>
        <w:spacing w:line="240" w:lineRule="auto"/>
      </w:pPr>
      <w:r>
        <w:rPr>
          <w:sz w:val="16"/>
        </w:rPr>
      </w:r>
    </w:p>
    <w:p>
      <w:pPr>
        <w:spacing w:line="300" w:lineRule="auto"/>
      </w:pPr>
      <w:r>
        <w:rPr>
          <w:rFonts w:ascii="宋体" w:hAnsi="宋体" w:eastAsia="宋体"/>
          <w:sz w:val="24"/>
        </w:rPr>
        <w:t>市场规模测算：</w:t>
      </w:r>
    </w:p>
    <w:p>
      <w:pPr>
        <w:spacing w:line="240" w:lineRule="auto"/>
      </w:pPr>
      <w:r>
        <w:rPr>
          <w:sz w:val="16"/>
        </w:rPr>
      </w:r>
    </w:p>
    <w:tbl>
      <w:tblPr>
        <w:tblStyle w:val="TableGrid"/>
        <w:tblW w:type="auto" w:w="0"/>
        <w:tblLook w:firstColumn="1" w:firstRow="1" w:lastColumn="0" w:lastRow="0" w:noHBand="0" w:noVBand="1" w:val="04A0"/>
      </w:tblPr>
      <w:tblGrid>
        <w:gridCol w:w="4819"/>
        <w:gridCol w:w="4819"/>
      </w:tblGrid>
      <w:tr>
        <w:tc>
          <w:tcPr>
            <w:tcW w:type="dxa" w:w="4819"/>
            <w:shd w:fill="D9E2F3"/>
          </w:tcPr>
          <w:p>
            <w:pPr>
              <w:jc w:val="center"/>
              <w:spacing w:line="300" w:lineRule="auto"/>
            </w:pPr>
            <w:r>
              <w:rPr>
                <w:rFonts w:ascii="黑体" w:hAnsi="黑体" w:eastAsia="黑体"/>
                <w:b/>
                <w:sz w:val="20"/>
              </w:rPr>
              <w:t>维度</w:t>
            </w:r>
          </w:p>
        </w:tc>
        <w:tc>
          <w:tcPr>
            <w:tcW w:type="dxa" w:w="4819"/>
            <w:shd w:fill="D9E2F3"/>
          </w:tcPr>
          <w:p>
            <w:pPr>
              <w:jc w:val="center"/>
              <w:spacing w:line="300" w:lineRule="auto"/>
            </w:pPr>
            <w:r>
              <w:rPr>
                <w:rFonts w:ascii="黑体" w:hAnsi="黑体" w:eastAsia="黑体"/>
                <w:b/>
                <w:sz w:val="20"/>
              </w:rPr>
              <w:t>数据</w:t>
            </w:r>
          </w:p>
        </w:tc>
      </w:tr>
      <w:tr>
        <w:tc>
          <w:tcPr>
            <w:tcW w:type="dxa" w:w="4819"/>
          </w:tcPr>
          <w:p>
            <w:pPr>
              <w:jc w:val="center"/>
              <w:spacing w:line="300" w:lineRule="auto"/>
            </w:pPr>
            <w:r>
              <w:rPr>
                <w:rFonts w:ascii="宋体" w:hAnsi="宋体" w:eastAsia="宋体"/>
                <w:sz w:val="20"/>
              </w:rPr>
              <w:t>中国高等教育在校生</w:t>
            </w:r>
          </w:p>
        </w:tc>
        <w:tc>
          <w:tcPr>
            <w:tcW w:type="dxa" w:w="4819"/>
          </w:tcPr>
          <w:p>
            <w:pPr>
              <w:jc w:val="center"/>
              <w:spacing w:line="300" w:lineRule="auto"/>
            </w:pPr>
            <w:r>
              <w:rPr>
                <w:rFonts w:ascii="宋体" w:hAnsi="宋体" w:eastAsia="宋体"/>
                <w:sz w:val="20"/>
              </w:rPr>
              <w:t>4000 万+</w:t>
            </w:r>
          </w:p>
        </w:tc>
      </w:tr>
      <w:tr>
        <w:tc>
          <w:tcPr>
            <w:tcW w:type="dxa" w:w="4819"/>
          </w:tcPr>
          <w:p>
            <w:pPr>
              <w:jc w:val="center"/>
              <w:spacing w:line="300" w:lineRule="auto"/>
            </w:pPr>
            <w:r>
              <w:rPr>
                <w:rFonts w:ascii="宋体" w:hAnsi="宋体" w:eastAsia="宋体"/>
                <w:sz w:val="20"/>
              </w:rPr>
              <w:t>理工科在校生</w:t>
            </w:r>
          </w:p>
        </w:tc>
        <w:tc>
          <w:tcPr>
            <w:tcW w:type="dxa" w:w="4819"/>
          </w:tcPr>
          <w:p>
            <w:pPr>
              <w:jc w:val="center"/>
              <w:spacing w:line="300" w:lineRule="auto"/>
            </w:pPr>
            <w:r>
              <w:rPr>
                <w:rFonts w:ascii="宋体" w:hAnsi="宋体" w:eastAsia="宋体"/>
                <w:sz w:val="20"/>
              </w:rPr>
              <w:t>约 1500 万</w:t>
            </w:r>
          </w:p>
        </w:tc>
      </w:tr>
      <w:tr>
        <w:tc>
          <w:tcPr>
            <w:tcW w:type="dxa" w:w="4819"/>
          </w:tcPr>
          <w:p>
            <w:pPr>
              <w:jc w:val="center"/>
              <w:spacing w:line="300" w:lineRule="auto"/>
            </w:pPr>
            <w:r>
              <w:rPr>
                <w:rFonts w:ascii="宋体" w:hAnsi="宋体" w:eastAsia="宋体"/>
                <w:sz w:val="20"/>
              </w:rPr>
              <w:t>目标渗透率（Year 3）</w:t>
            </w:r>
          </w:p>
        </w:tc>
        <w:tc>
          <w:tcPr>
            <w:tcW w:type="dxa" w:w="4819"/>
          </w:tcPr>
          <w:p>
            <w:pPr>
              <w:jc w:val="center"/>
              <w:spacing w:line="300" w:lineRule="auto"/>
            </w:pPr>
            <w:r>
              <w:rPr>
                <w:rFonts w:ascii="宋体" w:hAnsi="宋体" w:eastAsia="宋体"/>
                <w:sz w:val="20"/>
              </w:rPr>
              <w:t>20%（300 万）</w:t>
            </w:r>
          </w:p>
        </w:tc>
      </w:tr>
      <w:tr>
        <w:tc>
          <w:tcPr>
            <w:tcW w:type="dxa" w:w="4819"/>
          </w:tcPr>
          <w:p>
            <w:pPr>
              <w:jc w:val="center"/>
              <w:spacing w:line="300" w:lineRule="auto"/>
            </w:pPr>
            <w:r>
              <w:rPr>
                <w:rFonts w:ascii="宋体" w:hAnsi="宋体" w:eastAsia="宋体"/>
                <w:sz w:val="20"/>
              </w:rPr>
              <w:t>付费转化率</w:t>
            </w:r>
          </w:p>
        </w:tc>
        <w:tc>
          <w:tcPr>
            <w:tcW w:type="dxa" w:w="4819"/>
          </w:tcPr>
          <w:p>
            <w:pPr>
              <w:jc w:val="center"/>
              <w:spacing w:line="300" w:lineRule="auto"/>
            </w:pPr>
            <w:r>
              <w:rPr>
                <w:rFonts w:ascii="宋体" w:hAnsi="宋体" w:eastAsia="宋体"/>
                <w:sz w:val="20"/>
              </w:rPr>
              <w:t>15%（45 万）</w:t>
            </w:r>
          </w:p>
        </w:tc>
      </w:tr>
      <w:tr>
        <w:tc>
          <w:tcPr>
            <w:tcW w:type="dxa" w:w="4819"/>
          </w:tcPr>
          <w:p>
            <w:pPr>
              <w:jc w:val="center"/>
              <w:spacing w:line="300" w:lineRule="auto"/>
            </w:pPr>
            <w:r>
              <w:rPr>
                <w:rFonts w:ascii="宋体" w:hAnsi="宋体" w:eastAsia="宋体"/>
                <w:sz w:val="20"/>
              </w:rPr>
              <w:t>ARPU（年）</w:t>
            </w:r>
          </w:p>
        </w:tc>
        <w:tc>
          <w:tcPr>
            <w:tcW w:type="dxa" w:w="4819"/>
          </w:tcPr>
          <w:p>
            <w:pPr>
              <w:jc w:val="center"/>
              <w:spacing w:line="300" w:lineRule="auto"/>
            </w:pPr>
            <w:r>
              <w:rPr>
                <w:rFonts w:ascii="宋体" w:hAnsi="宋体" w:eastAsia="宋体"/>
                <w:sz w:val="20"/>
              </w:rPr>
              <w:t>299 元（Pro 订阅）</w:t>
            </w:r>
          </w:p>
        </w:tc>
      </w:tr>
      <w:tr>
        <w:tc>
          <w:tcPr>
            <w:tcW w:type="dxa" w:w="4819"/>
          </w:tcPr>
          <w:p>
            <w:pPr>
              <w:jc w:val="center"/>
              <w:spacing w:line="300" w:lineRule="auto"/>
            </w:pPr>
            <w:r>
              <w:rPr>
                <w:rFonts w:ascii="宋体" w:hAnsi="宋体" w:eastAsia="宋体"/>
                <w:sz w:val="20"/>
              </w:rPr>
              <w:t>C 端年收入潜力</w:t>
            </w:r>
          </w:p>
        </w:tc>
        <w:tc>
          <w:tcPr>
            <w:tcW w:type="dxa" w:w="4819"/>
          </w:tcPr>
          <w:p>
            <w:pPr>
              <w:jc w:val="center"/>
              <w:spacing w:line="300" w:lineRule="auto"/>
            </w:pPr>
            <w:r>
              <w:rPr>
                <w:rFonts w:ascii="宋体" w:hAnsi="宋体" w:eastAsia="宋体"/>
                <w:sz w:val="20"/>
              </w:rPr>
              <w:t>约 1.35 亿元</w:t>
            </w:r>
          </w:p>
        </w:tc>
      </w:tr>
      <w:tr>
        <w:tc>
          <w:tcPr>
            <w:tcW w:type="dxa" w:w="4819"/>
          </w:tcPr>
          <w:p>
            <w:pPr>
              <w:spacing w:line="300" w:lineRule="auto"/>
            </w:pPr>
            <w:r>
              <w:rPr>
                <w:rFonts w:ascii="宋体" w:hAnsi="宋体" w:eastAsia="宋体"/>
                <w:sz w:val="20"/>
              </w:rPr>
              <w:t>B 端高校合作收入（100 所 × 70 万）</w:t>
            </w:r>
          </w:p>
        </w:tc>
        <w:tc>
          <w:tcPr>
            <w:tcW w:type="dxa" w:w="4819"/>
          </w:tcPr>
          <w:p>
            <w:pPr>
              <w:jc w:val="center"/>
              <w:spacing w:line="300" w:lineRule="auto"/>
            </w:pPr>
            <w:r>
              <w:rPr>
                <w:rFonts w:ascii="宋体" w:hAnsi="宋体" w:eastAsia="宋体"/>
                <w:sz w:val="20"/>
              </w:rPr>
              <w:t>约 7000 万元</w:t>
            </w:r>
          </w:p>
        </w:tc>
      </w:tr>
      <w:tr>
        <w:tc>
          <w:tcPr>
            <w:tcW w:type="dxa" w:w="4819"/>
          </w:tcPr>
          <w:p>
            <w:pPr>
              <w:jc w:val="center"/>
              <w:spacing w:line="300" w:lineRule="auto"/>
            </w:pPr>
            <w:r>
              <w:rPr>
                <w:rFonts w:ascii="宋体" w:hAnsi="宋体" w:eastAsia="宋体"/>
                <w:sz w:val="20"/>
              </w:rPr>
              <w:t>合计年收入潜力</w:t>
            </w:r>
          </w:p>
        </w:tc>
        <w:tc>
          <w:tcPr>
            <w:tcW w:type="dxa" w:w="4819"/>
          </w:tcPr>
          <w:p>
            <w:pPr>
              <w:jc w:val="center"/>
              <w:spacing w:line="300" w:lineRule="auto"/>
            </w:pPr>
            <w:r>
              <w:rPr>
                <w:rFonts w:ascii="宋体" w:hAnsi="宋体" w:eastAsia="宋体"/>
                <w:sz w:val="20"/>
              </w:rPr>
              <w:t>约 2 亿元</w:t>
            </w:r>
          </w:p>
        </w:tc>
      </w:tr>
    </w:tbl>
    <w:p>
      <w:pPr>
        <w:spacing w:line="240" w:lineRule="auto"/>
      </w:pPr>
      <w:r>
        <w:rPr>
          <w:sz w:val="16"/>
        </w:rPr>
      </w:r>
    </w:p>
    <w:p>
      <w:pPr>
        <w:spacing w:line="300" w:lineRule="auto"/>
        <w:ind w:firstLine="480" w:firstLineChars="200"/>
      </w:pPr>
      <w:r>
        <w:rPr>
          <w:rFonts w:ascii="宋体" w:hAnsi="宋体" w:eastAsia="宋体"/>
          <w:sz w:val="24"/>
        </w:rPr>
        <w:t>市场增长驱动因素：大模型推理成本持续下降，AI 产品边际成本不断降低；大学生对 AI 工具的使用习惯已在 2024-2025 年快速养成（ChatGPT/Kimi/豆包等普及）；高校教学改革对数字化工具的采购意愿和预算逐年增加。</w:t>
      </w:r>
    </w:p>
    <w:p>
      <w:pPr>
        <w:jc w:val="left"/>
        <w:spacing w:line="300" w:lineRule="auto" w:before="240" w:after="120"/>
      </w:pPr>
      <w:r>
        <w:rPr>
          <w:rFonts w:ascii="黑体" w:hAnsi="黑体" w:eastAsia="黑体"/>
          <w:b/>
          <w:sz w:val="28"/>
        </w:rPr>
        <w:t>三、顾客购买准则</w:t>
      </w:r>
    </w:p>
    <w:p>
      <w:pPr>
        <w:spacing w:line="300" w:lineRule="auto"/>
        <w:ind w:firstLine="480" w:firstLineChars="200"/>
      </w:pPr>
      <w:r>
        <w:rPr>
          <w:rFonts w:ascii="宋体" w:hAnsi="宋体" w:eastAsia="宋体"/>
          <w:sz w:val="24"/>
        </w:rPr>
        <w:t>大学生的教育产品消费决策具有以下特征：免费优先——愿意先试用免费版本，体验后再决定是否付费；口碑驱动——高度依赖同学推荐、课程群讨论和社交媒体种草（B 站、小红书等）；效果导向——付费的核心驱动力是"能帮我通过考试""能让我学懂这门课"；价格敏感——月付 30 元以内是可接受的心理价位，超过 50 元会大幅降低转化率；便利性——手机端操作方便、随时随地可用是刚需。</w:t>
      </w:r>
    </w:p>
    <w:p>
      <w:pPr>
        <w:spacing w:line="300" w:lineRule="auto"/>
        <w:ind w:firstLine="480" w:firstLineChars="200"/>
      </w:pPr>
      <w:r>
        <w:rPr>
          <w:rFonts w:ascii="宋体" w:hAnsi="宋体" w:eastAsia="宋体"/>
          <w:sz w:val="24"/>
        </w:rPr>
        <w:t>针对以上特征，智学派采用"免费试用 → 深度转化 → 社群裂变"的漏斗模型，以产品力驱动自然增长。</w:t>
      </w:r>
    </w:p>
    <w:p>
      <w:pPr>
        <w:jc w:val="left"/>
        <w:spacing w:line="300" w:lineRule="auto" w:before="240" w:after="120"/>
      </w:pPr>
      <w:r>
        <w:rPr>
          <w:rFonts w:ascii="黑体" w:hAnsi="黑体" w:eastAsia="黑体"/>
          <w:b/>
          <w:sz w:val="28"/>
        </w:rPr>
        <w:t>四、销售策略</w:t>
      </w:r>
    </w:p>
    <w:p>
      <w:pPr>
        <w:spacing w:line="300" w:lineRule="auto"/>
        <w:ind w:firstLine="480" w:firstLineChars="200"/>
      </w:pPr>
      <w:r>
        <w:rPr>
          <w:rFonts w:ascii="宋体" w:hAnsi="宋体" w:eastAsia="宋体"/>
          <w:sz w:val="24"/>
        </w:rPr>
        <w:t>C 端销售：基础功能永久免费，每日 5 次 AI 答疑 + 基础学习路径生成；Pro 版 29.9 元/月（无限答疑 + 深度诊断 + 课件解析），年卡 199 元；新用户首月 Pro 体验价 9.9 元；3 人拼团享 8 折，刺激裂变传播。</w:t>
      </w:r>
    </w:p>
    <w:p>
      <w:pPr>
        <w:spacing w:line="300" w:lineRule="auto"/>
        <w:ind w:firstLine="480" w:firstLineChars="200"/>
      </w:pPr>
      <w:r>
        <w:rPr>
          <w:rFonts w:ascii="宋体" w:hAnsi="宋体" w:eastAsia="宋体"/>
          <w:sz w:val="24"/>
        </w:rPr>
        <w:t>B 端销售：高校合作版 50-100 万/年，含全校学生账号 + 教学管理面板 + API 对接；与高校信息化建设预算对接，走学校采购流程；先从院系试点（10-20 万/年），验证效果后推广至全校。</w:t>
      </w:r>
    </w:p>
    <w:p>
      <w:pPr>
        <w:spacing w:line="300" w:lineRule="auto"/>
        <w:ind w:firstLine="480" w:firstLineChars="200"/>
      </w:pPr>
      <w:r>
        <w:rPr>
          <w:rFonts w:ascii="宋体" w:hAnsi="宋体" w:eastAsia="宋体"/>
          <w:sz w:val="24"/>
        </w:rPr>
        <w:t>销售渠道包括：应用商店（App Store、各大安卓市场）；高校课程群、学习交流群（课程群精准触达）；B 站/小红书/抖音 KOL 合作种草；校园代理/校园大使推广体系。</w:t>
      </w:r>
    </w:p>
    <w:p>
      <w:pPr>
        <w:jc w:val="left"/>
        <w:spacing w:line="300" w:lineRule="auto" w:before="240" w:after="120"/>
      </w:pPr>
      <w:r>
        <w:rPr>
          <w:rFonts w:ascii="黑体" w:hAnsi="黑体" w:eastAsia="黑体"/>
          <w:b/>
          <w:sz w:val="28"/>
        </w:rPr>
        <w:t>五、市场渗透与增长</w:t>
      </w:r>
    </w:p>
    <w:p>
      <w:pPr>
        <w:spacing w:line="300" w:lineRule="auto"/>
        <w:ind w:firstLine="480" w:firstLineChars="200"/>
      </w:pPr>
      <w:r>
        <w:rPr>
          <w:rFonts w:ascii="宋体" w:hAnsi="宋体" w:eastAsia="宋体"/>
          <w:sz w:val="24"/>
        </w:rPr>
        <w:t>Year 1（种子期）：覆盖 50 所高校，累计注册用户 5 万人，Pro 订阅用户 3000-5000 人，B 端合作 5-10 所。重点打磨产品体验，验证 PMF（产品市场契合度）。</w:t>
      </w:r>
    </w:p>
    <w:p>
      <w:pPr>
        <w:spacing w:line="300" w:lineRule="auto"/>
        <w:ind w:firstLine="480" w:firstLineChars="200"/>
      </w:pPr>
      <w:r>
        <w:rPr>
          <w:rFonts w:ascii="宋体" w:hAnsi="宋体" w:eastAsia="宋体"/>
          <w:sz w:val="24"/>
        </w:rPr>
        <w:t>Year 2（增长期）：覆盖 300 所高校，累计注册用户 50 万人，Pro 订阅用户 3-5 万人，B 端合作 50 所。启动校园大使体系和内容营销矩阵，实现规模化增长。</w:t>
      </w:r>
    </w:p>
    <w:p>
      <w:pPr>
        <w:spacing w:line="300" w:lineRule="auto"/>
        <w:ind w:firstLine="480" w:firstLineChars="200"/>
      </w:pPr>
      <w:r>
        <w:rPr>
          <w:rFonts w:ascii="宋体" w:hAnsi="宋体" w:eastAsia="宋体"/>
          <w:sz w:val="24"/>
        </w:rPr>
        <w:t>Year 3（扩张期）：覆盖 1000 所高校，累计注册用户 300 万人，Pro 订阅用户 20-30 万人，B 端合作 100 所。启动考研/考公/考证等增值业务，探索第二增长曲线。</w:t>
      </w:r>
    </w:p>
    <w:p>
      <w:r>
        <w:br w:type="page"/>
      </w:r>
    </w:p>
    <w:p>
      <w:pPr>
        <w:jc w:val="left"/>
        <w:spacing w:line="300" w:lineRule="auto" w:before="360" w:after="200"/>
      </w:pPr>
      <w:r>
        <w:rPr>
          <w:rFonts w:ascii="黑体" w:hAnsi="黑体" w:eastAsia="黑体"/>
          <w:b/>
          <w:sz w:val="32"/>
        </w:rPr>
        <w:t>第四章　竞争分析</w:t>
      </w:r>
    </w:p>
    <w:p>
      <w:pPr>
        <w:spacing w:line="240" w:lineRule="auto"/>
      </w:pPr>
      <w:r>
        <w:rPr>
          <w:sz w:val="16"/>
        </w:rPr>
      </w:r>
    </w:p>
    <w:p>
      <w:pPr>
        <w:spacing w:line="300" w:lineRule="auto"/>
        <w:ind w:firstLine="480" w:firstLineChars="200"/>
      </w:pPr>
      <w:r>
        <w:rPr>
          <w:rFonts w:ascii="宋体" w:hAnsi="宋体" w:eastAsia="宋体"/>
          <w:sz w:val="24"/>
        </w:rPr>
        <w:t>当前 AI+教育赛道竞争可分为四个层级：</w:t>
      </w:r>
    </w:p>
    <w:p>
      <w:pPr>
        <w:spacing w:line="300" w:lineRule="auto"/>
        <w:ind w:firstLine="480" w:firstLineChars="200"/>
      </w:pPr>
      <w:r>
        <w:rPr>
          <w:rFonts w:ascii="宋体" w:hAnsi="宋体" w:eastAsia="宋体"/>
          <w:sz w:val="24"/>
        </w:rPr>
        <w:t>第一层——通用 AI 对话工具：代表产品包括 ChatGPT、Kimi、豆包、通义千问。优势在于品牌知名度高、基础能力强大、用户基数庞大；劣势在于不懂具体课程内容、产生幻觉、无学习路径规划、无知识诊断。这类产品是用户的"基础替代品"，但无法满足深度学习需求，类似于"计算器 vs 数学老师"的关系。</w:t>
      </w:r>
    </w:p>
    <w:p>
      <w:pPr>
        <w:spacing w:line="300" w:lineRule="auto"/>
        <w:ind w:firstLine="480" w:firstLineChars="200"/>
      </w:pPr>
      <w:r>
        <w:rPr>
          <w:rFonts w:ascii="宋体" w:hAnsi="宋体" w:eastAsia="宋体"/>
          <w:sz w:val="24"/>
        </w:rPr>
        <w:t>第二层——传统在线教育平台：代表产品包括超星学习通、智慧树、中国大学 MOOC。优势在于高校渠道深厚、课程资源丰富、已被学校强制使用；劣势在于产品体验老旧、无 AI 能力、学生被动使用而非主动使用、完课率极低。这类平台渠道强势但产品弱势，是智学派 B2B2C 谈判中的对标替代对象。</w:t>
      </w:r>
    </w:p>
    <w:p>
      <w:pPr>
        <w:spacing w:line="300" w:lineRule="auto"/>
        <w:ind w:firstLine="480" w:firstLineChars="200"/>
      </w:pPr>
      <w:r>
        <w:rPr>
          <w:rFonts w:ascii="宋体" w:hAnsi="宋体" w:eastAsia="宋体"/>
          <w:sz w:val="24"/>
        </w:rPr>
        <w:t>第三层——搜题/题库工具：代表产品包括作业帮、学小易、考途。优势在于题库积累深厚、用户习惯养成；劣势在于给学生的是"答案"而非"学会"、高校层面被抵制、缺乏 AI 个性化能力。这类产品在搜题场景有竞争，但智学派的核心价值是"帮你学会"而非"给你答案"。</w:t>
      </w:r>
    </w:p>
    <w:p>
      <w:pPr>
        <w:spacing w:line="300" w:lineRule="auto"/>
        <w:ind w:firstLine="480" w:firstLineChars="200"/>
      </w:pPr>
      <w:r>
        <w:rPr>
          <w:rFonts w:ascii="宋体" w:hAnsi="宋体" w:eastAsia="宋体"/>
          <w:sz w:val="24"/>
        </w:rPr>
        <w:t>第四层——新兴 AI+教育创业公司：代表产品包括学而思九章大模型、网易有道 AI、好未来 MathGPT。优势在于教育行业积累深、品牌信任度高；劣势在于多为 K12 方向，高校市场覆盖不足，大厂体制创新速度受限。这类公司是最直接的潜在竞争者，但目前主战场在 K12，与我们在高校赛道形成错位竞争。</w:t>
      </w:r>
    </w:p>
    <w:p>
      <w:pPr>
        <w:spacing w:line="240" w:lineRule="auto"/>
      </w:pPr>
      <w:r>
        <w:rPr>
          <w:sz w:val="16"/>
        </w:rPr>
      </w:r>
    </w:p>
    <w:p>
      <w:pPr>
        <w:spacing w:line="300" w:lineRule="auto"/>
      </w:pPr>
      <w:r>
        <w:rPr>
          <w:rFonts w:ascii="宋体" w:hAnsi="宋体" w:eastAsia="宋体"/>
          <w:sz w:val="24"/>
        </w:rPr>
        <w:t>我们的竞争优势：</w:t>
      </w:r>
    </w:p>
    <w:p>
      <w:pPr>
        <w:spacing w:line="300" w:lineRule="auto"/>
        <w:ind w:firstLine="480" w:firstLineChars="200"/>
      </w:pPr>
      <w:r>
        <w:rPr>
          <w:rFonts w:ascii="宋体" w:hAnsi="宋体" w:eastAsia="宋体"/>
          <w:sz w:val="24"/>
        </w:rPr>
        <w:t>课程级知识图谱壁垒：自建 30+ 门核心课程的高细粒度知识图谱，非通用大模型训练数据可覆盖，复刻成本高。</w:t>
      </w:r>
    </w:p>
    <w:p>
      <w:pPr>
        <w:spacing w:line="300" w:lineRule="auto"/>
        <w:ind w:firstLine="480" w:firstLineChars="200"/>
      </w:pPr>
      <w:r>
        <w:rPr>
          <w:rFonts w:ascii="宋体" w:hAnsi="宋体" w:eastAsia="宋体"/>
          <w:sz w:val="24"/>
        </w:rPr>
        <w:t>先发优势：率先聚焦大学课程 AI 学习这一细分赛道，抢占用户心智。</w:t>
      </w:r>
    </w:p>
    <w:p>
      <w:pPr>
        <w:spacing w:line="300" w:lineRule="auto"/>
        <w:ind w:firstLine="480" w:firstLineChars="200"/>
      </w:pPr>
      <w:r>
        <w:rPr>
          <w:rFonts w:ascii="宋体" w:hAnsi="宋体" w:eastAsia="宋体"/>
          <w:sz w:val="24"/>
        </w:rPr>
        <w:t>数据飞轮：用户规模增长带来专属学习行为数据，模型越用越准，形成正向循环。</w:t>
      </w:r>
    </w:p>
    <w:p>
      <w:pPr>
        <w:spacing w:line="300" w:lineRule="auto"/>
        <w:ind w:firstLine="480" w:firstLineChars="200"/>
      </w:pPr>
      <w:r>
        <w:rPr>
          <w:rFonts w:ascii="宋体" w:hAnsi="宋体" w:eastAsia="宋体"/>
          <w:sz w:val="24"/>
        </w:rPr>
        <w:t>双引擎模式：C 端付费 + B 端高校合作，收入结构稳健，不至于因 C 端增长不及预期而崩盘。</w:t>
      </w:r>
    </w:p>
    <w:p>
      <w:pPr>
        <w:spacing w:line="300" w:lineRule="auto"/>
        <w:ind w:firstLine="480" w:firstLineChars="200"/>
      </w:pPr>
      <w:r>
        <w:rPr>
          <w:rFonts w:ascii="宋体" w:hAnsi="宋体" w:eastAsia="宋体"/>
          <w:sz w:val="24"/>
        </w:rPr>
        <w:t>团队灵活度：小团队决策快、迭代快，能与用户保持最近距离。</w:t>
      </w:r>
    </w:p>
    <w:p>
      <w:pPr>
        <w:spacing w:line="240" w:lineRule="auto"/>
      </w:pPr>
      <w:r>
        <w:rPr>
          <w:sz w:val="16"/>
        </w:rPr>
      </w:r>
    </w:p>
    <w:p>
      <w:pPr>
        <w:spacing w:line="300" w:lineRule="auto"/>
      </w:pPr>
      <w:r>
        <w:rPr>
          <w:rFonts w:ascii="宋体" w:hAnsi="宋体" w:eastAsia="宋体"/>
          <w:sz w:val="24"/>
        </w:rPr>
        <w:t>竞品详细对比：</w:t>
      </w:r>
    </w:p>
    <w:p>
      <w:pPr>
        <w:spacing w:line="240" w:lineRule="auto"/>
      </w:pPr>
      <w:r>
        <w:rPr>
          <w:sz w:val="16"/>
        </w:rPr>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fill="D9E2F3"/>
          </w:tcPr>
          <w:p>
            <w:pPr>
              <w:jc w:val="center"/>
              <w:spacing w:line="300" w:lineRule="auto"/>
            </w:pPr>
            <w:r>
              <w:rPr>
                <w:rFonts w:ascii="黑体" w:hAnsi="黑体" w:eastAsia="黑体"/>
                <w:b/>
                <w:sz w:val="20"/>
              </w:rPr>
              <w:t>维度</w:t>
            </w:r>
          </w:p>
        </w:tc>
        <w:tc>
          <w:tcPr>
            <w:tcW w:type="dxa" w:w="1606"/>
            <w:shd w:fill="D9E2F3"/>
          </w:tcPr>
          <w:p>
            <w:pPr>
              <w:jc w:val="center"/>
              <w:spacing w:line="300" w:lineRule="auto"/>
            </w:pPr>
            <w:r>
              <w:rPr>
                <w:rFonts w:ascii="黑体" w:hAnsi="黑体" w:eastAsia="黑体"/>
                <w:b/>
                <w:sz w:val="20"/>
              </w:rPr>
              <w:t>智学派</w:t>
            </w:r>
          </w:p>
        </w:tc>
        <w:tc>
          <w:tcPr>
            <w:tcW w:type="dxa" w:w="1606"/>
            <w:shd w:fill="D9E2F3"/>
          </w:tcPr>
          <w:p>
            <w:pPr>
              <w:jc w:val="center"/>
              <w:spacing w:line="300" w:lineRule="auto"/>
            </w:pPr>
            <w:r>
              <w:rPr>
                <w:rFonts w:ascii="黑体" w:hAnsi="黑体" w:eastAsia="黑体"/>
                <w:b/>
                <w:sz w:val="20"/>
              </w:rPr>
              <w:t>ChatGPT</w:t>
            </w:r>
          </w:p>
        </w:tc>
        <w:tc>
          <w:tcPr>
            <w:tcW w:type="dxa" w:w="1606"/>
            <w:shd w:fill="D9E2F3"/>
          </w:tcPr>
          <w:p>
            <w:pPr>
              <w:jc w:val="center"/>
              <w:spacing w:line="300" w:lineRule="auto"/>
            </w:pPr>
            <w:r>
              <w:rPr>
                <w:rFonts w:ascii="黑体" w:hAnsi="黑体" w:eastAsia="黑体"/>
                <w:b/>
                <w:sz w:val="20"/>
              </w:rPr>
              <w:t>超星学习通</w:t>
            </w:r>
          </w:p>
        </w:tc>
        <w:tc>
          <w:tcPr>
            <w:tcW w:type="dxa" w:w="1606"/>
            <w:shd w:fill="D9E2F3"/>
          </w:tcPr>
          <w:p>
            <w:pPr>
              <w:jc w:val="center"/>
              <w:spacing w:line="300" w:lineRule="auto"/>
            </w:pPr>
            <w:r>
              <w:rPr>
                <w:rFonts w:ascii="黑体" w:hAnsi="黑体" w:eastAsia="黑体"/>
                <w:b/>
                <w:sz w:val="20"/>
              </w:rPr>
              <w:t>作业帮</w:t>
            </w:r>
          </w:p>
        </w:tc>
        <w:tc>
          <w:tcPr>
            <w:tcW w:type="dxa" w:w="1606"/>
            <w:shd w:fill="D9E2F3"/>
          </w:tcPr>
          <w:p>
            <w:pPr>
              <w:jc w:val="center"/>
              <w:spacing w:line="300" w:lineRule="auto"/>
            </w:pPr>
            <w:r>
              <w:rPr>
                <w:rFonts w:ascii="黑体" w:hAnsi="黑体" w:eastAsia="黑体"/>
                <w:b/>
                <w:sz w:val="20"/>
              </w:rPr>
              <w:t>学而思九章</w:t>
            </w:r>
          </w:p>
        </w:tc>
      </w:tr>
      <w:tr>
        <w:tc>
          <w:tcPr>
            <w:tcW w:type="dxa" w:w="1606"/>
          </w:tcPr>
          <w:p>
            <w:pPr>
              <w:jc w:val="center"/>
              <w:spacing w:line="300" w:lineRule="auto"/>
            </w:pPr>
            <w:r>
              <w:rPr>
                <w:rFonts w:ascii="宋体" w:hAnsi="宋体" w:eastAsia="宋体"/>
                <w:sz w:val="20"/>
              </w:rPr>
              <w:t>目标用户</w:t>
            </w:r>
          </w:p>
        </w:tc>
        <w:tc>
          <w:tcPr>
            <w:tcW w:type="dxa" w:w="1606"/>
          </w:tcPr>
          <w:p>
            <w:pPr>
              <w:jc w:val="center"/>
              <w:spacing w:line="300" w:lineRule="auto"/>
            </w:pPr>
            <w:r>
              <w:rPr>
                <w:rFonts w:ascii="宋体" w:hAnsi="宋体" w:eastAsia="宋体"/>
                <w:sz w:val="20"/>
              </w:rPr>
              <w:t>大学生</w:t>
            </w:r>
          </w:p>
        </w:tc>
        <w:tc>
          <w:tcPr>
            <w:tcW w:type="dxa" w:w="1606"/>
          </w:tcPr>
          <w:p>
            <w:pPr>
              <w:jc w:val="center"/>
              <w:spacing w:line="300" w:lineRule="auto"/>
            </w:pPr>
            <w:r>
              <w:rPr>
                <w:rFonts w:ascii="宋体" w:hAnsi="宋体" w:eastAsia="宋体"/>
                <w:sz w:val="20"/>
              </w:rPr>
              <w:t>全人群</w:t>
            </w:r>
          </w:p>
        </w:tc>
        <w:tc>
          <w:tcPr>
            <w:tcW w:type="dxa" w:w="1606"/>
          </w:tcPr>
          <w:p>
            <w:pPr>
              <w:jc w:val="center"/>
              <w:spacing w:line="300" w:lineRule="auto"/>
            </w:pPr>
            <w:r>
              <w:rPr>
                <w:rFonts w:ascii="宋体" w:hAnsi="宋体" w:eastAsia="宋体"/>
                <w:sz w:val="20"/>
              </w:rPr>
              <w:t>大学生</w:t>
            </w:r>
          </w:p>
        </w:tc>
        <w:tc>
          <w:tcPr>
            <w:tcW w:type="dxa" w:w="1606"/>
          </w:tcPr>
          <w:p>
            <w:pPr>
              <w:jc w:val="center"/>
              <w:spacing w:line="300" w:lineRule="auto"/>
            </w:pPr>
            <w:r>
              <w:rPr>
                <w:rFonts w:ascii="宋体" w:hAnsi="宋体" w:eastAsia="宋体"/>
                <w:sz w:val="20"/>
              </w:rPr>
              <w:t>K12+大学</w:t>
            </w:r>
          </w:p>
        </w:tc>
        <w:tc>
          <w:tcPr>
            <w:tcW w:type="dxa" w:w="1606"/>
          </w:tcPr>
          <w:p>
            <w:pPr>
              <w:jc w:val="center"/>
              <w:spacing w:line="300" w:lineRule="auto"/>
            </w:pPr>
            <w:r>
              <w:rPr>
                <w:rFonts w:ascii="宋体" w:hAnsi="宋体" w:eastAsia="宋体"/>
                <w:sz w:val="20"/>
              </w:rPr>
              <w:t>K12</w:t>
            </w:r>
          </w:p>
        </w:tc>
      </w:tr>
      <w:tr>
        <w:tc>
          <w:tcPr>
            <w:tcW w:type="dxa" w:w="1606"/>
          </w:tcPr>
          <w:p>
            <w:pPr>
              <w:jc w:val="center"/>
              <w:spacing w:line="300" w:lineRule="auto"/>
            </w:pPr>
            <w:r>
              <w:rPr>
                <w:rFonts w:ascii="宋体" w:hAnsi="宋体" w:eastAsia="宋体"/>
                <w:sz w:val="20"/>
              </w:rPr>
              <w:t>AI 个性化</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部分</w:t>
            </w:r>
          </w:p>
        </w:tc>
        <w:tc>
          <w:tcPr>
            <w:tcW w:type="dxa" w:w="1606"/>
          </w:tcPr>
          <w:p>
            <w:pPr>
              <w:jc w:val="center"/>
              <w:spacing w:line="300" w:lineRule="auto"/>
            </w:pPr>
            <w:r>
              <w:rPr>
                <w:rFonts w:ascii="宋体" w:hAnsi="宋体" w:eastAsia="宋体"/>
                <w:sz w:val="20"/>
              </w:rPr>
              <w:t>✓</w:t>
            </w:r>
          </w:p>
        </w:tc>
      </w:tr>
      <w:tr>
        <w:tc>
          <w:tcPr>
            <w:tcW w:type="dxa" w:w="1606"/>
          </w:tcPr>
          <w:p>
            <w:pPr>
              <w:jc w:val="center"/>
              <w:spacing w:line="300" w:lineRule="auto"/>
            </w:pPr>
            <w:r>
              <w:rPr>
                <w:rFonts w:ascii="宋体" w:hAnsi="宋体" w:eastAsia="宋体"/>
                <w:sz w:val="20"/>
              </w:rPr>
              <w:t>课程知识图谱</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✓（K12）</w:t>
            </w:r>
          </w:p>
        </w:tc>
      </w:tr>
      <w:tr>
        <w:tc>
          <w:tcPr>
            <w:tcW w:type="dxa" w:w="1606"/>
          </w:tcPr>
          <w:p>
            <w:pPr>
              <w:jc w:val="center"/>
              <w:spacing w:line="300" w:lineRule="auto"/>
            </w:pPr>
            <w:r>
              <w:rPr>
                <w:rFonts w:ascii="宋体" w:hAnsi="宋体" w:eastAsia="宋体"/>
                <w:sz w:val="20"/>
              </w:rPr>
              <w:t>学习路径规划</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部分</w:t>
            </w:r>
          </w:p>
        </w:tc>
      </w:tr>
      <w:tr>
        <w:tc>
          <w:tcPr>
            <w:tcW w:type="dxa" w:w="1606"/>
          </w:tcPr>
          <w:p>
            <w:pPr>
              <w:jc w:val="center"/>
              <w:spacing w:line="300" w:lineRule="auto"/>
            </w:pPr>
            <w:r>
              <w:rPr>
                <w:rFonts w:ascii="宋体" w:hAnsi="宋体" w:eastAsia="宋体"/>
                <w:sz w:val="20"/>
              </w:rPr>
              <w:t>知识点诊断</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r>
      <w:tr>
        <w:tc>
          <w:tcPr>
            <w:tcW w:type="dxa" w:w="1606"/>
          </w:tcPr>
          <w:p>
            <w:pPr>
              <w:jc w:val="center"/>
              <w:spacing w:line="300" w:lineRule="auto"/>
            </w:pPr>
            <w:r>
              <w:rPr>
                <w:rFonts w:ascii="宋体" w:hAnsi="宋体" w:eastAsia="宋体"/>
                <w:sz w:val="20"/>
              </w:rPr>
              <w:t>免费使用</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w:t>
            </w:r>
          </w:p>
        </w:tc>
        <w:tc>
          <w:tcPr>
            <w:tcW w:type="dxa" w:w="1606"/>
          </w:tcPr>
          <w:p>
            <w:pPr>
              <w:jc w:val="center"/>
              <w:spacing w:line="300" w:lineRule="auto"/>
            </w:pPr>
            <w:r>
              <w:rPr>
                <w:rFonts w:ascii="宋体" w:hAnsi="宋体" w:eastAsia="宋体"/>
                <w:sz w:val="20"/>
              </w:rPr>
              <w:t>部分</w:t>
            </w:r>
          </w:p>
        </w:tc>
      </w:tr>
      <w:tr>
        <w:tc>
          <w:tcPr>
            <w:tcW w:type="dxa" w:w="1606"/>
          </w:tcPr>
          <w:p>
            <w:pPr>
              <w:jc w:val="center"/>
              <w:spacing w:line="300" w:lineRule="auto"/>
            </w:pPr>
            <w:r>
              <w:rPr>
                <w:rFonts w:ascii="宋体" w:hAnsi="宋体" w:eastAsia="宋体"/>
                <w:sz w:val="20"/>
              </w:rPr>
              <w:t>高校渠道</w:t>
            </w:r>
          </w:p>
        </w:tc>
        <w:tc>
          <w:tcPr>
            <w:tcW w:type="dxa" w:w="1606"/>
          </w:tcPr>
          <w:p>
            <w:pPr>
              <w:jc w:val="center"/>
              <w:spacing w:line="300" w:lineRule="auto"/>
            </w:pPr>
            <w:r>
              <w:rPr>
                <w:rFonts w:ascii="宋体" w:hAnsi="宋体" w:eastAsia="宋体"/>
                <w:sz w:val="20"/>
              </w:rPr>
              <w:t>B2B2C</w:t>
            </w:r>
          </w:p>
        </w:tc>
        <w:tc>
          <w:tcPr>
            <w:tcW w:type="dxa" w:w="1606"/>
          </w:tcPr>
          <w:p>
            <w:pPr>
              <w:jc w:val="center"/>
              <w:spacing w:line="300" w:lineRule="auto"/>
            </w:pPr>
            <w:r>
              <w:rPr>
                <w:rFonts w:ascii="宋体" w:hAnsi="宋体" w:eastAsia="宋体"/>
                <w:sz w:val="20"/>
              </w:rPr>
              <w:t>无</w:t>
            </w:r>
          </w:p>
        </w:tc>
        <w:tc>
          <w:tcPr>
            <w:tcW w:type="dxa" w:w="1606"/>
          </w:tcPr>
          <w:p>
            <w:pPr>
              <w:jc w:val="center"/>
              <w:spacing w:line="300" w:lineRule="auto"/>
            </w:pPr>
            <w:r>
              <w:rPr>
                <w:rFonts w:ascii="宋体" w:hAnsi="宋体" w:eastAsia="宋体"/>
                <w:sz w:val="20"/>
              </w:rPr>
              <w:t>强（学校采购）</w:t>
            </w:r>
          </w:p>
        </w:tc>
        <w:tc>
          <w:tcPr>
            <w:tcW w:type="dxa" w:w="1606"/>
          </w:tcPr>
          <w:p>
            <w:pPr>
              <w:jc w:val="center"/>
              <w:spacing w:line="300" w:lineRule="auto"/>
            </w:pPr>
            <w:r>
              <w:rPr>
                <w:rFonts w:ascii="宋体" w:hAnsi="宋体" w:eastAsia="宋体"/>
                <w:sz w:val="20"/>
              </w:rPr>
              <w:t>弱</w:t>
            </w:r>
          </w:p>
        </w:tc>
        <w:tc>
          <w:tcPr>
            <w:tcW w:type="dxa" w:w="1606"/>
          </w:tcPr>
          <w:p>
            <w:pPr>
              <w:jc w:val="center"/>
              <w:spacing w:line="300" w:lineRule="auto"/>
            </w:pPr>
            <w:r>
              <w:rPr>
                <w:rFonts w:ascii="宋体" w:hAnsi="宋体" w:eastAsia="宋体"/>
                <w:sz w:val="20"/>
              </w:rPr>
              <w:t>中</w:t>
            </w:r>
          </w:p>
        </w:tc>
      </w:tr>
    </w:tbl>
    <w:p>
      <w:r>
        <w:br w:type="page"/>
      </w:r>
    </w:p>
    <w:p>
      <w:pPr>
        <w:jc w:val="left"/>
        <w:spacing w:line="300" w:lineRule="auto" w:before="360" w:after="200"/>
      </w:pPr>
      <w:r>
        <w:rPr>
          <w:rFonts w:ascii="黑体" w:hAnsi="黑体" w:eastAsia="黑体"/>
          <w:b/>
          <w:sz w:val="32"/>
        </w:rPr>
        <w:t>第五章　产品与服务</w:t>
      </w:r>
    </w:p>
    <w:p>
      <w:pPr>
        <w:spacing w:line="240" w:lineRule="auto"/>
      </w:pPr>
      <w:r>
        <w:rPr>
          <w:sz w:val="16"/>
        </w:rPr>
      </w:r>
    </w:p>
    <w:p>
      <w:pPr>
        <w:jc w:val="left"/>
        <w:spacing w:line="300" w:lineRule="auto" w:before="240" w:after="120"/>
      </w:pPr>
      <w:r>
        <w:rPr>
          <w:rFonts w:ascii="黑体" w:hAnsi="黑体" w:eastAsia="黑体"/>
          <w:b/>
          <w:sz w:val="28"/>
        </w:rPr>
        <w:t>一、核心产品模块</w:t>
      </w:r>
    </w:p>
    <w:p>
      <w:pPr>
        <w:jc w:val="left"/>
        <w:spacing w:line="300" w:lineRule="auto" w:before="120" w:after="60"/>
      </w:pPr>
      <w:r>
        <w:rPr>
          <w:rFonts w:ascii="黑体" w:hAnsi="黑体" w:eastAsia="黑体"/>
          <w:b/>
          <w:sz w:val="24"/>
        </w:rPr>
        <w:t>（一）个性化学习路径生成</w:t>
      </w:r>
    </w:p>
    <w:p>
      <w:pPr>
        <w:spacing w:line="300" w:lineRule="auto"/>
        <w:ind w:firstLine="480" w:firstLineChars="200"/>
      </w:pPr>
      <w:r>
        <w:rPr>
          <w:rFonts w:ascii="宋体" w:hAnsi="宋体" w:eastAsia="宋体"/>
          <w:sz w:val="24"/>
        </w:rPr>
        <w:t>学生输入当前课程名称和学习目标（如"期末考试 85+"或"高数上不挂科"），系统基于课程知识图谱自动生成个性化学习计划。学习路径以可视化知识树形式展示，标注每个知识点的建议学习时长、重要程度和前置依赖关系。学习进度实时追踪，已掌握和未掌握的知识点一目了然。</w:t>
      </w:r>
    </w:p>
    <w:p>
      <w:pPr>
        <w:jc w:val="left"/>
        <w:spacing w:line="300" w:lineRule="auto" w:before="120" w:after="60"/>
      </w:pPr>
      <w:r>
        <w:rPr>
          <w:rFonts w:ascii="黑体" w:hAnsi="黑体" w:eastAsia="黑体"/>
          <w:b/>
          <w:sz w:val="24"/>
        </w:rPr>
        <w:t>（二）AI 智能答疑</w:t>
      </w:r>
    </w:p>
    <w:p>
      <w:pPr>
        <w:spacing w:line="300" w:lineRule="auto"/>
        <w:ind w:firstLine="480" w:firstLineChars="200"/>
      </w:pPr>
      <w:r>
        <w:rPr>
          <w:rFonts w:ascii="宋体" w:hAnsi="宋体" w:eastAsia="宋体"/>
          <w:sz w:val="24"/>
        </w:rPr>
        <w:t>支持文字、语音、拍照三种方式提问。传统搜题工具只给答案，智学派 AI 给出的是"解题思路 + 分步讲解 + 同类题推荐"。系统基于 RAG 技术关联课程教材和课件，所有回答均标明知识来源，学生可一键跳转到相关知识点深入学习。对于复杂问题（如证明题、分析题），AI 提供逐步引导式解答而非直接给答案。</w:t>
      </w:r>
    </w:p>
    <w:p>
      <w:pPr>
        <w:jc w:val="left"/>
        <w:spacing w:line="300" w:lineRule="auto" w:before="120" w:after="60"/>
      </w:pPr>
      <w:r>
        <w:rPr>
          <w:rFonts w:ascii="黑体" w:hAnsi="黑体" w:eastAsia="黑体"/>
          <w:b/>
          <w:sz w:val="24"/>
        </w:rPr>
        <w:t>（三）知识点诊断与薄弱环节定位</w:t>
      </w:r>
    </w:p>
    <w:p>
      <w:pPr>
        <w:spacing w:line="300" w:lineRule="auto"/>
        <w:ind w:firstLine="480" w:firstLineChars="200"/>
      </w:pPr>
      <w:r>
        <w:rPr>
          <w:rFonts w:ascii="宋体" w:hAnsi="宋体" w:eastAsia="宋体"/>
          <w:sz w:val="24"/>
        </w:rPr>
        <w:t>学生完成 AI 生成的针对性练习题后，系统基于贝叶斯知识追踪模型评估每个知识点的掌握概率，生成个人知识薄弱点热力图。诊断结果精准到知识点层级，而非笼统的"第一章较弱"。针对薄弱知识点自动推送讲解视频、同类练习题和强化学习任务。</w:t>
      </w:r>
    </w:p>
    <w:p>
      <w:pPr>
        <w:jc w:val="left"/>
        <w:spacing w:line="300" w:lineRule="auto" w:before="120" w:after="60"/>
      </w:pPr>
      <w:r>
        <w:rPr>
          <w:rFonts w:ascii="黑体" w:hAnsi="黑体" w:eastAsia="黑体"/>
          <w:b/>
          <w:sz w:val="24"/>
        </w:rPr>
        <w:t>（四）学习数据看板</w:t>
      </w:r>
    </w:p>
    <w:p>
      <w:pPr>
        <w:spacing w:line="300" w:lineRule="auto"/>
        <w:ind w:firstLine="480" w:firstLineChars="200"/>
      </w:pPr>
      <w:r>
        <w:rPr>
          <w:rFonts w:ascii="宋体" w:hAnsi="宋体" w:eastAsia="宋体"/>
          <w:sz w:val="24"/>
        </w:rPr>
        <w:t>以可视化图表展示学习时长、每日答题数、正确率变化趋势、知识点覆盖率、学习进度完成百分比等关键指标。支持周报/月报自动生成，对比同班级/同校同学的匿名学习数据，给予适度的社交激励。</w:t>
      </w:r>
    </w:p>
    <w:p>
      <w:pPr>
        <w:jc w:val="left"/>
        <w:spacing w:line="300" w:lineRule="auto" w:before="240" w:after="120"/>
      </w:pPr>
      <w:r>
        <w:rPr>
          <w:rFonts w:ascii="黑体" w:hAnsi="黑体" w:eastAsia="黑体"/>
          <w:b/>
          <w:sz w:val="28"/>
        </w:rPr>
        <w:t>二、延展产品方向</w:t>
      </w:r>
    </w:p>
    <w:p>
      <w:pPr>
        <w:spacing w:line="300" w:lineRule="auto"/>
        <w:ind w:firstLine="480" w:firstLineChars="200"/>
      </w:pPr>
      <w:r>
        <w:rPr>
          <w:rFonts w:ascii="宋体" w:hAnsi="宋体" w:eastAsia="宋体"/>
          <w:sz w:val="24"/>
        </w:rPr>
        <w:t>考前冲刺训练营：期末考试前 2 周开设 AI 驱动的考前集训模式，包含高频考点串讲、模拟试卷 AI 批改、考前预测题推送。单独定价 19.9 元/次。</w:t>
      </w:r>
    </w:p>
    <w:p>
      <w:pPr>
        <w:spacing w:line="300" w:lineRule="auto"/>
        <w:ind w:firstLine="480" w:firstLineChars="200"/>
      </w:pPr>
      <w:r>
        <w:rPr>
          <w:rFonts w:ascii="宋体" w:hAnsi="宋体" w:eastAsia="宋体"/>
          <w:sz w:val="24"/>
        </w:rPr>
        <w:t>考研衔接 Pro：面向大三学生，提供考研公共课（数学、英语、政治）的 AI 学习路径规划 + 智能刷题 + 院校专业智能推荐。单独定价 39.9 元/月。</w:t>
      </w:r>
    </w:p>
    <w:p>
      <w:pPr>
        <w:spacing w:line="300" w:lineRule="auto"/>
        <w:ind w:firstLine="480" w:firstLineChars="200"/>
      </w:pPr>
      <w:r>
        <w:rPr>
          <w:rFonts w:ascii="宋体" w:hAnsi="宋体" w:eastAsia="宋体"/>
          <w:sz w:val="24"/>
        </w:rPr>
        <w:t>笔记社区：学生可分享 AI 辅助整理的学习笔记，优质笔记获得曝光和收益分成，形成 UGC 内容生态。</w:t>
      </w:r>
    </w:p>
    <w:p>
      <w:pPr>
        <w:jc w:val="left"/>
        <w:spacing w:line="300" w:lineRule="auto" w:before="240" w:after="120"/>
      </w:pPr>
      <w:r>
        <w:rPr>
          <w:rFonts w:ascii="黑体" w:hAnsi="黑体" w:eastAsia="黑体"/>
          <w:b/>
          <w:sz w:val="28"/>
        </w:rPr>
        <w:t>三、产品路线图</w:t>
      </w:r>
    </w:p>
    <w:tbl>
      <w:tblPr>
        <w:tblStyle w:val="TableGrid"/>
        <w:tblW w:type="auto" w:w="0"/>
        <w:tblLook w:firstColumn="1" w:firstRow="1" w:lastColumn="0" w:lastRow="0" w:noHBand="0" w:noVBand="1" w:val="04A0"/>
      </w:tblPr>
      <w:tblGrid>
        <w:gridCol w:w="4819"/>
        <w:gridCol w:w="4819"/>
      </w:tblGrid>
      <w:tr>
        <w:tc>
          <w:tcPr>
            <w:tcW w:type="dxa" w:w="4819"/>
            <w:shd w:fill="D9E2F3"/>
          </w:tcPr>
          <w:p>
            <w:pPr>
              <w:jc w:val="center"/>
              <w:spacing w:line="300" w:lineRule="auto"/>
            </w:pPr>
            <w:r>
              <w:rPr>
                <w:rFonts w:ascii="黑体" w:hAnsi="黑体" w:eastAsia="黑体"/>
                <w:b/>
                <w:sz w:val="20"/>
              </w:rPr>
              <w:t>时间</w:t>
            </w:r>
          </w:p>
        </w:tc>
        <w:tc>
          <w:tcPr>
            <w:tcW w:type="dxa" w:w="4819"/>
            <w:shd w:fill="D9E2F3"/>
          </w:tcPr>
          <w:p>
            <w:pPr>
              <w:jc w:val="center"/>
              <w:spacing w:line="300" w:lineRule="auto"/>
            </w:pPr>
            <w:r>
              <w:rPr>
                <w:rFonts w:ascii="黑体" w:hAnsi="黑体" w:eastAsia="黑体"/>
                <w:b/>
                <w:sz w:val="20"/>
              </w:rPr>
              <w:t>里程碑</w:t>
            </w:r>
          </w:p>
        </w:tc>
      </w:tr>
      <w:tr>
        <w:tc>
          <w:tcPr>
            <w:tcW w:type="dxa" w:w="4819"/>
          </w:tcPr>
          <w:p>
            <w:pPr>
              <w:jc w:val="center"/>
              <w:spacing w:line="300" w:lineRule="auto"/>
            </w:pPr>
            <w:r>
              <w:rPr>
                <w:rFonts w:ascii="宋体" w:hAnsi="宋体" w:eastAsia="宋体"/>
                <w:sz w:val="20"/>
              </w:rPr>
              <w:t>2026 Q3</w:t>
            </w:r>
          </w:p>
        </w:tc>
        <w:tc>
          <w:tcPr>
            <w:tcW w:type="dxa" w:w="4819"/>
          </w:tcPr>
          <w:p>
            <w:pPr>
              <w:spacing w:line="300" w:lineRule="auto"/>
            </w:pPr>
            <w:r>
              <w:rPr>
                <w:rFonts w:ascii="宋体" w:hAnsi="宋体" w:eastAsia="宋体"/>
                <w:sz w:val="20"/>
              </w:rPr>
              <w:t>MVP 上线：AI 答疑（文字）+ 高数/线代基础知识图谱 + 学习路径生成</w:t>
            </w:r>
          </w:p>
        </w:tc>
      </w:tr>
      <w:tr>
        <w:tc>
          <w:tcPr>
            <w:tcW w:type="dxa" w:w="4819"/>
          </w:tcPr>
          <w:p>
            <w:pPr>
              <w:jc w:val="center"/>
              <w:spacing w:line="300" w:lineRule="auto"/>
            </w:pPr>
            <w:r>
              <w:rPr>
                <w:rFonts w:ascii="宋体" w:hAnsi="宋体" w:eastAsia="宋体"/>
                <w:sz w:val="20"/>
              </w:rPr>
              <w:t>2026 Q4</w:t>
            </w:r>
          </w:p>
        </w:tc>
        <w:tc>
          <w:tcPr>
            <w:tcW w:type="dxa" w:w="4819"/>
          </w:tcPr>
          <w:p>
            <w:pPr>
              <w:spacing w:line="300" w:lineRule="auto"/>
            </w:pPr>
            <w:r>
              <w:rPr>
                <w:rFonts w:ascii="宋体" w:hAnsi="宋体" w:eastAsia="宋体"/>
                <w:sz w:val="20"/>
              </w:rPr>
              <w:t>拍照提问、语音提问、课件上传解析，知识图谱扩展至 10 门课</w:t>
            </w:r>
          </w:p>
        </w:tc>
      </w:tr>
      <w:tr>
        <w:tc>
          <w:tcPr>
            <w:tcW w:type="dxa" w:w="4819"/>
          </w:tcPr>
          <w:p>
            <w:pPr>
              <w:jc w:val="center"/>
              <w:spacing w:line="300" w:lineRule="auto"/>
            </w:pPr>
            <w:r>
              <w:rPr>
                <w:rFonts w:ascii="宋体" w:hAnsi="宋体" w:eastAsia="宋体"/>
                <w:sz w:val="20"/>
              </w:rPr>
              <w:t>2027 Q1</w:t>
            </w:r>
          </w:p>
        </w:tc>
        <w:tc>
          <w:tcPr>
            <w:tcW w:type="dxa" w:w="4819"/>
          </w:tcPr>
          <w:p>
            <w:pPr>
              <w:spacing w:line="300" w:lineRule="auto"/>
            </w:pPr>
            <w:r>
              <w:rPr>
                <w:rFonts w:ascii="宋体" w:hAnsi="宋体" w:eastAsia="宋体"/>
                <w:sz w:val="20"/>
              </w:rPr>
              <w:t>知识点诊断与薄弱环节定位上线，B 端高校管理平台上线</w:t>
            </w:r>
          </w:p>
        </w:tc>
      </w:tr>
      <w:tr>
        <w:tc>
          <w:tcPr>
            <w:tcW w:type="dxa" w:w="4819"/>
          </w:tcPr>
          <w:p>
            <w:pPr>
              <w:jc w:val="center"/>
              <w:spacing w:line="300" w:lineRule="auto"/>
            </w:pPr>
            <w:r>
              <w:rPr>
                <w:rFonts w:ascii="宋体" w:hAnsi="宋体" w:eastAsia="宋体"/>
                <w:sz w:val="20"/>
              </w:rPr>
              <w:t>2027 Q3</w:t>
            </w:r>
          </w:p>
        </w:tc>
        <w:tc>
          <w:tcPr>
            <w:tcW w:type="dxa" w:w="4819"/>
          </w:tcPr>
          <w:p>
            <w:pPr>
              <w:spacing w:line="300" w:lineRule="auto"/>
            </w:pPr>
            <w:r>
              <w:rPr>
                <w:rFonts w:ascii="宋体" w:hAnsi="宋体" w:eastAsia="宋体"/>
                <w:sz w:val="20"/>
              </w:rPr>
              <w:t>知识图谱扩展至 30 门课，考研衔接 Pro 版上线</w:t>
            </w:r>
          </w:p>
        </w:tc>
      </w:tr>
      <w:tr>
        <w:tc>
          <w:tcPr>
            <w:tcW w:type="dxa" w:w="4819"/>
          </w:tcPr>
          <w:p>
            <w:pPr>
              <w:jc w:val="center"/>
              <w:spacing w:line="300" w:lineRule="auto"/>
            </w:pPr>
            <w:r>
              <w:rPr>
                <w:rFonts w:ascii="宋体" w:hAnsi="宋体" w:eastAsia="宋体"/>
                <w:sz w:val="20"/>
              </w:rPr>
              <w:t>2028 Q1</w:t>
            </w:r>
          </w:p>
        </w:tc>
        <w:tc>
          <w:tcPr>
            <w:tcW w:type="dxa" w:w="4819"/>
          </w:tcPr>
          <w:p>
            <w:pPr>
              <w:jc w:val="center"/>
              <w:spacing w:line="300" w:lineRule="auto"/>
            </w:pPr>
            <w:r>
              <w:rPr>
                <w:rFonts w:ascii="宋体" w:hAnsi="宋体" w:eastAsia="宋体"/>
                <w:sz w:val="20"/>
              </w:rPr>
              <w:t>笔记社区功能上线，启动国际版探索</w:t>
            </w:r>
          </w:p>
        </w:tc>
      </w:tr>
    </w:tbl>
    <w:p>
      <w:r>
        <w:br w:type="page"/>
      </w:r>
    </w:p>
    <w:p>
      <w:pPr>
        <w:jc w:val="left"/>
        <w:spacing w:line="300" w:lineRule="auto" w:before="360" w:after="200"/>
      </w:pPr>
      <w:r>
        <w:rPr>
          <w:rFonts w:ascii="黑体" w:hAnsi="黑体" w:eastAsia="黑体"/>
          <w:b/>
          <w:sz w:val="32"/>
        </w:rPr>
        <w:t>第六章　营销与销售</w:t>
      </w:r>
    </w:p>
    <w:p>
      <w:pPr>
        <w:spacing w:line="240" w:lineRule="auto"/>
      </w:pPr>
      <w:r>
        <w:rPr>
          <w:sz w:val="16"/>
        </w:rPr>
      </w:r>
    </w:p>
    <w:p>
      <w:pPr>
        <w:jc w:val="left"/>
        <w:spacing w:line="300" w:lineRule="auto" w:before="240" w:after="120"/>
      </w:pPr>
      <w:r>
        <w:rPr>
          <w:rFonts w:ascii="黑体" w:hAnsi="黑体" w:eastAsia="黑体"/>
          <w:b/>
          <w:sz w:val="28"/>
        </w:rPr>
        <w:t>一、获客策略</w:t>
      </w:r>
    </w:p>
    <w:p>
      <w:pPr>
        <w:spacing w:line="300" w:lineRule="auto"/>
        <w:ind w:firstLine="480" w:firstLineChars="200"/>
      </w:pPr>
      <w:r>
        <w:rPr>
          <w:rFonts w:ascii="宋体" w:hAnsi="宋体" w:eastAsia="宋体"/>
          <w:sz w:val="24"/>
        </w:rPr>
        <w:t>B2B2C 冷启动：与本校及周边合作高校的教务处或任课教师合作，以"AI 助力课程学习"的名义免费向学生开放试点。教师可在课堂上推荐学生使用，通过课程群发布邀请码，一个班级一个班级地积累种子用户。</w:t>
      </w:r>
    </w:p>
    <w:p>
      <w:pPr>
        <w:spacing w:line="300" w:lineRule="auto"/>
        <w:ind w:firstLine="480" w:firstLineChars="200"/>
      </w:pPr>
      <w:r>
        <w:rPr>
          <w:rFonts w:ascii="宋体" w:hAnsi="宋体" w:eastAsia="宋体"/>
          <w:sz w:val="24"/>
        </w:rPr>
        <w:t>课程群裂变：大学生学习行为高度依赖课程微信群/QQ 群。设计"邀请 3 人得 3 天 Pro 会员"裂变机制，利用课程群的自然传播效应实现低成本获客。核心逻辑是一个人在群里问了 AI 答得好，群友看到后自然就会下载。</w:t>
      </w:r>
    </w:p>
    <w:p>
      <w:pPr>
        <w:spacing w:line="300" w:lineRule="auto"/>
        <w:ind w:firstLine="480" w:firstLineChars="200"/>
      </w:pPr>
      <w:r>
        <w:rPr>
          <w:rFonts w:ascii="宋体" w:hAnsi="宋体" w:eastAsia="宋体"/>
          <w:sz w:val="24"/>
        </w:rPr>
        <w:t>校园大使计划：在目标高校招募校园大使（每校 3-5 人），负责校内推广和用户拉新。校园大使获得免费 Pro 会员 + 拉新佣金（每新用户 3-5 元）+ 实习证明。预计 Year 2 覆盖 200 所高校的校园大使网络。</w:t>
      </w:r>
    </w:p>
    <w:p>
      <w:pPr>
        <w:spacing w:line="300" w:lineRule="auto"/>
        <w:ind w:firstLine="480" w:firstLineChars="200"/>
      </w:pPr>
      <w:r>
        <w:rPr>
          <w:rFonts w:ascii="宋体" w:hAnsi="宋体" w:eastAsia="宋体"/>
          <w:sz w:val="24"/>
        </w:rPr>
        <w:t>内容营销与 KOL 合作：在 B 站、小红书投放 AI 学习相关短视频内容，如"用 AI 把高数从 60 学到 90""期末考试 AI 救命指南"等。与学习类 UP 主/博主合作产品测评和种草，目标单条视频 5-10 万播放量。</w:t>
      </w:r>
    </w:p>
    <w:p>
      <w:pPr>
        <w:spacing w:line="300" w:lineRule="auto"/>
        <w:ind w:firstLine="480" w:firstLineChars="200"/>
      </w:pPr>
      <w:r>
        <w:rPr>
          <w:rFonts w:ascii="宋体" w:hAnsi="宋体" w:eastAsia="宋体"/>
          <w:sz w:val="24"/>
        </w:rPr>
        <w:t>应用商店优化（ASO）：针对"大学高数""AI 答疑""期末考试""考研"等关键词做应用商店搜索优化。</w:t>
      </w:r>
    </w:p>
    <w:p>
      <w:pPr>
        <w:jc w:val="left"/>
        <w:spacing w:line="300" w:lineRule="auto" w:before="240" w:after="120"/>
      </w:pPr>
      <w:r>
        <w:rPr>
          <w:rFonts w:ascii="黑体" w:hAnsi="黑体" w:eastAsia="黑体"/>
          <w:b/>
          <w:sz w:val="28"/>
        </w:rPr>
        <w:t>二、用户留存与转化</w:t>
      </w:r>
    </w:p>
    <w:p>
      <w:pPr>
        <w:spacing w:line="300" w:lineRule="auto"/>
        <w:ind w:firstLine="480" w:firstLineChars="200"/>
      </w:pPr>
      <w:r>
        <w:rPr>
          <w:rFonts w:ascii="宋体" w:hAnsi="宋体" w:eastAsia="宋体"/>
          <w:sz w:val="24"/>
        </w:rPr>
        <w:t>新手引导：首日完成"学习 1 个知识点 + 问 1 个问题 + 做 3 道题"的 Aha Moment 引导，提升次日留存。</w:t>
      </w:r>
    </w:p>
    <w:p>
      <w:pPr>
        <w:spacing w:line="300" w:lineRule="auto"/>
        <w:ind w:firstLine="480" w:firstLineChars="200"/>
      </w:pPr>
      <w:r>
        <w:rPr>
          <w:rFonts w:ascii="宋体" w:hAnsi="宋体" w:eastAsia="宋体"/>
          <w:sz w:val="24"/>
        </w:rPr>
        <w:t>学习打卡：每日学习打卡获积分，连续 7 天打卡送 1 天 Pro 会员，21 天送 7 天。</w:t>
      </w:r>
    </w:p>
    <w:p>
      <w:pPr>
        <w:spacing w:line="300" w:lineRule="auto"/>
        <w:ind w:firstLine="480" w:firstLineChars="200"/>
      </w:pPr>
      <w:r>
        <w:rPr>
          <w:rFonts w:ascii="宋体" w:hAnsi="宋体" w:eastAsia="宋体"/>
          <w:sz w:val="24"/>
        </w:rPr>
        <w:t>Push 推送：考试倒计时提醒、薄弱知识点复习提醒（非骚扰式，每天不超过 2 条）。</w:t>
      </w:r>
    </w:p>
    <w:p>
      <w:pPr>
        <w:spacing w:line="300" w:lineRule="auto"/>
        <w:ind w:firstLine="480" w:firstLineChars="200"/>
      </w:pPr>
      <w:r>
        <w:rPr>
          <w:rFonts w:ascii="宋体" w:hAnsi="宋体" w:eastAsia="宋体"/>
          <w:sz w:val="24"/>
        </w:rPr>
        <w:t>免费转付费：Pro 功能每日限免体验（如每 3 天可免费做 1 次知识点诊断），让用户养成使用习惯后自然付费。</w:t>
      </w:r>
    </w:p>
    <w:p>
      <w:pPr>
        <w:jc w:val="left"/>
        <w:spacing w:line="300" w:lineRule="auto" w:before="240" w:after="120"/>
      </w:pPr>
      <w:r>
        <w:rPr>
          <w:rFonts w:ascii="黑体" w:hAnsi="黑体" w:eastAsia="黑体"/>
          <w:b/>
          <w:sz w:val="28"/>
        </w:rPr>
        <w:t>三、品牌定位</w:t>
      </w:r>
    </w:p>
    <w:p>
      <w:pPr>
        <w:spacing w:line="300" w:lineRule="auto"/>
        <w:ind w:firstLine="480" w:firstLineChars="200"/>
      </w:pPr>
      <w:r>
        <w:rPr>
          <w:rFonts w:ascii="宋体" w:hAnsi="宋体" w:eastAsia="宋体"/>
          <w:sz w:val="24"/>
        </w:rPr>
        <w:t>口号："你的 AI 学长，24 小时在线"</w:t>
      </w:r>
    </w:p>
    <w:p>
      <w:pPr>
        <w:spacing w:line="300" w:lineRule="auto"/>
        <w:ind w:firstLine="480" w:firstLineChars="200"/>
      </w:pPr>
      <w:r>
        <w:rPr>
          <w:rFonts w:ascii="宋体" w:hAnsi="宋体" w:eastAsia="宋体"/>
          <w:sz w:val="24"/>
        </w:rPr>
        <w:t>品牌调性：年轻、科技感、陪伴式、懂学生。不搞"教育焦虑"营销，强调"学习本可以更轻松"。</w:t>
      </w:r>
    </w:p>
    <w:p>
      <w:r>
        <w:br w:type="page"/>
      </w:r>
    </w:p>
    <w:p>
      <w:pPr>
        <w:jc w:val="left"/>
        <w:spacing w:line="300" w:lineRule="auto" w:before="360" w:after="200"/>
      </w:pPr>
      <w:r>
        <w:rPr>
          <w:rFonts w:ascii="黑体" w:hAnsi="黑体" w:eastAsia="黑体"/>
          <w:b/>
          <w:sz w:val="32"/>
        </w:rPr>
        <w:t>第七章　财务计划</w:t>
      </w:r>
    </w:p>
    <w:p>
      <w:pPr>
        <w:spacing w:line="240" w:lineRule="auto"/>
      </w:pPr>
      <w:r>
        <w:rPr>
          <w:sz w:val="16"/>
        </w:rPr>
      </w:r>
    </w:p>
    <w:p>
      <w:pPr>
        <w:jc w:val="left"/>
        <w:spacing w:line="300" w:lineRule="auto" w:before="240" w:after="120"/>
      </w:pPr>
      <w:r>
        <w:rPr>
          <w:rFonts w:ascii="黑体" w:hAnsi="黑体" w:eastAsia="黑体"/>
          <w:b/>
          <w:sz w:val="28"/>
        </w:rPr>
        <w:t>一、初期融资需求</w:t>
      </w:r>
    </w:p>
    <w:p>
      <w:pPr>
        <w:spacing w:line="300" w:lineRule="auto"/>
        <w:ind w:firstLine="480" w:firstLineChars="200"/>
      </w:pPr>
      <w:r>
        <w:rPr>
          <w:rFonts w:ascii="宋体" w:hAnsi="宋体" w:eastAsia="宋体"/>
          <w:sz w:val="24"/>
        </w:rPr>
        <w:t>本次融资为 Pre-A 轮，融资目标 300 万元人民币，拟出让股权 10%-15%，投后估值 2000-3000 万元。</w:t>
      </w:r>
    </w:p>
    <w:p>
      <w:pPr>
        <w:spacing w:line="240" w:lineRule="auto"/>
      </w:pPr>
      <w:r>
        <w:rPr>
          <w:sz w:val="16"/>
        </w:rPr>
      </w:r>
    </w:p>
    <w:tbl>
      <w:tblPr>
        <w:tblStyle w:val="TableGrid"/>
        <w:tblW w:type="auto" w:w="0"/>
        <w:tblLook w:firstColumn="1" w:firstRow="1" w:lastColumn="0" w:lastRow="0" w:noHBand="0" w:noVBand="1" w:val="04A0"/>
      </w:tblPr>
      <w:tblGrid>
        <w:gridCol w:w="3213"/>
        <w:gridCol w:w="3213"/>
        <w:gridCol w:w="3213"/>
      </w:tblGrid>
      <w:tr>
        <w:tc>
          <w:tcPr>
            <w:tcW w:type="dxa" w:w="3213"/>
            <w:shd w:fill="D9E2F3"/>
          </w:tcPr>
          <w:p>
            <w:pPr>
              <w:jc w:val="center"/>
              <w:spacing w:line="300" w:lineRule="auto"/>
            </w:pPr>
            <w:r>
              <w:rPr>
                <w:rFonts w:ascii="黑体" w:hAnsi="黑体" w:eastAsia="黑体"/>
                <w:b/>
                <w:sz w:val="20"/>
              </w:rPr>
              <w:t>用途</w:t>
            </w:r>
          </w:p>
        </w:tc>
        <w:tc>
          <w:tcPr>
            <w:tcW w:type="dxa" w:w="3213"/>
            <w:shd w:fill="D9E2F3"/>
          </w:tcPr>
          <w:p>
            <w:pPr>
              <w:jc w:val="center"/>
              <w:spacing w:line="300" w:lineRule="auto"/>
            </w:pPr>
            <w:r>
              <w:rPr>
                <w:rFonts w:ascii="黑体" w:hAnsi="黑体" w:eastAsia="黑体"/>
                <w:b/>
                <w:sz w:val="20"/>
              </w:rPr>
              <w:t>金额（万元）</w:t>
            </w:r>
          </w:p>
        </w:tc>
        <w:tc>
          <w:tcPr>
            <w:tcW w:type="dxa" w:w="3213"/>
            <w:shd w:fill="D9E2F3"/>
          </w:tcPr>
          <w:p>
            <w:pPr>
              <w:jc w:val="center"/>
              <w:spacing w:line="300" w:lineRule="auto"/>
            </w:pPr>
            <w:r>
              <w:rPr>
                <w:rFonts w:ascii="黑体" w:hAnsi="黑体" w:eastAsia="黑体"/>
                <w:b/>
                <w:sz w:val="20"/>
              </w:rPr>
              <w:t>占比</w:t>
            </w:r>
          </w:p>
        </w:tc>
      </w:tr>
      <w:tr>
        <w:tc>
          <w:tcPr>
            <w:tcW w:type="dxa" w:w="3213"/>
          </w:tcPr>
          <w:p>
            <w:pPr>
              <w:spacing w:line="300" w:lineRule="auto"/>
            </w:pPr>
            <w:r>
              <w:rPr>
                <w:rFonts w:ascii="宋体" w:hAnsi="宋体" w:eastAsia="宋体"/>
                <w:sz w:val="20"/>
              </w:rPr>
              <w:t>产品研发（AI 引擎、知识图谱、前后端）</w:t>
            </w:r>
          </w:p>
        </w:tc>
        <w:tc>
          <w:tcPr>
            <w:tcW w:type="dxa" w:w="3213"/>
          </w:tcPr>
          <w:p>
            <w:pPr>
              <w:jc w:val="center"/>
              <w:spacing w:line="300" w:lineRule="auto"/>
            </w:pPr>
            <w:r>
              <w:rPr>
                <w:rFonts w:ascii="宋体" w:hAnsi="宋体" w:eastAsia="宋体"/>
                <w:sz w:val="20"/>
              </w:rPr>
              <w:t>180</w:t>
            </w:r>
          </w:p>
        </w:tc>
        <w:tc>
          <w:tcPr>
            <w:tcW w:type="dxa" w:w="3213"/>
          </w:tcPr>
          <w:p>
            <w:pPr>
              <w:jc w:val="center"/>
              <w:spacing w:line="300" w:lineRule="auto"/>
            </w:pPr>
            <w:r>
              <w:rPr>
                <w:rFonts w:ascii="宋体" w:hAnsi="宋体" w:eastAsia="宋体"/>
                <w:sz w:val="20"/>
              </w:rPr>
              <w:t>60%</w:t>
            </w:r>
          </w:p>
        </w:tc>
      </w:tr>
      <w:tr>
        <w:tc>
          <w:tcPr>
            <w:tcW w:type="dxa" w:w="3213"/>
          </w:tcPr>
          <w:p>
            <w:pPr>
              <w:spacing w:line="300" w:lineRule="auto"/>
            </w:pPr>
            <w:r>
              <w:rPr>
                <w:rFonts w:ascii="宋体" w:hAnsi="宋体" w:eastAsia="宋体"/>
                <w:sz w:val="20"/>
              </w:rPr>
              <w:t>市场推广（校园大使、KOL 投放、ASO）</w:t>
            </w:r>
          </w:p>
        </w:tc>
        <w:tc>
          <w:tcPr>
            <w:tcW w:type="dxa" w:w="3213"/>
          </w:tcPr>
          <w:p>
            <w:pPr>
              <w:jc w:val="center"/>
              <w:spacing w:line="300" w:lineRule="auto"/>
            </w:pPr>
            <w:r>
              <w:rPr>
                <w:rFonts w:ascii="宋体" w:hAnsi="宋体" w:eastAsia="宋体"/>
                <w:sz w:val="20"/>
              </w:rPr>
              <w:t>75</w:t>
            </w:r>
          </w:p>
        </w:tc>
        <w:tc>
          <w:tcPr>
            <w:tcW w:type="dxa" w:w="3213"/>
          </w:tcPr>
          <w:p>
            <w:pPr>
              <w:jc w:val="center"/>
              <w:spacing w:line="300" w:lineRule="auto"/>
            </w:pPr>
            <w:r>
              <w:rPr>
                <w:rFonts w:ascii="宋体" w:hAnsi="宋体" w:eastAsia="宋体"/>
                <w:sz w:val="20"/>
              </w:rPr>
              <w:t>25%</w:t>
            </w:r>
          </w:p>
        </w:tc>
      </w:tr>
      <w:tr>
        <w:tc>
          <w:tcPr>
            <w:tcW w:type="dxa" w:w="3213"/>
          </w:tcPr>
          <w:p>
            <w:pPr>
              <w:jc w:val="center"/>
              <w:spacing w:line="300" w:lineRule="auto"/>
            </w:pPr>
            <w:r>
              <w:rPr>
                <w:rFonts w:ascii="宋体" w:hAnsi="宋体" w:eastAsia="宋体"/>
                <w:sz w:val="20"/>
              </w:rPr>
              <w:t>运营储备（办公、云服务、法务财务）</w:t>
            </w:r>
          </w:p>
        </w:tc>
        <w:tc>
          <w:tcPr>
            <w:tcW w:type="dxa" w:w="3213"/>
          </w:tcPr>
          <w:p>
            <w:pPr>
              <w:jc w:val="center"/>
              <w:spacing w:line="300" w:lineRule="auto"/>
            </w:pPr>
            <w:r>
              <w:rPr>
                <w:rFonts w:ascii="宋体" w:hAnsi="宋体" w:eastAsia="宋体"/>
                <w:sz w:val="20"/>
              </w:rPr>
              <w:t>45</w:t>
            </w:r>
          </w:p>
        </w:tc>
        <w:tc>
          <w:tcPr>
            <w:tcW w:type="dxa" w:w="3213"/>
          </w:tcPr>
          <w:p>
            <w:pPr>
              <w:jc w:val="center"/>
              <w:spacing w:line="300" w:lineRule="auto"/>
            </w:pPr>
            <w:r>
              <w:rPr>
                <w:rFonts w:ascii="宋体" w:hAnsi="宋体" w:eastAsia="宋体"/>
                <w:sz w:val="20"/>
              </w:rPr>
              <w:t>15%</w:t>
            </w:r>
          </w:p>
        </w:tc>
      </w:tr>
    </w:tbl>
    <w:p>
      <w:pPr>
        <w:spacing w:line="240" w:lineRule="auto"/>
      </w:pPr>
      <w:r>
        <w:rPr>
          <w:sz w:val="16"/>
        </w:rPr>
      </w:r>
    </w:p>
    <w:p>
      <w:pPr>
        <w:jc w:val="left"/>
        <w:spacing w:line="300" w:lineRule="auto" w:before="240" w:after="120"/>
      </w:pPr>
      <w:r>
        <w:rPr>
          <w:rFonts w:ascii="黑体" w:hAnsi="黑体" w:eastAsia="黑体"/>
          <w:b/>
          <w:sz w:val="28"/>
        </w:rPr>
        <w:t>二、收入预测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D9E2F3"/>
          </w:tcPr>
          <w:p>
            <w:pPr>
              <w:jc w:val="center"/>
              <w:spacing w:line="300" w:lineRule="auto"/>
            </w:pPr>
            <w:r>
              <w:rPr>
                <w:rFonts w:ascii="黑体" w:hAnsi="黑体" w:eastAsia="黑体"/>
                <w:b/>
                <w:sz w:val="20"/>
              </w:rPr>
              <w:t>项目</w:t>
            </w:r>
          </w:p>
        </w:tc>
        <w:tc>
          <w:tcPr>
            <w:tcW w:type="dxa" w:w="2409"/>
            <w:shd w:fill="D9E2F3"/>
          </w:tcPr>
          <w:p>
            <w:pPr>
              <w:jc w:val="center"/>
              <w:spacing w:line="300" w:lineRule="auto"/>
            </w:pPr>
            <w:r>
              <w:rPr>
                <w:rFonts w:ascii="黑体" w:hAnsi="黑体" w:eastAsia="黑体"/>
                <w:b/>
                <w:sz w:val="20"/>
              </w:rPr>
              <w:t>Year 1</w:t>
            </w:r>
          </w:p>
        </w:tc>
        <w:tc>
          <w:tcPr>
            <w:tcW w:type="dxa" w:w="2409"/>
            <w:shd w:fill="D9E2F3"/>
          </w:tcPr>
          <w:p>
            <w:pPr>
              <w:jc w:val="center"/>
              <w:spacing w:line="300" w:lineRule="auto"/>
            </w:pPr>
            <w:r>
              <w:rPr>
                <w:rFonts w:ascii="黑体" w:hAnsi="黑体" w:eastAsia="黑体"/>
                <w:b/>
                <w:sz w:val="20"/>
              </w:rPr>
              <w:t>Year 2</w:t>
            </w:r>
          </w:p>
        </w:tc>
        <w:tc>
          <w:tcPr>
            <w:tcW w:type="dxa" w:w="2409"/>
            <w:shd w:fill="D9E2F3"/>
          </w:tcPr>
          <w:p>
            <w:pPr>
              <w:jc w:val="center"/>
              <w:spacing w:line="300" w:lineRule="auto"/>
            </w:pPr>
            <w:r>
              <w:rPr>
                <w:rFonts w:ascii="黑体" w:hAnsi="黑体" w:eastAsia="黑体"/>
                <w:b/>
                <w:sz w:val="20"/>
              </w:rPr>
              <w:t>Year 3</w:t>
            </w:r>
          </w:p>
        </w:tc>
      </w:tr>
      <w:tr>
        <w:tc>
          <w:tcPr>
            <w:tcW w:type="dxa" w:w="2409"/>
          </w:tcPr>
          <w:p>
            <w:pPr>
              <w:jc w:val="center"/>
              <w:spacing w:line="300" w:lineRule="auto"/>
            </w:pPr>
            <w:r>
              <w:rPr>
                <w:rFonts w:ascii="宋体" w:hAnsi="宋体" w:eastAsia="宋体"/>
                <w:sz w:val="20"/>
              </w:rPr>
              <w:t>注册用户（万）</w:t>
            </w:r>
          </w:p>
        </w:tc>
        <w:tc>
          <w:tcPr>
            <w:tcW w:type="dxa" w:w="2409"/>
          </w:tcPr>
          <w:p>
            <w:pPr>
              <w:jc w:val="center"/>
              <w:spacing w:line="300" w:lineRule="auto"/>
            </w:pPr>
            <w:r>
              <w:rPr>
                <w:rFonts w:ascii="宋体" w:hAnsi="宋体" w:eastAsia="宋体"/>
                <w:sz w:val="20"/>
              </w:rPr>
              <w:t>5</w:t>
            </w:r>
          </w:p>
        </w:tc>
        <w:tc>
          <w:tcPr>
            <w:tcW w:type="dxa" w:w="2409"/>
          </w:tcPr>
          <w:p>
            <w:pPr>
              <w:jc w:val="center"/>
              <w:spacing w:line="300" w:lineRule="auto"/>
            </w:pPr>
            <w:r>
              <w:rPr>
                <w:rFonts w:ascii="宋体" w:hAnsi="宋体" w:eastAsia="宋体"/>
                <w:sz w:val="20"/>
              </w:rPr>
              <w:t>50</w:t>
            </w:r>
          </w:p>
        </w:tc>
        <w:tc>
          <w:tcPr>
            <w:tcW w:type="dxa" w:w="2409"/>
          </w:tcPr>
          <w:p>
            <w:pPr>
              <w:jc w:val="center"/>
              <w:spacing w:line="300" w:lineRule="auto"/>
            </w:pPr>
            <w:r>
              <w:rPr>
                <w:rFonts w:ascii="宋体" w:hAnsi="宋体" w:eastAsia="宋体"/>
                <w:sz w:val="20"/>
              </w:rPr>
              <w:t>300</w:t>
            </w:r>
          </w:p>
        </w:tc>
      </w:tr>
      <w:tr>
        <w:tc>
          <w:tcPr>
            <w:tcW w:type="dxa" w:w="2409"/>
          </w:tcPr>
          <w:p>
            <w:pPr>
              <w:jc w:val="center"/>
              <w:spacing w:line="300" w:lineRule="auto"/>
            </w:pPr>
            <w:r>
              <w:rPr>
                <w:rFonts w:ascii="宋体" w:hAnsi="宋体" w:eastAsia="宋体"/>
                <w:sz w:val="20"/>
              </w:rPr>
              <w:t>Pro 订阅用户（万）</w:t>
            </w:r>
          </w:p>
        </w:tc>
        <w:tc>
          <w:tcPr>
            <w:tcW w:type="dxa" w:w="2409"/>
          </w:tcPr>
          <w:p>
            <w:pPr>
              <w:jc w:val="center"/>
              <w:spacing w:line="300" w:lineRule="auto"/>
            </w:pPr>
            <w:r>
              <w:rPr>
                <w:rFonts w:ascii="宋体" w:hAnsi="宋体" w:eastAsia="宋体"/>
                <w:sz w:val="20"/>
              </w:rPr>
              <w:t>0.4</w:t>
            </w:r>
          </w:p>
        </w:tc>
        <w:tc>
          <w:tcPr>
            <w:tcW w:type="dxa" w:w="2409"/>
          </w:tcPr>
          <w:p>
            <w:pPr>
              <w:jc w:val="center"/>
              <w:spacing w:line="300" w:lineRule="auto"/>
            </w:pPr>
            <w:r>
              <w:rPr>
                <w:rFonts w:ascii="宋体" w:hAnsi="宋体" w:eastAsia="宋体"/>
                <w:sz w:val="20"/>
              </w:rPr>
              <w:t>4</w:t>
            </w:r>
          </w:p>
        </w:tc>
        <w:tc>
          <w:tcPr>
            <w:tcW w:type="dxa" w:w="2409"/>
          </w:tcPr>
          <w:p>
            <w:pPr>
              <w:jc w:val="center"/>
              <w:spacing w:line="300" w:lineRule="auto"/>
            </w:pPr>
            <w:r>
              <w:rPr>
                <w:rFonts w:ascii="宋体" w:hAnsi="宋体" w:eastAsia="宋体"/>
                <w:sz w:val="20"/>
              </w:rPr>
              <w:t>25</w:t>
            </w:r>
          </w:p>
        </w:tc>
      </w:tr>
      <w:tr>
        <w:tc>
          <w:tcPr>
            <w:tcW w:type="dxa" w:w="2409"/>
          </w:tcPr>
          <w:p>
            <w:pPr>
              <w:jc w:val="center"/>
              <w:spacing w:line="300" w:lineRule="auto"/>
            </w:pPr>
            <w:r>
              <w:rPr>
                <w:rFonts w:ascii="宋体" w:hAnsi="宋体" w:eastAsia="宋体"/>
                <w:sz w:val="20"/>
              </w:rPr>
              <w:t>C 端收入（万元）</w:t>
            </w:r>
          </w:p>
        </w:tc>
        <w:tc>
          <w:tcPr>
            <w:tcW w:type="dxa" w:w="2409"/>
          </w:tcPr>
          <w:p>
            <w:pPr>
              <w:jc w:val="center"/>
              <w:spacing w:line="300" w:lineRule="auto"/>
            </w:pPr>
            <w:r>
              <w:rPr>
                <w:rFonts w:ascii="宋体" w:hAnsi="宋体" w:eastAsia="宋体"/>
                <w:sz w:val="20"/>
              </w:rPr>
              <w:t>80</w:t>
            </w:r>
          </w:p>
        </w:tc>
        <w:tc>
          <w:tcPr>
            <w:tcW w:type="dxa" w:w="2409"/>
          </w:tcPr>
          <w:p>
            <w:pPr>
              <w:jc w:val="center"/>
              <w:spacing w:line="300" w:lineRule="auto"/>
            </w:pPr>
            <w:r>
              <w:rPr>
                <w:rFonts w:ascii="宋体" w:hAnsi="宋体" w:eastAsia="宋体"/>
                <w:sz w:val="20"/>
              </w:rPr>
              <w:t>800</w:t>
            </w:r>
          </w:p>
        </w:tc>
        <w:tc>
          <w:tcPr>
            <w:tcW w:type="dxa" w:w="2409"/>
          </w:tcPr>
          <w:p>
            <w:pPr>
              <w:jc w:val="center"/>
              <w:spacing w:line="300" w:lineRule="auto"/>
            </w:pPr>
            <w:r>
              <w:rPr>
                <w:rFonts w:ascii="宋体" w:hAnsi="宋体" w:eastAsia="宋体"/>
                <w:sz w:val="20"/>
              </w:rPr>
              <w:t>5,000</w:t>
            </w:r>
          </w:p>
        </w:tc>
      </w:tr>
      <w:tr>
        <w:tc>
          <w:tcPr>
            <w:tcW w:type="dxa" w:w="2409"/>
          </w:tcPr>
          <w:p>
            <w:pPr>
              <w:jc w:val="center"/>
              <w:spacing w:line="300" w:lineRule="auto"/>
            </w:pPr>
            <w:r>
              <w:rPr>
                <w:rFonts w:ascii="宋体" w:hAnsi="宋体" w:eastAsia="宋体"/>
                <w:sz w:val="20"/>
              </w:rPr>
              <w:t>B 端合作院校（所）</w:t>
            </w:r>
          </w:p>
        </w:tc>
        <w:tc>
          <w:tcPr>
            <w:tcW w:type="dxa" w:w="2409"/>
          </w:tcPr>
          <w:p>
            <w:pPr>
              <w:jc w:val="center"/>
              <w:spacing w:line="300" w:lineRule="auto"/>
            </w:pPr>
            <w:r>
              <w:rPr>
                <w:rFonts w:ascii="宋体" w:hAnsi="宋体" w:eastAsia="宋体"/>
                <w:sz w:val="20"/>
              </w:rPr>
              <w:t>8</w:t>
            </w:r>
          </w:p>
        </w:tc>
        <w:tc>
          <w:tcPr>
            <w:tcW w:type="dxa" w:w="2409"/>
          </w:tcPr>
          <w:p>
            <w:pPr>
              <w:jc w:val="center"/>
              <w:spacing w:line="300" w:lineRule="auto"/>
            </w:pPr>
            <w:r>
              <w:rPr>
                <w:rFonts w:ascii="宋体" w:hAnsi="宋体" w:eastAsia="宋体"/>
                <w:sz w:val="20"/>
              </w:rPr>
              <w:t>50</w:t>
            </w:r>
          </w:p>
        </w:tc>
        <w:tc>
          <w:tcPr>
            <w:tcW w:type="dxa" w:w="2409"/>
          </w:tcPr>
          <w:p>
            <w:pPr>
              <w:jc w:val="center"/>
              <w:spacing w:line="300" w:lineRule="auto"/>
            </w:pPr>
            <w:r>
              <w:rPr>
                <w:rFonts w:ascii="宋体" w:hAnsi="宋体" w:eastAsia="宋体"/>
                <w:sz w:val="20"/>
              </w:rPr>
              <w:t>100</w:t>
            </w:r>
          </w:p>
        </w:tc>
      </w:tr>
      <w:tr>
        <w:tc>
          <w:tcPr>
            <w:tcW w:type="dxa" w:w="2409"/>
          </w:tcPr>
          <w:p>
            <w:pPr>
              <w:jc w:val="center"/>
              <w:spacing w:line="300" w:lineRule="auto"/>
            </w:pPr>
            <w:r>
              <w:rPr>
                <w:rFonts w:ascii="宋体" w:hAnsi="宋体" w:eastAsia="宋体"/>
                <w:sz w:val="20"/>
              </w:rPr>
              <w:t>B 端收入（万元）</w:t>
            </w:r>
          </w:p>
        </w:tc>
        <w:tc>
          <w:tcPr>
            <w:tcW w:type="dxa" w:w="2409"/>
          </w:tcPr>
          <w:p>
            <w:pPr>
              <w:jc w:val="center"/>
              <w:spacing w:line="300" w:lineRule="auto"/>
            </w:pPr>
            <w:r>
              <w:rPr>
                <w:rFonts w:ascii="宋体" w:hAnsi="宋体" w:eastAsia="宋体"/>
                <w:sz w:val="20"/>
              </w:rPr>
              <w:t>240</w:t>
            </w:r>
          </w:p>
        </w:tc>
        <w:tc>
          <w:tcPr>
            <w:tcW w:type="dxa" w:w="2409"/>
          </w:tcPr>
          <w:p>
            <w:pPr>
              <w:jc w:val="center"/>
              <w:spacing w:line="300" w:lineRule="auto"/>
            </w:pPr>
            <w:r>
              <w:rPr>
                <w:rFonts w:ascii="宋体" w:hAnsi="宋体" w:eastAsia="宋体"/>
                <w:sz w:val="20"/>
              </w:rPr>
              <w:t>2,500</w:t>
            </w:r>
          </w:p>
        </w:tc>
        <w:tc>
          <w:tcPr>
            <w:tcW w:type="dxa" w:w="2409"/>
          </w:tcPr>
          <w:p>
            <w:pPr>
              <w:jc w:val="center"/>
              <w:spacing w:line="300" w:lineRule="auto"/>
            </w:pPr>
            <w:r>
              <w:rPr>
                <w:rFonts w:ascii="宋体" w:hAnsi="宋体" w:eastAsia="宋体"/>
                <w:sz w:val="20"/>
              </w:rPr>
              <w:t>7,000</w:t>
            </w:r>
          </w:p>
        </w:tc>
      </w:tr>
      <w:tr>
        <w:tc>
          <w:tcPr>
            <w:tcW w:type="dxa" w:w="2409"/>
          </w:tcPr>
          <w:p>
            <w:pPr>
              <w:jc w:val="center"/>
              <w:spacing w:line="300" w:lineRule="auto"/>
            </w:pPr>
            <w:r>
              <w:rPr>
                <w:rFonts w:ascii="宋体" w:hAnsi="宋体" w:eastAsia="宋体"/>
                <w:sz w:val="20"/>
              </w:rPr>
              <w:t>总收入（万元）</w:t>
            </w:r>
          </w:p>
        </w:tc>
        <w:tc>
          <w:tcPr>
            <w:tcW w:type="dxa" w:w="2409"/>
          </w:tcPr>
          <w:p>
            <w:pPr>
              <w:jc w:val="center"/>
              <w:spacing w:line="300" w:lineRule="auto"/>
            </w:pPr>
            <w:r>
              <w:rPr>
                <w:rFonts w:ascii="宋体" w:hAnsi="宋体" w:eastAsia="宋体"/>
                <w:sz w:val="20"/>
              </w:rPr>
              <w:t>320</w:t>
            </w:r>
          </w:p>
        </w:tc>
        <w:tc>
          <w:tcPr>
            <w:tcW w:type="dxa" w:w="2409"/>
          </w:tcPr>
          <w:p>
            <w:pPr>
              <w:jc w:val="center"/>
              <w:spacing w:line="300" w:lineRule="auto"/>
            </w:pPr>
            <w:r>
              <w:rPr>
                <w:rFonts w:ascii="宋体" w:hAnsi="宋体" w:eastAsia="宋体"/>
                <w:sz w:val="20"/>
              </w:rPr>
              <w:t>3,300</w:t>
            </w:r>
          </w:p>
        </w:tc>
        <w:tc>
          <w:tcPr>
            <w:tcW w:type="dxa" w:w="2409"/>
          </w:tcPr>
          <w:p>
            <w:pPr>
              <w:jc w:val="center"/>
              <w:spacing w:line="300" w:lineRule="auto"/>
            </w:pPr>
            <w:r>
              <w:rPr>
                <w:rFonts w:ascii="宋体" w:hAnsi="宋体" w:eastAsia="宋体"/>
                <w:sz w:val="20"/>
              </w:rPr>
              <w:t>12,000</w:t>
            </w:r>
          </w:p>
        </w:tc>
      </w:tr>
    </w:tbl>
    <w:p>
      <w:pPr>
        <w:spacing w:line="240" w:lineRule="auto"/>
      </w:pPr>
      <w:r>
        <w:rPr>
          <w:sz w:val="16"/>
        </w:rPr>
      </w:r>
    </w:p>
    <w:p>
      <w:pPr>
        <w:jc w:val="left"/>
        <w:spacing w:line="300" w:lineRule="auto" w:before="240" w:after="120"/>
      </w:pPr>
      <w:r>
        <w:rPr>
          <w:rFonts w:ascii="黑体" w:hAnsi="黑体" w:eastAsia="黑体"/>
          <w:b/>
          <w:sz w:val="28"/>
        </w:rPr>
        <w:t>三、成本与利润预测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D9E2F3"/>
          </w:tcPr>
          <w:p>
            <w:pPr>
              <w:jc w:val="center"/>
              <w:spacing w:line="300" w:lineRule="auto"/>
            </w:pPr>
            <w:r>
              <w:rPr>
                <w:rFonts w:ascii="黑体" w:hAnsi="黑体" w:eastAsia="黑体"/>
                <w:b/>
                <w:sz w:val="20"/>
              </w:rPr>
              <w:t>项目</w:t>
            </w:r>
          </w:p>
        </w:tc>
        <w:tc>
          <w:tcPr>
            <w:tcW w:type="dxa" w:w="2409"/>
            <w:shd w:fill="D9E2F3"/>
          </w:tcPr>
          <w:p>
            <w:pPr>
              <w:jc w:val="center"/>
              <w:spacing w:line="300" w:lineRule="auto"/>
            </w:pPr>
            <w:r>
              <w:rPr>
                <w:rFonts w:ascii="黑体" w:hAnsi="黑体" w:eastAsia="黑体"/>
                <w:b/>
                <w:sz w:val="20"/>
              </w:rPr>
              <w:t>Year 1</w:t>
            </w:r>
          </w:p>
        </w:tc>
        <w:tc>
          <w:tcPr>
            <w:tcW w:type="dxa" w:w="2409"/>
            <w:shd w:fill="D9E2F3"/>
          </w:tcPr>
          <w:p>
            <w:pPr>
              <w:jc w:val="center"/>
              <w:spacing w:line="300" w:lineRule="auto"/>
            </w:pPr>
            <w:r>
              <w:rPr>
                <w:rFonts w:ascii="黑体" w:hAnsi="黑体" w:eastAsia="黑体"/>
                <w:b/>
                <w:sz w:val="20"/>
              </w:rPr>
              <w:t>Year 2</w:t>
            </w:r>
          </w:p>
        </w:tc>
        <w:tc>
          <w:tcPr>
            <w:tcW w:type="dxa" w:w="2409"/>
            <w:shd w:fill="D9E2F3"/>
          </w:tcPr>
          <w:p>
            <w:pPr>
              <w:jc w:val="center"/>
              <w:spacing w:line="300" w:lineRule="auto"/>
            </w:pPr>
            <w:r>
              <w:rPr>
                <w:rFonts w:ascii="黑体" w:hAnsi="黑体" w:eastAsia="黑体"/>
                <w:b/>
                <w:sz w:val="20"/>
              </w:rPr>
              <w:t>Year 3</w:t>
            </w:r>
          </w:p>
        </w:tc>
      </w:tr>
      <w:tr>
        <w:tc>
          <w:tcPr>
            <w:tcW w:type="dxa" w:w="2409"/>
          </w:tcPr>
          <w:p>
            <w:pPr>
              <w:jc w:val="center"/>
              <w:spacing w:line="300" w:lineRule="auto"/>
            </w:pPr>
            <w:r>
              <w:rPr>
                <w:rFonts w:ascii="宋体" w:hAnsi="宋体" w:eastAsia="宋体"/>
                <w:sz w:val="20"/>
              </w:rPr>
              <w:t>人力成本（万元）</w:t>
            </w:r>
          </w:p>
        </w:tc>
        <w:tc>
          <w:tcPr>
            <w:tcW w:type="dxa" w:w="2409"/>
          </w:tcPr>
          <w:p>
            <w:pPr>
              <w:jc w:val="center"/>
              <w:spacing w:line="300" w:lineRule="auto"/>
            </w:pPr>
            <w:r>
              <w:rPr>
                <w:rFonts w:ascii="宋体" w:hAnsi="宋体" w:eastAsia="宋体"/>
                <w:sz w:val="20"/>
              </w:rPr>
              <w:t>60</w:t>
            </w:r>
          </w:p>
        </w:tc>
        <w:tc>
          <w:tcPr>
            <w:tcW w:type="dxa" w:w="2409"/>
          </w:tcPr>
          <w:p>
            <w:pPr>
              <w:jc w:val="center"/>
              <w:spacing w:line="300" w:lineRule="auto"/>
            </w:pPr>
            <w:r>
              <w:rPr>
                <w:rFonts w:ascii="宋体" w:hAnsi="宋体" w:eastAsia="宋体"/>
                <w:sz w:val="20"/>
              </w:rPr>
              <w:t>180</w:t>
            </w:r>
          </w:p>
        </w:tc>
        <w:tc>
          <w:tcPr>
            <w:tcW w:type="dxa" w:w="2409"/>
          </w:tcPr>
          <w:p>
            <w:pPr>
              <w:jc w:val="center"/>
              <w:spacing w:line="300" w:lineRule="auto"/>
            </w:pPr>
            <w:r>
              <w:rPr>
                <w:rFonts w:ascii="宋体" w:hAnsi="宋体" w:eastAsia="宋体"/>
                <w:sz w:val="20"/>
              </w:rPr>
              <w:t>400</w:t>
            </w:r>
          </w:p>
        </w:tc>
      </w:tr>
      <w:tr>
        <w:tc>
          <w:tcPr>
            <w:tcW w:type="dxa" w:w="2409"/>
          </w:tcPr>
          <w:p>
            <w:pPr>
              <w:jc w:val="center"/>
              <w:spacing w:line="300" w:lineRule="auto"/>
            </w:pPr>
            <w:r>
              <w:rPr>
                <w:rFonts w:ascii="宋体" w:hAnsi="宋体" w:eastAsia="宋体"/>
                <w:sz w:val="20"/>
              </w:rPr>
              <w:t>云服务成本（万元）</w:t>
            </w:r>
          </w:p>
        </w:tc>
        <w:tc>
          <w:tcPr>
            <w:tcW w:type="dxa" w:w="2409"/>
          </w:tcPr>
          <w:p>
            <w:pPr>
              <w:jc w:val="center"/>
              <w:spacing w:line="300" w:lineRule="auto"/>
            </w:pPr>
            <w:r>
              <w:rPr>
                <w:rFonts w:ascii="宋体" w:hAnsi="宋体" w:eastAsia="宋体"/>
                <w:sz w:val="20"/>
              </w:rPr>
              <w:t>30</w:t>
            </w:r>
          </w:p>
        </w:tc>
        <w:tc>
          <w:tcPr>
            <w:tcW w:type="dxa" w:w="2409"/>
          </w:tcPr>
          <w:p>
            <w:pPr>
              <w:jc w:val="center"/>
              <w:spacing w:line="300" w:lineRule="auto"/>
            </w:pPr>
            <w:r>
              <w:rPr>
                <w:rFonts w:ascii="宋体" w:hAnsi="宋体" w:eastAsia="宋体"/>
                <w:sz w:val="20"/>
              </w:rPr>
              <w:t>150</w:t>
            </w:r>
          </w:p>
        </w:tc>
        <w:tc>
          <w:tcPr>
            <w:tcW w:type="dxa" w:w="2409"/>
          </w:tcPr>
          <w:p>
            <w:pPr>
              <w:jc w:val="center"/>
              <w:spacing w:line="300" w:lineRule="auto"/>
            </w:pPr>
            <w:r>
              <w:rPr>
                <w:rFonts w:ascii="宋体" w:hAnsi="宋体" w:eastAsia="宋体"/>
                <w:sz w:val="20"/>
              </w:rPr>
              <w:t>500</w:t>
            </w:r>
          </w:p>
        </w:tc>
      </w:tr>
      <w:tr>
        <w:tc>
          <w:tcPr>
            <w:tcW w:type="dxa" w:w="2409"/>
          </w:tcPr>
          <w:p>
            <w:pPr>
              <w:jc w:val="center"/>
              <w:spacing w:line="300" w:lineRule="auto"/>
            </w:pPr>
            <w:r>
              <w:rPr>
                <w:rFonts w:ascii="宋体" w:hAnsi="宋体" w:eastAsia="宋体"/>
                <w:sz w:val="20"/>
              </w:rPr>
              <w:t>市场推广（万元）</w:t>
            </w:r>
          </w:p>
        </w:tc>
        <w:tc>
          <w:tcPr>
            <w:tcW w:type="dxa" w:w="2409"/>
          </w:tcPr>
          <w:p>
            <w:pPr>
              <w:jc w:val="center"/>
              <w:spacing w:line="300" w:lineRule="auto"/>
            </w:pPr>
            <w:r>
              <w:rPr>
                <w:rFonts w:ascii="宋体" w:hAnsi="宋体" w:eastAsia="宋体"/>
                <w:sz w:val="20"/>
              </w:rPr>
              <w:t>75</w:t>
            </w:r>
          </w:p>
        </w:tc>
        <w:tc>
          <w:tcPr>
            <w:tcW w:type="dxa" w:w="2409"/>
          </w:tcPr>
          <w:p>
            <w:pPr>
              <w:jc w:val="center"/>
              <w:spacing w:line="300" w:lineRule="auto"/>
            </w:pPr>
            <w:r>
              <w:rPr>
                <w:rFonts w:ascii="宋体" w:hAnsi="宋体" w:eastAsia="宋体"/>
                <w:sz w:val="20"/>
              </w:rPr>
              <w:t>300</w:t>
            </w:r>
          </w:p>
        </w:tc>
        <w:tc>
          <w:tcPr>
            <w:tcW w:type="dxa" w:w="2409"/>
          </w:tcPr>
          <w:p>
            <w:pPr>
              <w:jc w:val="center"/>
              <w:spacing w:line="300" w:lineRule="auto"/>
            </w:pPr>
            <w:r>
              <w:rPr>
                <w:rFonts w:ascii="宋体" w:hAnsi="宋体" w:eastAsia="宋体"/>
                <w:sz w:val="20"/>
              </w:rPr>
              <w:t>800</w:t>
            </w:r>
          </w:p>
        </w:tc>
      </w:tr>
      <w:tr>
        <w:tc>
          <w:tcPr>
            <w:tcW w:type="dxa" w:w="2409"/>
          </w:tcPr>
          <w:p>
            <w:pPr>
              <w:jc w:val="center"/>
              <w:spacing w:line="300" w:lineRule="auto"/>
            </w:pPr>
            <w:r>
              <w:rPr>
                <w:rFonts w:ascii="宋体" w:hAnsi="宋体" w:eastAsia="宋体"/>
                <w:sz w:val="20"/>
              </w:rPr>
              <w:t>办公及其他（万元）</w:t>
            </w:r>
          </w:p>
        </w:tc>
        <w:tc>
          <w:tcPr>
            <w:tcW w:type="dxa" w:w="2409"/>
          </w:tcPr>
          <w:p>
            <w:pPr>
              <w:jc w:val="center"/>
              <w:spacing w:line="300" w:lineRule="auto"/>
            </w:pPr>
            <w:r>
              <w:rPr>
                <w:rFonts w:ascii="宋体" w:hAnsi="宋体" w:eastAsia="宋体"/>
                <w:sz w:val="20"/>
              </w:rPr>
              <w:t>35</w:t>
            </w:r>
          </w:p>
        </w:tc>
        <w:tc>
          <w:tcPr>
            <w:tcW w:type="dxa" w:w="2409"/>
          </w:tcPr>
          <w:p>
            <w:pPr>
              <w:jc w:val="center"/>
              <w:spacing w:line="300" w:lineRule="auto"/>
            </w:pPr>
            <w:r>
              <w:rPr>
                <w:rFonts w:ascii="宋体" w:hAnsi="宋体" w:eastAsia="宋体"/>
                <w:sz w:val="20"/>
              </w:rPr>
              <w:t>80</w:t>
            </w:r>
          </w:p>
        </w:tc>
        <w:tc>
          <w:tcPr>
            <w:tcW w:type="dxa" w:w="2409"/>
          </w:tcPr>
          <w:p>
            <w:pPr>
              <w:jc w:val="center"/>
              <w:spacing w:line="300" w:lineRule="auto"/>
            </w:pPr>
            <w:r>
              <w:rPr>
                <w:rFonts w:ascii="宋体" w:hAnsi="宋体" w:eastAsia="宋体"/>
                <w:sz w:val="20"/>
              </w:rPr>
              <w:t>200</w:t>
            </w:r>
          </w:p>
        </w:tc>
      </w:tr>
      <w:tr>
        <w:tc>
          <w:tcPr>
            <w:tcW w:type="dxa" w:w="2409"/>
          </w:tcPr>
          <w:p>
            <w:pPr>
              <w:jc w:val="center"/>
              <w:spacing w:line="300" w:lineRule="auto"/>
            </w:pPr>
            <w:r>
              <w:rPr>
                <w:rFonts w:ascii="宋体" w:hAnsi="宋体" w:eastAsia="宋体"/>
                <w:sz w:val="20"/>
              </w:rPr>
              <w:t>总成本（万元）</w:t>
            </w:r>
          </w:p>
        </w:tc>
        <w:tc>
          <w:tcPr>
            <w:tcW w:type="dxa" w:w="2409"/>
          </w:tcPr>
          <w:p>
            <w:pPr>
              <w:jc w:val="center"/>
              <w:spacing w:line="300" w:lineRule="auto"/>
            </w:pPr>
            <w:r>
              <w:rPr>
                <w:rFonts w:ascii="宋体" w:hAnsi="宋体" w:eastAsia="宋体"/>
                <w:sz w:val="20"/>
              </w:rPr>
              <w:t>200</w:t>
            </w:r>
          </w:p>
        </w:tc>
        <w:tc>
          <w:tcPr>
            <w:tcW w:type="dxa" w:w="2409"/>
          </w:tcPr>
          <w:p>
            <w:pPr>
              <w:jc w:val="center"/>
              <w:spacing w:line="300" w:lineRule="auto"/>
            </w:pPr>
            <w:r>
              <w:rPr>
                <w:rFonts w:ascii="宋体" w:hAnsi="宋体" w:eastAsia="宋体"/>
                <w:sz w:val="20"/>
              </w:rPr>
              <w:t>710</w:t>
            </w:r>
          </w:p>
        </w:tc>
        <w:tc>
          <w:tcPr>
            <w:tcW w:type="dxa" w:w="2409"/>
          </w:tcPr>
          <w:p>
            <w:pPr>
              <w:jc w:val="center"/>
              <w:spacing w:line="300" w:lineRule="auto"/>
            </w:pPr>
            <w:r>
              <w:rPr>
                <w:rFonts w:ascii="宋体" w:hAnsi="宋体" w:eastAsia="宋体"/>
                <w:sz w:val="20"/>
              </w:rPr>
              <w:t>1,900</w:t>
            </w:r>
          </w:p>
        </w:tc>
      </w:tr>
      <w:tr>
        <w:tc>
          <w:tcPr>
            <w:tcW w:type="dxa" w:w="2409"/>
          </w:tcPr>
          <w:p>
            <w:pPr>
              <w:jc w:val="center"/>
              <w:spacing w:line="300" w:lineRule="auto"/>
            </w:pPr>
            <w:r>
              <w:rPr>
                <w:rFonts w:ascii="宋体" w:hAnsi="宋体" w:eastAsia="宋体"/>
                <w:sz w:val="20"/>
              </w:rPr>
              <w:t>毛利（万元）</w:t>
            </w:r>
          </w:p>
        </w:tc>
        <w:tc>
          <w:tcPr>
            <w:tcW w:type="dxa" w:w="2409"/>
          </w:tcPr>
          <w:p>
            <w:pPr>
              <w:jc w:val="center"/>
              <w:spacing w:line="300" w:lineRule="auto"/>
            </w:pPr>
            <w:r>
              <w:rPr>
                <w:rFonts w:ascii="宋体" w:hAnsi="宋体" w:eastAsia="宋体"/>
                <w:sz w:val="20"/>
              </w:rPr>
              <w:t>120</w:t>
            </w:r>
          </w:p>
        </w:tc>
        <w:tc>
          <w:tcPr>
            <w:tcW w:type="dxa" w:w="2409"/>
          </w:tcPr>
          <w:p>
            <w:pPr>
              <w:jc w:val="center"/>
              <w:spacing w:line="300" w:lineRule="auto"/>
            </w:pPr>
            <w:r>
              <w:rPr>
                <w:rFonts w:ascii="宋体" w:hAnsi="宋体" w:eastAsia="宋体"/>
                <w:sz w:val="20"/>
              </w:rPr>
              <w:t>2,590</w:t>
            </w:r>
          </w:p>
        </w:tc>
        <w:tc>
          <w:tcPr>
            <w:tcW w:type="dxa" w:w="2409"/>
          </w:tcPr>
          <w:p>
            <w:pPr>
              <w:jc w:val="center"/>
              <w:spacing w:line="300" w:lineRule="auto"/>
            </w:pPr>
            <w:r>
              <w:rPr>
                <w:rFonts w:ascii="宋体" w:hAnsi="宋体" w:eastAsia="宋体"/>
                <w:sz w:val="20"/>
              </w:rPr>
              <w:t>10,100</w:t>
            </w:r>
          </w:p>
        </w:tc>
      </w:tr>
      <w:tr>
        <w:tc>
          <w:tcPr>
            <w:tcW w:type="dxa" w:w="2409"/>
          </w:tcPr>
          <w:p>
            <w:pPr>
              <w:jc w:val="center"/>
              <w:spacing w:line="300" w:lineRule="auto"/>
            </w:pPr>
            <w:r>
              <w:rPr>
                <w:rFonts w:ascii="宋体" w:hAnsi="宋体" w:eastAsia="宋体"/>
                <w:sz w:val="20"/>
              </w:rPr>
              <w:t>净利润（万元）</w:t>
            </w:r>
          </w:p>
        </w:tc>
        <w:tc>
          <w:tcPr>
            <w:tcW w:type="dxa" w:w="2409"/>
          </w:tcPr>
          <w:p>
            <w:pPr>
              <w:jc w:val="center"/>
              <w:spacing w:line="300" w:lineRule="auto"/>
            </w:pPr>
            <w:r>
              <w:rPr>
                <w:rFonts w:ascii="宋体" w:hAnsi="宋体" w:eastAsia="宋体"/>
                <w:sz w:val="20"/>
              </w:rPr>
              <w:t>-80</w:t>
            </w:r>
          </w:p>
        </w:tc>
        <w:tc>
          <w:tcPr>
            <w:tcW w:type="dxa" w:w="2409"/>
          </w:tcPr>
          <w:p>
            <w:pPr>
              <w:jc w:val="center"/>
              <w:spacing w:line="300" w:lineRule="auto"/>
            </w:pPr>
            <w:r>
              <w:rPr>
                <w:rFonts w:ascii="宋体" w:hAnsi="宋体" w:eastAsia="宋体"/>
                <w:sz w:val="20"/>
              </w:rPr>
              <w:t>-150</w:t>
            </w:r>
          </w:p>
        </w:tc>
        <w:tc>
          <w:tcPr>
            <w:tcW w:type="dxa" w:w="2409"/>
          </w:tcPr>
          <w:p>
            <w:pPr>
              <w:jc w:val="center"/>
              <w:spacing w:line="300" w:lineRule="auto"/>
            </w:pPr>
            <w:r>
              <w:rPr>
                <w:rFonts w:ascii="宋体" w:hAnsi="宋体" w:eastAsia="宋体"/>
                <w:sz w:val="20"/>
              </w:rPr>
              <w:t>约 0（盈亏平衡）</w:t>
            </w:r>
          </w:p>
        </w:tc>
      </w:tr>
    </w:tbl>
    <w:p>
      <w:pPr>
        <w:spacing w:line="300" w:lineRule="auto"/>
      </w:pPr>
      <w:r>
        <w:rPr>
          <w:rFonts w:ascii="宋体" w:hAnsi="宋体" w:eastAsia="宋体"/>
          <w:sz w:val="24"/>
        </w:rPr>
        <w:t>注：Year 3 目标为实现盈亏平衡，若市场增长超预期则有望实现盈利。</w:t>
      </w:r>
    </w:p>
    <w:p>
      <w:pPr>
        <w:spacing w:line="240" w:lineRule="auto"/>
      </w:pPr>
      <w:r>
        <w:rPr>
          <w:sz w:val="16"/>
        </w:rPr>
      </w:r>
    </w:p>
    <w:p>
      <w:pPr>
        <w:jc w:val="left"/>
        <w:spacing w:line="300" w:lineRule="auto" w:before="240" w:after="120"/>
      </w:pPr>
      <w:r>
        <w:rPr>
          <w:rFonts w:ascii="黑体" w:hAnsi="黑体" w:eastAsia="黑体"/>
          <w:b/>
          <w:sz w:val="28"/>
        </w:rPr>
        <w:t>四、关键财务假设</w:t>
      </w:r>
    </w:p>
    <w:p>
      <w:pPr>
        <w:spacing w:line="300" w:lineRule="auto"/>
        <w:ind w:firstLine="480" w:firstLineChars="200"/>
      </w:pPr>
      <w:r>
        <w:rPr>
          <w:rFonts w:ascii="宋体" w:hAnsi="宋体" w:eastAsia="宋体"/>
          <w:sz w:val="24"/>
        </w:rPr>
        <w:t>单个 Pro 用户月度 API 调用成本约 3-5 元（随模型降价逐年下降）。</w:t>
      </w:r>
    </w:p>
    <w:p>
      <w:pPr>
        <w:spacing w:line="300" w:lineRule="auto"/>
        <w:ind w:firstLine="480" w:firstLineChars="200"/>
      </w:pPr>
      <w:r>
        <w:rPr>
          <w:rFonts w:ascii="宋体" w:hAnsi="宋体" w:eastAsia="宋体"/>
          <w:sz w:val="24"/>
        </w:rPr>
        <w:t>获客成本（CAC）约 8-12 元/新用户。</w:t>
      </w:r>
    </w:p>
    <w:p>
      <w:pPr>
        <w:spacing w:line="300" w:lineRule="auto"/>
        <w:ind w:firstLine="480" w:firstLineChars="200"/>
      </w:pPr>
      <w:r>
        <w:rPr>
          <w:rFonts w:ascii="宋体" w:hAnsi="宋体" w:eastAsia="宋体"/>
          <w:sz w:val="24"/>
        </w:rPr>
        <w:t>用户生命周期价值（LTV）约 180 元。</w:t>
      </w:r>
    </w:p>
    <w:p>
      <w:pPr>
        <w:spacing w:line="300" w:lineRule="auto"/>
        <w:ind w:firstLine="480" w:firstLineChars="200"/>
      </w:pPr>
      <w:r>
        <w:rPr>
          <w:rFonts w:ascii="宋体" w:hAnsi="宋体" w:eastAsia="宋体"/>
          <w:sz w:val="24"/>
        </w:rPr>
        <w:t>LTV/CAC 比率 &gt; 15:1，处于健康水平。</w:t>
      </w:r>
    </w:p>
    <w:p>
      <w:pPr>
        <w:spacing w:line="300" w:lineRule="auto"/>
        <w:ind w:firstLine="480" w:firstLineChars="200"/>
      </w:pPr>
      <w:r>
        <w:rPr>
          <w:rFonts w:ascii="宋体" w:hAnsi="宋体" w:eastAsia="宋体"/>
          <w:sz w:val="24"/>
        </w:rPr>
        <w:t>B 端合作均价 70 万元/校/年。</w:t>
      </w:r>
    </w:p>
    <w:p>
      <w:pPr>
        <w:jc w:val="left"/>
        <w:spacing w:line="300" w:lineRule="auto" w:before="240" w:after="120"/>
      </w:pPr>
      <w:r>
        <w:rPr>
          <w:rFonts w:ascii="黑体" w:hAnsi="黑体" w:eastAsia="黑体"/>
          <w:b/>
          <w:sz w:val="28"/>
        </w:rPr>
        <w:t>五、退出机制</w:t>
      </w:r>
    </w:p>
    <w:p>
      <w:pPr>
        <w:spacing w:line="300" w:lineRule="auto"/>
        <w:ind w:firstLine="480" w:firstLineChars="200"/>
      </w:pPr>
      <w:r>
        <w:rPr>
          <w:rFonts w:ascii="宋体" w:hAnsi="宋体" w:eastAsia="宋体"/>
          <w:sz w:val="24"/>
        </w:rPr>
        <w:t>并购退出：被在线教育头部企业（如网易有道、作业帮、好未来）或互联网大厂（字节跳动、百度）收购。估值参考同类 AI 教育公司并购案例，预期 3-5 年可实现 3-5 亿元级退出。</w:t>
      </w:r>
    </w:p>
    <w:p>
      <w:pPr>
        <w:spacing w:line="300" w:lineRule="auto"/>
        <w:ind w:firstLine="480" w:firstLineChars="200"/>
      </w:pPr>
      <w:r>
        <w:rPr>
          <w:rFonts w:ascii="宋体" w:hAnsi="宋体" w:eastAsia="宋体"/>
          <w:sz w:val="24"/>
        </w:rPr>
        <w:t>独立上市：若用户规模和收入达到相应门槛，可考虑科创板或港股上市。需进一步验证持续盈利能力。</w:t>
      </w:r>
    </w:p>
    <w:p>
      <w:pPr>
        <w:spacing w:line="300" w:lineRule="auto"/>
        <w:ind w:firstLine="480" w:firstLineChars="200"/>
      </w:pPr>
      <w:r>
        <w:rPr>
          <w:rFonts w:ascii="宋体" w:hAnsi="宋体" w:eastAsia="宋体"/>
          <w:sz w:val="24"/>
        </w:rPr>
        <w:t>后续融资：A 轮（Year 2）计划融资 800-1500 万元，B 轮（Year 3-4）计划融资 3000-5000 万元。</w:t>
      </w:r>
    </w:p>
    <w:p>
      <w:r>
        <w:br w:type="page"/>
      </w:r>
    </w:p>
    <w:p>
      <w:pPr>
        <w:jc w:val="left"/>
        <w:spacing w:line="300" w:lineRule="auto" w:before="360" w:after="200"/>
      </w:pPr>
      <w:r>
        <w:rPr>
          <w:rFonts w:ascii="黑体" w:hAnsi="黑体" w:eastAsia="黑体"/>
          <w:b/>
          <w:sz w:val="32"/>
        </w:rPr>
        <w:t>第八章　附　录</w:t>
      </w:r>
    </w:p>
    <w:p>
      <w:pPr>
        <w:spacing w:line="240" w:lineRule="auto"/>
      </w:pPr>
      <w:r>
        <w:rPr>
          <w:sz w:val="16"/>
        </w:rPr>
      </w:r>
    </w:p>
    <w:p>
      <w:pPr>
        <w:jc w:val="left"/>
        <w:spacing w:line="300" w:lineRule="auto" w:before="240" w:after="120"/>
      </w:pPr>
      <w:r>
        <w:rPr>
          <w:rFonts w:ascii="黑体" w:hAnsi="黑体" w:eastAsia="黑体"/>
          <w:b/>
          <w:sz w:val="28"/>
        </w:rPr>
        <w:t>附录 A：课程知识图谱建设计划（首批 30 门课程）</w:t>
      </w:r>
    </w:p>
    <w:p>
      <w:pPr>
        <w:spacing w:line="300" w:lineRule="auto"/>
        <w:ind w:firstLine="480" w:firstLineChars="200"/>
      </w:pPr>
      <w:r>
        <w:rPr>
          <w:rFonts w:ascii="宋体" w:hAnsi="宋体" w:eastAsia="宋体"/>
          <w:sz w:val="24"/>
        </w:rPr>
        <w:t>数学类：高等数学（上/下）、线性代数、概率论与数理统计、离散数学。</w:t>
      </w:r>
    </w:p>
    <w:p>
      <w:pPr>
        <w:spacing w:line="300" w:lineRule="auto"/>
        <w:ind w:firstLine="480" w:firstLineChars="200"/>
      </w:pPr>
      <w:r>
        <w:rPr>
          <w:rFonts w:ascii="宋体" w:hAnsi="宋体" w:eastAsia="宋体"/>
          <w:sz w:val="24"/>
        </w:rPr>
        <w:t>计算机类：程序设计基础（C/C++）、数据结构、操作系统、计算机网络、数据库系统、计算机组成原理、算法设计与分析。</w:t>
      </w:r>
    </w:p>
    <w:p>
      <w:pPr>
        <w:spacing w:line="300" w:lineRule="auto"/>
        <w:ind w:firstLine="480" w:firstLineChars="200"/>
      </w:pPr>
      <w:r>
        <w:rPr>
          <w:rFonts w:ascii="宋体" w:hAnsi="宋体" w:eastAsia="宋体"/>
          <w:sz w:val="24"/>
        </w:rPr>
        <w:t>物理类：大学物理（上/下）。</w:t>
      </w:r>
    </w:p>
    <w:p>
      <w:pPr>
        <w:spacing w:line="300" w:lineRule="auto"/>
        <w:ind w:firstLine="480" w:firstLineChars="200"/>
      </w:pPr>
      <w:r>
        <w:rPr>
          <w:rFonts w:ascii="宋体" w:hAnsi="宋体" w:eastAsia="宋体"/>
          <w:sz w:val="24"/>
        </w:rPr>
        <w:t>电子类：电路分析、模拟电子技术、数字电子技术、信号与系统。</w:t>
      </w:r>
    </w:p>
    <w:p>
      <w:pPr>
        <w:spacing w:line="300" w:lineRule="auto"/>
        <w:ind w:firstLine="480" w:firstLineChars="200"/>
      </w:pPr>
      <w:r>
        <w:rPr>
          <w:rFonts w:ascii="宋体" w:hAnsi="宋体" w:eastAsia="宋体"/>
          <w:sz w:val="24"/>
        </w:rPr>
        <w:t>经管类：微观经济学、宏观经济学、管理学原理、会计学原理。</w:t>
      </w:r>
    </w:p>
    <w:p>
      <w:pPr>
        <w:spacing w:line="300" w:lineRule="auto"/>
        <w:ind w:firstLine="480" w:firstLineChars="200"/>
      </w:pPr>
      <w:r>
        <w:rPr>
          <w:rFonts w:ascii="宋体" w:hAnsi="宋体" w:eastAsia="宋体"/>
          <w:sz w:val="24"/>
        </w:rPr>
        <w:t>外语类：大学英语（4/6 级备考知识图谱）。</w:t>
      </w:r>
    </w:p>
    <w:p>
      <w:pPr>
        <w:spacing w:line="300" w:lineRule="auto"/>
        <w:ind w:firstLine="480" w:firstLineChars="200"/>
      </w:pPr>
      <w:r>
        <w:rPr>
          <w:rFonts w:ascii="宋体" w:hAnsi="宋体" w:eastAsia="宋体"/>
          <w:sz w:val="24"/>
        </w:rPr>
        <w:t>考研公共课：考研数学（一/二/三）、考研英语、考研政治。</w:t>
      </w:r>
    </w:p>
    <w:p>
      <w:pPr>
        <w:spacing w:line="240" w:lineRule="auto"/>
      </w:pPr>
      <w:r>
        <w:rPr>
          <w:sz w:val="16"/>
        </w:rPr>
      </w:r>
    </w:p>
    <w:p>
      <w:pPr>
        <w:jc w:val="left"/>
        <w:spacing w:line="300" w:lineRule="auto" w:before="240" w:after="120"/>
      </w:pPr>
      <w:r>
        <w:rPr>
          <w:rFonts w:ascii="黑体" w:hAnsi="黑体" w:eastAsia="黑体"/>
          <w:b/>
          <w:sz w:val="28"/>
        </w:rPr>
        <w:t>附录 B：MVP 核心功能清单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D9E2F3"/>
          </w:tcPr>
          <w:p>
            <w:pPr>
              <w:jc w:val="center"/>
              <w:spacing w:line="300" w:lineRule="auto"/>
            </w:pPr>
            <w:r>
              <w:rPr>
                <w:rFonts w:ascii="黑体" w:hAnsi="黑体" w:eastAsia="黑体"/>
                <w:b/>
                <w:sz w:val="20"/>
              </w:rPr>
              <w:t>编号</w:t>
            </w:r>
          </w:p>
        </w:tc>
        <w:tc>
          <w:tcPr>
            <w:tcW w:type="dxa" w:w="2409"/>
            <w:shd w:fill="D9E2F3"/>
          </w:tcPr>
          <w:p>
            <w:pPr>
              <w:jc w:val="center"/>
              <w:spacing w:line="300" w:lineRule="auto"/>
            </w:pPr>
            <w:r>
              <w:rPr>
                <w:rFonts w:ascii="黑体" w:hAnsi="黑体" w:eastAsia="黑体"/>
                <w:b/>
                <w:sz w:val="20"/>
              </w:rPr>
              <w:t>功能</w:t>
            </w:r>
          </w:p>
        </w:tc>
        <w:tc>
          <w:tcPr>
            <w:tcW w:type="dxa" w:w="2409"/>
            <w:shd w:fill="D9E2F3"/>
          </w:tcPr>
          <w:p>
            <w:pPr>
              <w:jc w:val="center"/>
              <w:spacing w:line="300" w:lineRule="auto"/>
            </w:pPr>
            <w:r>
              <w:rPr>
                <w:rFonts w:ascii="黑体" w:hAnsi="黑体" w:eastAsia="黑体"/>
                <w:b/>
                <w:sz w:val="20"/>
              </w:rPr>
              <w:t>优先级</w:t>
            </w:r>
          </w:p>
        </w:tc>
        <w:tc>
          <w:tcPr>
            <w:tcW w:type="dxa" w:w="2409"/>
            <w:shd w:fill="D9E2F3"/>
          </w:tcPr>
          <w:p>
            <w:pPr>
              <w:jc w:val="center"/>
              <w:spacing w:line="300" w:lineRule="auto"/>
            </w:pPr>
            <w:r>
              <w:rPr>
                <w:rFonts w:ascii="黑体" w:hAnsi="黑体" w:eastAsia="黑体"/>
                <w:b/>
                <w:sz w:val="20"/>
              </w:rPr>
              <w:t>预估工期</w:t>
            </w:r>
          </w:p>
        </w:tc>
      </w:tr>
      <w:tr>
        <w:tc>
          <w:tcPr>
            <w:tcW w:type="dxa" w:w="2409"/>
          </w:tcPr>
          <w:p>
            <w:pPr>
              <w:jc w:val="center"/>
              <w:spacing w:line="300" w:lineRule="auto"/>
            </w:pPr>
            <w:r>
              <w:rPr>
                <w:rFonts w:ascii="宋体" w:hAnsi="宋体" w:eastAsia="宋体"/>
                <w:sz w:val="20"/>
              </w:rPr>
              <w:t>F01</w:t>
            </w:r>
          </w:p>
        </w:tc>
        <w:tc>
          <w:tcPr>
            <w:tcW w:type="dxa" w:w="2409"/>
          </w:tcPr>
          <w:p>
            <w:pPr>
              <w:jc w:val="center"/>
              <w:spacing w:line="300" w:lineRule="auto"/>
            </w:pPr>
            <w:r>
              <w:rPr>
                <w:rFonts w:ascii="宋体" w:hAnsi="宋体" w:eastAsia="宋体"/>
                <w:sz w:val="20"/>
              </w:rPr>
              <w:t>AI 文字问答（基础）</w:t>
            </w:r>
          </w:p>
        </w:tc>
        <w:tc>
          <w:tcPr>
            <w:tcW w:type="dxa" w:w="2409"/>
          </w:tcPr>
          <w:p>
            <w:pPr>
              <w:jc w:val="center"/>
              <w:spacing w:line="300" w:lineRule="auto"/>
            </w:pPr>
            <w:r>
              <w:rPr>
                <w:rFonts w:ascii="宋体" w:hAnsi="宋体" w:eastAsia="宋体"/>
                <w:sz w:val="20"/>
              </w:rPr>
              <w:t>P0</w:t>
            </w:r>
          </w:p>
        </w:tc>
        <w:tc>
          <w:tcPr>
            <w:tcW w:type="dxa" w:w="2409"/>
          </w:tcPr>
          <w:p>
            <w:pPr>
              <w:jc w:val="center"/>
              <w:spacing w:line="300" w:lineRule="auto"/>
            </w:pPr>
            <w:r>
              <w:rPr>
                <w:rFonts w:ascii="宋体" w:hAnsi="宋体" w:eastAsia="宋体"/>
                <w:sz w:val="20"/>
              </w:rPr>
              <w:t>4 周</w:t>
            </w:r>
          </w:p>
        </w:tc>
      </w:tr>
      <w:tr>
        <w:tc>
          <w:tcPr>
            <w:tcW w:type="dxa" w:w="2409"/>
          </w:tcPr>
          <w:p>
            <w:pPr>
              <w:jc w:val="center"/>
              <w:spacing w:line="300" w:lineRule="auto"/>
            </w:pPr>
            <w:r>
              <w:rPr>
                <w:rFonts w:ascii="宋体" w:hAnsi="宋体" w:eastAsia="宋体"/>
                <w:sz w:val="20"/>
              </w:rPr>
              <w:t>F02</w:t>
            </w:r>
          </w:p>
        </w:tc>
        <w:tc>
          <w:tcPr>
            <w:tcW w:type="dxa" w:w="2409"/>
          </w:tcPr>
          <w:p>
            <w:pPr>
              <w:jc w:val="center"/>
              <w:spacing w:line="300" w:lineRule="auto"/>
            </w:pPr>
            <w:r>
              <w:rPr>
                <w:rFonts w:ascii="宋体" w:hAnsi="宋体" w:eastAsia="宋体"/>
                <w:sz w:val="20"/>
              </w:rPr>
              <w:t>用户注册与登录</w:t>
            </w:r>
          </w:p>
        </w:tc>
        <w:tc>
          <w:tcPr>
            <w:tcW w:type="dxa" w:w="2409"/>
          </w:tcPr>
          <w:p>
            <w:pPr>
              <w:jc w:val="center"/>
              <w:spacing w:line="300" w:lineRule="auto"/>
            </w:pPr>
            <w:r>
              <w:rPr>
                <w:rFonts w:ascii="宋体" w:hAnsi="宋体" w:eastAsia="宋体"/>
                <w:sz w:val="20"/>
              </w:rPr>
              <w:t>P0</w:t>
            </w:r>
          </w:p>
        </w:tc>
        <w:tc>
          <w:tcPr>
            <w:tcW w:type="dxa" w:w="2409"/>
          </w:tcPr>
          <w:p>
            <w:pPr>
              <w:jc w:val="center"/>
              <w:spacing w:line="300" w:lineRule="auto"/>
            </w:pPr>
            <w:r>
              <w:rPr>
                <w:rFonts w:ascii="宋体" w:hAnsi="宋体" w:eastAsia="宋体"/>
                <w:sz w:val="20"/>
              </w:rPr>
              <w:t>1 周</w:t>
            </w:r>
          </w:p>
        </w:tc>
      </w:tr>
      <w:tr>
        <w:tc>
          <w:tcPr>
            <w:tcW w:type="dxa" w:w="2409"/>
          </w:tcPr>
          <w:p>
            <w:pPr>
              <w:jc w:val="center"/>
              <w:spacing w:line="300" w:lineRule="auto"/>
            </w:pPr>
            <w:r>
              <w:rPr>
                <w:rFonts w:ascii="宋体" w:hAnsi="宋体" w:eastAsia="宋体"/>
                <w:sz w:val="20"/>
              </w:rPr>
              <w:t>F03</w:t>
            </w:r>
          </w:p>
        </w:tc>
        <w:tc>
          <w:tcPr>
            <w:tcW w:type="dxa" w:w="2409"/>
          </w:tcPr>
          <w:p>
            <w:pPr>
              <w:jc w:val="center"/>
              <w:spacing w:line="300" w:lineRule="auto"/>
            </w:pPr>
            <w:r>
              <w:rPr>
                <w:rFonts w:ascii="宋体" w:hAnsi="宋体" w:eastAsia="宋体"/>
                <w:sz w:val="20"/>
              </w:rPr>
              <w:t>学习路径生成（高数/线代）</w:t>
            </w:r>
          </w:p>
        </w:tc>
        <w:tc>
          <w:tcPr>
            <w:tcW w:type="dxa" w:w="2409"/>
          </w:tcPr>
          <w:p>
            <w:pPr>
              <w:jc w:val="center"/>
              <w:spacing w:line="300" w:lineRule="auto"/>
            </w:pPr>
            <w:r>
              <w:rPr>
                <w:rFonts w:ascii="宋体" w:hAnsi="宋体" w:eastAsia="宋体"/>
                <w:sz w:val="20"/>
              </w:rPr>
              <w:t>P0</w:t>
            </w:r>
          </w:p>
        </w:tc>
        <w:tc>
          <w:tcPr>
            <w:tcW w:type="dxa" w:w="2409"/>
          </w:tcPr>
          <w:p>
            <w:pPr>
              <w:jc w:val="center"/>
              <w:spacing w:line="300" w:lineRule="auto"/>
            </w:pPr>
            <w:r>
              <w:rPr>
                <w:rFonts w:ascii="宋体" w:hAnsi="宋体" w:eastAsia="宋体"/>
                <w:sz w:val="20"/>
              </w:rPr>
              <w:t>3 周</w:t>
            </w:r>
          </w:p>
        </w:tc>
      </w:tr>
      <w:tr>
        <w:tc>
          <w:tcPr>
            <w:tcW w:type="dxa" w:w="2409"/>
          </w:tcPr>
          <w:p>
            <w:pPr>
              <w:jc w:val="center"/>
              <w:spacing w:line="300" w:lineRule="auto"/>
            </w:pPr>
            <w:r>
              <w:rPr>
                <w:rFonts w:ascii="宋体" w:hAnsi="宋体" w:eastAsia="宋体"/>
                <w:sz w:val="20"/>
              </w:rPr>
              <w:t>F04</w:t>
            </w:r>
          </w:p>
        </w:tc>
        <w:tc>
          <w:tcPr>
            <w:tcW w:type="dxa" w:w="2409"/>
          </w:tcPr>
          <w:p>
            <w:pPr>
              <w:jc w:val="center"/>
              <w:spacing w:line="300" w:lineRule="auto"/>
            </w:pPr>
            <w:r>
              <w:rPr>
                <w:rFonts w:ascii="宋体" w:hAnsi="宋体" w:eastAsia="宋体"/>
                <w:sz w:val="20"/>
              </w:rPr>
              <w:t>基础知识图谱入库</w:t>
            </w:r>
          </w:p>
        </w:tc>
        <w:tc>
          <w:tcPr>
            <w:tcW w:type="dxa" w:w="2409"/>
          </w:tcPr>
          <w:p>
            <w:pPr>
              <w:jc w:val="center"/>
              <w:spacing w:line="300" w:lineRule="auto"/>
            </w:pPr>
            <w:r>
              <w:rPr>
                <w:rFonts w:ascii="宋体" w:hAnsi="宋体" w:eastAsia="宋体"/>
                <w:sz w:val="20"/>
              </w:rPr>
              <w:t>P0</w:t>
            </w:r>
          </w:p>
        </w:tc>
        <w:tc>
          <w:tcPr>
            <w:tcW w:type="dxa" w:w="2409"/>
          </w:tcPr>
          <w:p>
            <w:pPr>
              <w:jc w:val="center"/>
              <w:spacing w:line="300" w:lineRule="auto"/>
            </w:pPr>
            <w:r>
              <w:rPr>
                <w:rFonts w:ascii="宋体" w:hAnsi="宋体" w:eastAsia="宋体"/>
                <w:sz w:val="20"/>
              </w:rPr>
              <w:t>3 周</w:t>
            </w:r>
          </w:p>
        </w:tc>
      </w:tr>
      <w:tr>
        <w:tc>
          <w:tcPr>
            <w:tcW w:type="dxa" w:w="2409"/>
          </w:tcPr>
          <w:p>
            <w:pPr>
              <w:jc w:val="center"/>
              <w:spacing w:line="300" w:lineRule="auto"/>
            </w:pPr>
            <w:r>
              <w:rPr>
                <w:rFonts w:ascii="宋体" w:hAnsi="宋体" w:eastAsia="宋体"/>
                <w:sz w:val="20"/>
              </w:rPr>
              <w:t>F05</w:t>
            </w:r>
          </w:p>
        </w:tc>
        <w:tc>
          <w:tcPr>
            <w:tcW w:type="dxa" w:w="2409"/>
          </w:tcPr>
          <w:p>
            <w:pPr>
              <w:jc w:val="center"/>
              <w:spacing w:line="300" w:lineRule="auto"/>
            </w:pPr>
            <w:r>
              <w:rPr>
                <w:rFonts w:ascii="宋体" w:hAnsi="宋体" w:eastAsia="宋体"/>
                <w:sz w:val="20"/>
              </w:rPr>
              <w:t>RAG 课件检索增强</w:t>
            </w:r>
          </w:p>
        </w:tc>
        <w:tc>
          <w:tcPr>
            <w:tcW w:type="dxa" w:w="2409"/>
          </w:tcPr>
          <w:p>
            <w:pPr>
              <w:jc w:val="center"/>
              <w:spacing w:line="300" w:lineRule="auto"/>
            </w:pPr>
            <w:r>
              <w:rPr>
                <w:rFonts w:ascii="宋体" w:hAnsi="宋体" w:eastAsia="宋体"/>
                <w:sz w:val="20"/>
              </w:rPr>
              <w:t>P1</w:t>
            </w:r>
          </w:p>
        </w:tc>
        <w:tc>
          <w:tcPr>
            <w:tcW w:type="dxa" w:w="2409"/>
          </w:tcPr>
          <w:p>
            <w:pPr>
              <w:jc w:val="center"/>
              <w:spacing w:line="300" w:lineRule="auto"/>
            </w:pPr>
            <w:r>
              <w:rPr>
                <w:rFonts w:ascii="宋体" w:hAnsi="宋体" w:eastAsia="宋体"/>
                <w:sz w:val="20"/>
              </w:rPr>
              <w:t>3 周</w:t>
            </w:r>
          </w:p>
        </w:tc>
      </w:tr>
      <w:tr>
        <w:tc>
          <w:tcPr>
            <w:tcW w:type="dxa" w:w="2409"/>
          </w:tcPr>
          <w:p>
            <w:pPr>
              <w:jc w:val="center"/>
              <w:spacing w:line="300" w:lineRule="auto"/>
            </w:pPr>
            <w:r>
              <w:rPr>
                <w:rFonts w:ascii="宋体" w:hAnsi="宋体" w:eastAsia="宋体"/>
                <w:sz w:val="20"/>
              </w:rPr>
              <w:t>F06</w:t>
            </w:r>
          </w:p>
        </w:tc>
        <w:tc>
          <w:tcPr>
            <w:tcW w:type="dxa" w:w="2409"/>
          </w:tcPr>
          <w:p>
            <w:pPr>
              <w:jc w:val="center"/>
              <w:spacing w:line="300" w:lineRule="auto"/>
            </w:pPr>
            <w:r>
              <w:rPr>
                <w:rFonts w:ascii="宋体" w:hAnsi="宋体" w:eastAsia="宋体"/>
                <w:sz w:val="20"/>
              </w:rPr>
              <w:t>知识点诊断（BKT 模型）</w:t>
            </w:r>
          </w:p>
        </w:tc>
        <w:tc>
          <w:tcPr>
            <w:tcW w:type="dxa" w:w="2409"/>
          </w:tcPr>
          <w:p>
            <w:pPr>
              <w:jc w:val="center"/>
              <w:spacing w:line="300" w:lineRule="auto"/>
            </w:pPr>
            <w:r>
              <w:rPr>
                <w:rFonts w:ascii="宋体" w:hAnsi="宋体" w:eastAsia="宋体"/>
                <w:sz w:val="20"/>
              </w:rPr>
              <w:t>P1</w:t>
            </w:r>
          </w:p>
        </w:tc>
        <w:tc>
          <w:tcPr>
            <w:tcW w:type="dxa" w:w="2409"/>
          </w:tcPr>
          <w:p>
            <w:pPr>
              <w:jc w:val="center"/>
              <w:spacing w:line="300" w:lineRule="auto"/>
            </w:pPr>
            <w:r>
              <w:rPr>
                <w:rFonts w:ascii="宋体" w:hAnsi="宋体" w:eastAsia="宋体"/>
                <w:sz w:val="20"/>
              </w:rPr>
              <w:t>4 周</w:t>
            </w:r>
          </w:p>
        </w:tc>
      </w:tr>
      <w:tr>
        <w:tc>
          <w:tcPr>
            <w:tcW w:type="dxa" w:w="2409"/>
          </w:tcPr>
          <w:p>
            <w:pPr>
              <w:jc w:val="center"/>
              <w:spacing w:line="300" w:lineRule="auto"/>
            </w:pPr>
            <w:r>
              <w:rPr>
                <w:rFonts w:ascii="宋体" w:hAnsi="宋体" w:eastAsia="宋体"/>
                <w:sz w:val="20"/>
              </w:rPr>
              <w:t>F07</w:t>
            </w:r>
          </w:p>
        </w:tc>
        <w:tc>
          <w:tcPr>
            <w:tcW w:type="dxa" w:w="2409"/>
          </w:tcPr>
          <w:p>
            <w:pPr>
              <w:jc w:val="center"/>
              <w:spacing w:line="300" w:lineRule="auto"/>
            </w:pPr>
            <w:r>
              <w:rPr>
                <w:rFonts w:ascii="宋体" w:hAnsi="宋体" w:eastAsia="宋体"/>
                <w:sz w:val="20"/>
              </w:rPr>
              <w:t>学习数据看板</w:t>
            </w:r>
          </w:p>
        </w:tc>
        <w:tc>
          <w:tcPr>
            <w:tcW w:type="dxa" w:w="2409"/>
          </w:tcPr>
          <w:p>
            <w:pPr>
              <w:jc w:val="center"/>
              <w:spacing w:line="300" w:lineRule="auto"/>
            </w:pPr>
            <w:r>
              <w:rPr>
                <w:rFonts w:ascii="宋体" w:hAnsi="宋体" w:eastAsia="宋体"/>
                <w:sz w:val="20"/>
              </w:rPr>
              <w:t>P1</w:t>
            </w:r>
          </w:p>
        </w:tc>
        <w:tc>
          <w:tcPr>
            <w:tcW w:type="dxa" w:w="2409"/>
          </w:tcPr>
          <w:p>
            <w:pPr>
              <w:jc w:val="center"/>
              <w:spacing w:line="300" w:lineRule="auto"/>
            </w:pPr>
            <w:r>
              <w:rPr>
                <w:rFonts w:ascii="宋体" w:hAnsi="宋体" w:eastAsia="宋体"/>
                <w:sz w:val="20"/>
              </w:rPr>
              <w:t>2 周</w:t>
            </w:r>
          </w:p>
        </w:tc>
      </w:tr>
      <w:tr>
        <w:tc>
          <w:tcPr>
            <w:tcW w:type="dxa" w:w="2409"/>
          </w:tcPr>
          <w:p>
            <w:pPr>
              <w:jc w:val="center"/>
              <w:spacing w:line="300" w:lineRule="auto"/>
            </w:pPr>
            <w:r>
              <w:rPr>
                <w:rFonts w:ascii="宋体" w:hAnsi="宋体" w:eastAsia="宋体"/>
                <w:sz w:val="20"/>
              </w:rPr>
              <w:t>F08</w:t>
            </w:r>
          </w:p>
        </w:tc>
        <w:tc>
          <w:tcPr>
            <w:tcW w:type="dxa" w:w="2409"/>
          </w:tcPr>
          <w:p>
            <w:pPr>
              <w:jc w:val="center"/>
              <w:spacing w:line="300" w:lineRule="auto"/>
            </w:pPr>
            <w:r>
              <w:rPr>
                <w:rFonts w:ascii="宋体" w:hAnsi="宋体" w:eastAsia="宋体"/>
                <w:sz w:val="20"/>
              </w:rPr>
              <w:t>拍照提问（OCR）</w:t>
            </w:r>
          </w:p>
        </w:tc>
        <w:tc>
          <w:tcPr>
            <w:tcW w:type="dxa" w:w="2409"/>
          </w:tcPr>
          <w:p>
            <w:pPr>
              <w:jc w:val="center"/>
              <w:spacing w:line="300" w:lineRule="auto"/>
            </w:pPr>
            <w:r>
              <w:rPr>
                <w:rFonts w:ascii="宋体" w:hAnsi="宋体" w:eastAsia="宋体"/>
                <w:sz w:val="20"/>
              </w:rPr>
              <w:t>P1</w:t>
            </w:r>
          </w:p>
        </w:tc>
        <w:tc>
          <w:tcPr>
            <w:tcW w:type="dxa" w:w="2409"/>
          </w:tcPr>
          <w:p>
            <w:pPr>
              <w:jc w:val="center"/>
              <w:spacing w:line="300" w:lineRule="auto"/>
            </w:pPr>
            <w:r>
              <w:rPr>
                <w:rFonts w:ascii="宋体" w:hAnsi="宋体" w:eastAsia="宋体"/>
                <w:sz w:val="20"/>
              </w:rPr>
              <w:t>3 周</w:t>
            </w:r>
          </w:p>
        </w:tc>
      </w:tr>
      <w:tr>
        <w:tc>
          <w:tcPr>
            <w:tcW w:type="dxa" w:w="2409"/>
          </w:tcPr>
          <w:p>
            <w:pPr>
              <w:jc w:val="center"/>
              <w:spacing w:line="300" w:lineRule="auto"/>
            </w:pPr>
            <w:r>
              <w:rPr>
                <w:rFonts w:ascii="宋体" w:hAnsi="宋体" w:eastAsia="宋体"/>
                <w:sz w:val="20"/>
              </w:rPr>
              <w:t>F09</w:t>
            </w:r>
          </w:p>
        </w:tc>
        <w:tc>
          <w:tcPr>
            <w:tcW w:type="dxa" w:w="2409"/>
          </w:tcPr>
          <w:p>
            <w:pPr>
              <w:jc w:val="center"/>
              <w:spacing w:line="300" w:lineRule="auto"/>
            </w:pPr>
            <w:r>
              <w:rPr>
                <w:rFonts w:ascii="宋体" w:hAnsi="宋体" w:eastAsia="宋体"/>
                <w:sz w:val="20"/>
              </w:rPr>
              <w:t>语音提问</w:t>
            </w:r>
          </w:p>
        </w:tc>
        <w:tc>
          <w:tcPr>
            <w:tcW w:type="dxa" w:w="2409"/>
          </w:tcPr>
          <w:p>
            <w:pPr>
              <w:jc w:val="center"/>
              <w:spacing w:line="300" w:lineRule="auto"/>
            </w:pPr>
            <w:r>
              <w:rPr>
                <w:rFonts w:ascii="宋体" w:hAnsi="宋体" w:eastAsia="宋体"/>
                <w:sz w:val="20"/>
              </w:rPr>
              <w:t>P2</w:t>
            </w:r>
          </w:p>
        </w:tc>
        <w:tc>
          <w:tcPr>
            <w:tcW w:type="dxa" w:w="2409"/>
          </w:tcPr>
          <w:p>
            <w:pPr>
              <w:jc w:val="center"/>
              <w:spacing w:line="300" w:lineRule="auto"/>
            </w:pPr>
            <w:r>
              <w:rPr>
                <w:rFonts w:ascii="宋体" w:hAnsi="宋体" w:eastAsia="宋体"/>
                <w:sz w:val="20"/>
              </w:rPr>
              <w:t>2 周</w:t>
            </w:r>
          </w:p>
        </w:tc>
      </w:tr>
      <w:tr>
        <w:tc>
          <w:tcPr>
            <w:tcW w:type="dxa" w:w="2409"/>
          </w:tcPr>
          <w:p>
            <w:pPr>
              <w:jc w:val="center"/>
              <w:spacing w:line="300" w:lineRule="auto"/>
            </w:pPr>
            <w:r>
              <w:rPr>
                <w:rFonts w:ascii="宋体" w:hAnsi="宋体" w:eastAsia="宋体"/>
                <w:sz w:val="20"/>
              </w:rPr>
              <w:t>F10</w:t>
            </w:r>
          </w:p>
        </w:tc>
        <w:tc>
          <w:tcPr>
            <w:tcW w:type="dxa" w:w="2409"/>
          </w:tcPr>
          <w:p>
            <w:pPr>
              <w:jc w:val="center"/>
              <w:spacing w:line="300" w:lineRule="auto"/>
            </w:pPr>
            <w:r>
              <w:rPr>
                <w:rFonts w:ascii="宋体" w:hAnsi="宋体" w:eastAsia="宋体"/>
                <w:sz w:val="20"/>
              </w:rPr>
              <w:t>B 端管理平台</w:t>
            </w:r>
          </w:p>
        </w:tc>
        <w:tc>
          <w:tcPr>
            <w:tcW w:type="dxa" w:w="2409"/>
          </w:tcPr>
          <w:p>
            <w:pPr>
              <w:jc w:val="center"/>
              <w:spacing w:line="300" w:lineRule="auto"/>
            </w:pPr>
            <w:r>
              <w:rPr>
                <w:rFonts w:ascii="宋体" w:hAnsi="宋体" w:eastAsia="宋体"/>
                <w:sz w:val="20"/>
              </w:rPr>
              <w:t>P2</w:t>
            </w:r>
          </w:p>
        </w:tc>
        <w:tc>
          <w:tcPr>
            <w:tcW w:type="dxa" w:w="2409"/>
          </w:tcPr>
          <w:p>
            <w:pPr>
              <w:jc w:val="center"/>
              <w:spacing w:line="300" w:lineRule="auto"/>
            </w:pPr>
            <w:r>
              <w:rPr>
                <w:rFonts w:ascii="宋体" w:hAnsi="宋体" w:eastAsia="宋体"/>
                <w:sz w:val="20"/>
              </w:rPr>
              <w:t>4 周</w:t>
            </w:r>
          </w:p>
        </w:tc>
      </w:tr>
    </w:tbl>
    <w:p>
      <w:pPr>
        <w:spacing w:line="240" w:lineRule="auto"/>
      </w:pPr>
      <w:r>
        <w:rPr>
          <w:sz w:val="16"/>
        </w:rPr>
      </w:r>
    </w:p>
    <w:p>
      <w:pPr>
        <w:jc w:val="left"/>
        <w:spacing w:line="300" w:lineRule="auto" w:before="240" w:after="120"/>
      </w:pPr>
      <w:r>
        <w:rPr>
          <w:rFonts w:ascii="黑体" w:hAnsi="黑体" w:eastAsia="黑体"/>
          <w:b/>
          <w:sz w:val="28"/>
        </w:rPr>
        <w:t>附录 C：竞品详细对比表</w:t>
      </w:r>
    </w:p>
    <w:p>
      <w:pPr>
        <w:spacing w:line="300" w:lineRule="auto"/>
        <w:ind w:firstLine="480" w:firstLineChars="200"/>
      </w:pPr>
      <w:r>
        <w:rPr>
          <w:rFonts w:ascii="宋体" w:hAnsi="宋体" w:eastAsia="宋体"/>
          <w:sz w:val="24"/>
        </w:rPr>
        <w:t>（竞品详细对比表已在第四章中呈现，此处不再重复。）</w:t>
      </w:r>
    </w:p>
    <w:p>
      <w:pPr>
        <w:spacing w:line="240" w:lineRule="auto"/>
      </w:pPr>
      <w:r>
        <w:rPr>
          <w:sz w:val="16"/>
        </w:rPr>
      </w:r>
    </w:p>
    <w:p>
      <w:pPr>
        <w:jc w:val="left"/>
        <w:spacing w:line="300" w:lineRule="auto" w:before="240" w:after="120"/>
      </w:pPr>
      <w:r>
        <w:rPr>
          <w:rFonts w:ascii="黑体" w:hAnsi="黑体" w:eastAsia="黑体"/>
          <w:b/>
          <w:sz w:val="28"/>
        </w:rPr>
        <w:t>附录 D：团队简历</w:t>
      </w:r>
    </w:p>
    <w:p>
      <w:pPr>
        <w:spacing w:line="300" w:lineRule="auto"/>
        <w:ind w:firstLine="480" w:firstLineChars="200"/>
      </w:pPr>
      <w:r>
        <w:rPr>
          <w:rFonts w:ascii="宋体" w:hAnsi="宋体" w:eastAsia="宋体"/>
          <w:sz w:val="24"/>
        </w:rPr>
        <w:t>（此处补充实际团队成员的具体简历、项目经历、获奖情况等。）</w:t>
      </w:r>
    </w:p>
    <w:p>
      <w:pPr>
        <w:spacing w:line="240" w:lineRule="auto"/>
      </w:pPr>
      <w:r>
        <w:rPr>
          <w:sz w:val="16"/>
        </w:rPr>
      </w:r>
    </w:p>
    <w:p>
      <w:pPr>
        <w:jc w:val="left"/>
        <w:spacing w:line="300" w:lineRule="auto" w:before="240" w:after="120"/>
      </w:pPr>
      <w:r>
        <w:rPr>
          <w:rFonts w:ascii="黑体" w:hAnsi="黑体" w:eastAsia="黑体"/>
          <w:b/>
          <w:sz w:val="28"/>
        </w:rPr>
        <w:t>附录 E：相关法规与政策文件</w:t>
      </w:r>
    </w:p>
    <w:p>
      <w:pPr>
        <w:spacing w:line="300" w:lineRule="auto"/>
        <w:ind w:firstLine="480" w:firstLineChars="200"/>
      </w:pPr>
      <w:r>
        <w:rPr>
          <w:rFonts w:ascii="宋体" w:hAnsi="宋体" w:eastAsia="宋体"/>
          <w:sz w:val="24"/>
        </w:rPr>
        <w:t>《中华人民共和国网络安全法》</w:t>
      </w:r>
    </w:p>
    <w:p>
      <w:pPr>
        <w:spacing w:line="300" w:lineRule="auto"/>
        <w:ind w:firstLine="480" w:firstLineChars="200"/>
      </w:pPr>
      <w:r>
        <w:rPr>
          <w:rFonts w:ascii="宋体" w:hAnsi="宋体" w:eastAsia="宋体"/>
          <w:sz w:val="24"/>
        </w:rPr>
        <w:t>《中华人民共和国个人信息保护法》</w:t>
      </w:r>
    </w:p>
    <w:p>
      <w:pPr>
        <w:spacing w:line="300" w:lineRule="auto"/>
        <w:ind w:firstLine="480" w:firstLineChars="200"/>
      </w:pPr>
      <w:r>
        <w:rPr>
          <w:rFonts w:ascii="宋体" w:hAnsi="宋体" w:eastAsia="宋体"/>
          <w:sz w:val="24"/>
        </w:rPr>
        <w:t>《生成式人工智能服务管理暂行办法》（2023 年 8 月施行）</w:t>
      </w:r>
    </w:p>
    <w:p>
      <w:pPr>
        <w:spacing w:line="300" w:lineRule="auto"/>
        <w:ind w:firstLine="480" w:firstLineChars="200"/>
      </w:pPr>
      <w:r>
        <w:rPr>
          <w:rFonts w:ascii="宋体" w:hAnsi="宋体" w:eastAsia="宋体"/>
          <w:sz w:val="24"/>
        </w:rPr>
        <w:t>《中国教育现代化 2035》</w:t>
      </w:r>
    </w:p>
    <w:p>
      <w:pPr>
        <w:spacing w:line="300" w:lineRule="auto"/>
        <w:ind w:firstLine="480" w:firstLineChars="200"/>
      </w:pPr>
      <w:r>
        <w:rPr>
          <w:rFonts w:ascii="宋体" w:hAnsi="宋体" w:eastAsia="宋体"/>
          <w:sz w:val="24"/>
        </w:rPr>
        <w:t>《新一代人工智能发展规划》（国务院）</w:t>
      </w:r>
    </w:p>
    <w:p>
      <w:pPr>
        <w:spacing w:line="300" w:lineRule="auto"/>
        <w:ind w:firstLine="480" w:firstLineChars="200"/>
      </w:pPr>
      <w:r>
        <w:rPr>
          <w:rFonts w:ascii="宋体" w:hAnsi="宋体" w:eastAsia="宋体"/>
          <w:sz w:val="24"/>
        </w:rPr>
        <w:t>《教育强国建设规划纲要（2024-2035）》</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