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FA3"/>
          <w:sz w:val="40"/>
          <w:szCs w:val="40"/>
        </w:rPr>
        <w:t xml:space="preserve">PedRx Drug Catalog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0D6B61"/>
          <w:sz w:val="28"/>
          <w:szCs w:val="28"/>
        </w:rPr>
        <w:t xml:space="preserve">Doctor Review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How to check, edit, and add drugs to the live catalog</w:t>
      </w:r>
    </w:p>
    <w:p>
      <w:pPr>
        <w:pBdr>
          <w:bottom w:val="single" w:color="D0D7E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FA3"/>
          <w:sz w:val="28"/>
          <w:szCs w:val="28"/>
        </w:rPr>
        <w:t xml:space="preserve">1.  What Is the Drug Catalog?</w:t>
      </w:r>
    </w:p>
    <w:p>
      <w:p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The PedRx calculator reads its drug list from a shared Google Sheet. Any change you save in that Sheet will appear automatically in the app within a few minutes (the app re-syncs when opened or refreshed). This means you can add, update, or correct drugs without touching any code.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B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FA3"/>
                <w:sz w:val="22"/>
                <w:szCs w:val="22"/>
              </w:rPr>
              <w:t xml:space="preserve">Important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Changes in the Sheet are LIVE — the calculator updates automatically.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You do not need to contact IT or a developer to add a drug or correct a dose.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The calculator also works offline using the last synced data.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7E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FA3"/>
          <w:sz w:val="28"/>
          <w:szCs w:val="28"/>
        </w:rPr>
        <w:t xml:space="preserve">2.  How to Open the Drug Catalog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Open a web browser and go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In the Sheet, click the tab named </w:t>
      </w:r>
      <w:r>
        <w:rPr>
          <w:rFonts w:ascii="Arial" w:cs="Arial" w:eastAsia="Arial" w:hAnsi="Arial"/>
          <w:b/>
          <w:bCs/>
          <w:color w:val="1A2236"/>
          <w:sz w:val="22"/>
          <w:szCs w:val="22"/>
        </w:rPr>
        <w:t xml:space="preserve">Drugs</w:t>
      </w:r>
      <w:r>
        <w:rPr>
          <w:rFonts w:ascii="Arial" w:cs="Arial" w:eastAsia="Arial" w:hAnsi="Arial"/>
          <w:color w:val="1A2236"/>
          <w:sz w:val="22"/>
          <w:szCs w:val="22"/>
        </w:rPr>
        <w:t xml:space="preserve"> at the bottom.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Row 1 is the header row. Never edit or delete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Each row below is one drug entry.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Tip — view only vs. edit access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If you cannot edit the Sheet, ask the administrator to share it with edit permission.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Use a Google account (Gmail) to sign in.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7E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FA3"/>
          <w:sz w:val="28"/>
          <w:szCs w:val="28"/>
        </w:rPr>
        <w:t xml:space="preserve">3.  Column Reference</w:t>
      </w:r>
    </w:p>
    <w:p>
      <w:p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Each column controls one part of the dosing calculation. Most columns are optional — leave them blank if not needed.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4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4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4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4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1E4FA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key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Unique ID for the drug (no spaces)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paracetamol_syrup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Do not change existing keys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Drug category code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analgesic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Must match a known category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Drug display name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Paracetamol syrup 120/5 ml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Plain text, no special characters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standardMgKg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Standard dose in mg/kg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15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Leave blank if using doseRange instead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doseRangeLo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Minimum dose mg/kg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10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Used when dose has a range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doseRangeHi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Maximum dose mg/kg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15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Used together with doseRangeLo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maxMg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Maximum single dose (mg)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1000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Hard cap per dose regardless of weight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maxMgPerDay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Maximum daily dose (mg)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4000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Hard cap per day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dosesPerDay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Number of doses per day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4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e.g. 4 = every 6 hrs (QID)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strengthMg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Drug strength in mg per unit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120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For paracetamol 120/5ml =&gt; 120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perMl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Volume per unit (ml)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5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For paracetamol 120/5ml =&gt; 5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concMgMl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Final concentration (mg/ml)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24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Auto-calculated if strengthMg/perMl filled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mlPerBottle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Bottle size in ml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60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Used for quantity-to-dispense calculation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note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Clinical note shown on prescription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Give with food</w:t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Optional, plain text only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rx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Override full Rx text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Leave blank unless you need full custom text</w:t>
            </w:r>
          </w:p>
        </w:tc>
      </w:tr>
      <w:tr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special</w:t>
            </w:r>
          </w:p>
        </w:tc>
        <w:tc>
          <w:tcPr>
            <w:tcW w:type="dxa" w:w="26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Override or special instructions</w:t>
            </w:r>
          </w:p>
        </w:tc>
        <w:tc>
          <w:tcPr>
            <w:tcW w:type="dxa" w:w="14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236"/>
                <w:sz w:val="18"/>
                <w:szCs w:val="18"/>
              </w:rPr>
              <w:t xml:space="preserve">Advanced use, usually leave blank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D6B61"/>
                <w:sz w:val="22"/>
                <w:szCs w:val="22"/>
              </w:rPr>
              <w:t xml:space="preserve">Dose calculation priority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If standardMgKg is filled: dose = weight x standardMgKg (capped at maxMg).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If doseRangeLo + doseRangeHi are filled instead: dose is shown as a range.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If concMgMl is blank but strengthMg and perMl are filled: concMgMl = strengthMg / perMl (auto-calculated).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If mlPerBottle is blank: the calculator assumes 60 ml bottles.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7E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FA3"/>
          <w:sz w:val="28"/>
          <w:szCs w:val="28"/>
        </w:rPr>
        <w:t xml:space="preserve">4.  What to Check for Each Drug</w:t>
      </w:r>
    </w:p>
    <w:p>
      <w:p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When reviewing a drug row, go through this checklist: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BF2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FA3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A3"/>
                <w:sz w:val="20"/>
                <w:szCs w:val="20"/>
              </w:rPr>
              <w:t xml:space="preserve">Check dose math —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Confirm standardMgKg (or doseRangeLo/Hi) matches your formulary. Use a known patient weight to cross-check the output.</w:t>
            </w:r>
          </w:p>
        </w:tc>
      </w:tr>
      <w:tr>
        <w:tc>
          <w:tcPr>
            <w:tcW w:type="dxa" w:w="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FA3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A3"/>
                <w:sz w:val="20"/>
                <w:szCs w:val="20"/>
              </w:rPr>
              <w:t xml:space="preserve">Check dose cap —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Confirm maxMg (single dose) and maxMgPerDay are set and correct for the drug.</w:t>
            </w:r>
          </w:p>
        </w:tc>
      </w:tr>
      <w:tr>
        <w:tc>
          <w:tcPr>
            <w:tcW w:type="dxa" w:w="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BF2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FA3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A3"/>
                <w:sz w:val="20"/>
                <w:szCs w:val="20"/>
              </w:rPr>
              <w:t xml:space="preserve">Check frequency —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dosesPerDay should match clinical practice (e.g., 4 for QID, 3 for TID).</w:t>
            </w:r>
          </w:p>
        </w:tc>
      </w:tr>
      <w:tr>
        <w:tc>
          <w:tcPr>
            <w:tcW w:type="dxa" w:w="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FA3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A3"/>
                <w:sz w:val="20"/>
                <w:szCs w:val="20"/>
              </w:rPr>
              <w:t xml:space="preserve">Check concentration —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strengthMg and perMl should match the bottle label. concMgMl should be strengthMg / perMl.</w:t>
            </w:r>
          </w:p>
        </w:tc>
      </w:tr>
      <w:tr>
        <w:tc>
          <w:tcPr>
            <w:tcW w:type="dxa" w:w="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BF2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FA3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A3"/>
                <w:sz w:val="20"/>
                <w:szCs w:val="20"/>
              </w:rPr>
              <w:t xml:space="preserve">Check bottle size —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mlPerBottle should match what your pharmacy stocks.</w:t>
            </w:r>
          </w:p>
        </w:tc>
      </w:tr>
      <w:tr>
        <w:tc>
          <w:tcPr>
            <w:tcW w:type="dxa" w:w="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FA3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A3"/>
                <w:sz w:val="20"/>
                <w:szCs w:val="20"/>
              </w:rPr>
              <w:t xml:space="preserve">Check the note —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The note field appears as a clinical reminder on the prescription. Ensure it is accurate and not outdated.</w:t>
            </w:r>
          </w:p>
        </w:tc>
      </w:tr>
      <w:tr>
        <w:tc>
          <w:tcPr>
            <w:tcW w:type="dxa" w:w="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BF2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FA3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A3"/>
                <w:sz w:val="20"/>
                <w:szCs w:val="20"/>
              </w:rPr>
              <w:t xml:space="preserve">No special characters —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Do not use em-dashes (—), symbols, or Thai characters in any column except name and note.</w:t>
            </w:r>
          </w:p>
        </w:tc>
      </w:tr>
      <w:tr>
        <w:tc>
          <w:tcPr>
            <w:tcW w:type="dxa" w:w="5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FA3"/>
                <w:sz w:val="24"/>
                <w:szCs w:val="24"/>
              </w:rPr>
              <w:t xml:space="preserve">☐</w:t>
            </w:r>
          </w:p>
        </w:tc>
        <w:tc>
          <w:tcPr>
            <w:tcW w:type="dxa" w:w="88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FA3"/>
                <w:sz w:val="20"/>
                <w:szCs w:val="20"/>
              </w:rPr>
              <w:t xml:space="preserve">Test in the calculator —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Open the app, enter a test weight, select the drug, and verify the output matches your manual calculation.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7E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FA3"/>
          <w:sz w:val="28"/>
          <w:szCs w:val="28"/>
        </w:rPr>
        <w:t xml:space="preserve">5.  How to Add a New Drug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Scroll to the bottom of the Drugs sheet (below the last row).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236"/>
          <w:sz w:val="22"/>
          <w:szCs w:val="22"/>
        </w:rPr>
        <w:t xml:space="preserve">key: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61"/>
                <w:sz w:val="20"/>
                <w:szCs w:val="20"/>
              </w:rPr>
              <w:t xml:space="preserve">Step 1: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Scroll to the first empty row below the last drug.</w:t>
            </w:r>
          </w:p>
        </w:tc>
      </w:tr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61"/>
                <w:sz w:val="20"/>
                <w:szCs w:val="20"/>
              </w:rPr>
              <w:t xml:space="preserve">Step 2: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Fill in key — use lowercase letters and underscores only (e.g. amox_syrup_250). This must be unique.</w:t>
            </w:r>
          </w:p>
        </w:tc>
      </w:tr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61"/>
                <w:sz w:val="20"/>
                <w:szCs w:val="20"/>
              </w:rPr>
              <w:t xml:space="preserve">Step 3: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Fill in category — must match one of the existing categories (see list below).</w:t>
            </w:r>
          </w:p>
        </w:tc>
      </w:tr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61"/>
                <w:sz w:val="20"/>
                <w:szCs w:val="20"/>
              </w:rPr>
              <w:t xml:space="preserve">Step 4: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Fill in name — the display name the doctor will see.</w:t>
            </w:r>
          </w:p>
        </w:tc>
      </w:tr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61"/>
                <w:sz w:val="20"/>
                <w:szCs w:val="20"/>
              </w:rPr>
              <w:t xml:space="preserve">Step 5: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Fill in standardMgKg (or doseRangeLo + doseRangeHi if the dose is a range).</w:t>
            </w:r>
          </w:p>
        </w:tc>
      </w:tr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61"/>
                <w:sz w:val="20"/>
                <w:szCs w:val="20"/>
              </w:rPr>
              <w:t xml:space="preserve">Step 6: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Fill in maxMg and/or maxMgPerDay.</w:t>
            </w:r>
          </w:p>
        </w:tc>
      </w:tr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61"/>
                <w:sz w:val="20"/>
                <w:szCs w:val="20"/>
              </w:rPr>
              <w:t xml:space="preserve">Step 7: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Fill in dosesPerDay.</w:t>
            </w:r>
          </w:p>
        </w:tc>
      </w:tr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61"/>
                <w:sz w:val="20"/>
                <w:szCs w:val="20"/>
              </w:rPr>
              <w:t xml:space="preserve">Step 8: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Fill in strengthMg, perMl, and mlPerBottle for your drug formulation.</w:t>
            </w:r>
          </w:p>
        </w:tc>
      </w:tr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61"/>
                <w:sz w:val="20"/>
                <w:szCs w:val="20"/>
              </w:rPr>
              <w:t xml:space="preserve">Step 9: </w:t>
            </w: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Save (Ctrl+S or the Sheet auto-saves). Open the PedRx app and refresh — the new drug should appear.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Valid category codes: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analgesic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Pain / Fever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antimicrobial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Antibiotics / Antivirals / Antifungals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respiratory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Asthma, Bronchodilators, Croup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gi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GI / Gastroenterology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neuro_pain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Neurology / Headache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allergy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Allergy / Antihistamines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skin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Dermatology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ent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ENT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eye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Ophthalmology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cardiac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Cardiology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renal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Renal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hematology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Hematology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endocrine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Endocrine / Metabolic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icu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ICU / Critical Care / Sedation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emerg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E6F4F1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Emergency / Resuscitation</w:t>
            </w:r>
          </w:p>
        </w:tc>
      </w:tr>
      <w:tr>
        <w:tc>
          <w:tcPr>
            <w:tcW w:type="dxa" w:w="220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6B61"/>
                <w:sz w:val="18"/>
                <w:szCs w:val="18"/>
              </w:rPr>
              <w:t xml:space="preserve">ncpr</w:t>
            </w:r>
          </w:p>
        </w:tc>
        <w:tc>
          <w:tcPr>
            <w:tcW w:type="dxa" w:w="71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1A2236"/>
                <w:sz w:val="18"/>
                <w:szCs w:val="18"/>
              </w:rPr>
              <w:t xml:space="preserve">NCPR / Neonatal Resuscitation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7E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FA3"/>
          <w:sz w:val="28"/>
          <w:szCs w:val="28"/>
        </w:rPr>
        <w:t xml:space="preserve">6.  Common Mistakes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Do NOT do the following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Do not delete the header row (Row 1).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Do not change an existing key value — this will break existing references.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Do not paste text that contains em-dashes (—), special symbols, or copied from Word/PDF — they corrupt the data.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Do not leave the category column blank — the drug will not appear in the app.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Do not enter text in numeric columns (standardMgKg, maxMg, etc.) — numbers only.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Do not add new columns — the app only reads the predefined columns listed above.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7E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FA3"/>
          <w:sz w:val="28"/>
          <w:szCs w:val="28"/>
        </w:rPr>
        <w:t xml:space="preserve">7.  How to Verify a Change in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Open the PedRx Calculator (refresh if already open).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Check the sync status line at the top — it should say "Catalog: synced just now".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Select the drug category from the dropdown, then find your drug.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Enter a test weight (e.g., 20 kg) and confirm the dose calculation is correct.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Check the quantity-to-dispense section: verify the number of bottles matches your manual calculation.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If the sync status shows an error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Ensure you are opening the app via http://localhost or a proper web server — not directly from a file (file://).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Check that the Google Sheet is shared as 'Anyone with the link can view'.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236"/>
                <w:sz w:val="20"/>
                <w:szCs w:val="20"/>
              </w:rPr>
              <w:t xml:space="preserve">Try refreshing the page. If still failing, check your internet connection.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D0D7E2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E4FA3"/>
          <w:sz w:val="28"/>
          <w:szCs w:val="28"/>
        </w:rPr>
        <w:t xml:space="preserve">8.  Questions or Access Issues</w:t>
      </w:r>
    </w:p>
    <w:p>
      <w:p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If you cannot access the Sheet, cannot see your changes in the app, or need to add a new drug category, contact the system administrator.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2236"/>
          <w:sz w:val="22"/>
          <w:szCs w:val="22"/>
        </w:rPr>
        <w:t xml:space="preserve">This guide covers the standard use case. Drugs with complex dosing logic (continuous infusions, NCPR weight-based calculations) require code changes — do not attempt to configure them via the Sheet alone.</w:t>
      </w:r>
    </w:p>
    <w:p>
      <w:pPr>
        <w:spacing w:after="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PedRx Calculator — Drug Catalog Guide v1.0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2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BBBBBB"/>
        <w:sz w:val="18"/>
        <w:szCs w:val="18"/>
      </w:rPr>
      <w:t xml:space="preserve">   |   For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2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PedRx Drug Catalog — Doctor Review Guide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4FA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6B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2026-06-26T13:49:00.362Z</dcterms:created>
  <dcterms:modified xsi:type="dcterms:W3CDTF">2026-06-26T13:49:00.363Z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