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b/>
          <w:sz w:val="40"/>
          <w:szCs w:val="40"/>
        </w:rPr>
      </w:pPr>
    </w:p>
    <w:p>
      <w:pPr>
        <w:jc w:val="center"/>
        <w:rPr>
          <w:rFonts w:ascii="微软雅黑" w:hAnsi="微软雅黑" w:eastAsia="微软雅黑"/>
          <w:b/>
          <w:sz w:val="40"/>
          <w:szCs w:val="40"/>
        </w:rPr>
      </w:pPr>
    </w:p>
    <w:p>
      <w:pPr>
        <w:pStyle w:val="2"/>
      </w:pPr>
    </w:p>
    <w:p>
      <w:pPr>
        <w:jc w:val="center"/>
        <w:rPr>
          <w:rFonts w:ascii="微软雅黑" w:hAnsi="微软雅黑" w:eastAsia="微软雅黑"/>
          <w:b/>
          <w:sz w:val="40"/>
          <w:szCs w:val="40"/>
        </w:rPr>
      </w:pPr>
      <w:r>
        <w:rPr>
          <w:rFonts w:hint="eastAsia" w:ascii="微软雅黑" w:hAnsi="微软雅黑" w:eastAsia="微软雅黑"/>
          <w:b/>
          <w:sz w:val="40"/>
          <w:szCs w:val="40"/>
        </w:rPr>
        <w:t>浙江大学医学院附属浙江医院</w:t>
      </w:r>
    </w:p>
    <w:p>
      <w:pPr>
        <w:jc w:val="center"/>
        <w:rPr>
          <w:rFonts w:ascii="微软雅黑" w:hAnsi="微软雅黑" w:eastAsia="微软雅黑"/>
          <w:b/>
          <w:sz w:val="40"/>
          <w:szCs w:val="40"/>
        </w:rPr>
      </w:pPr>
      <w:r>
        <w:rPr>
          <w:rFonts w:hint="eastAsia" w:ascii="微软雅黑" w:hAnsi="微软雅黑" w:eastAsia="微软雅黑"/>
          <w:b/>
          <w:sz w:val="40"/>
          <w:szCs w:val="40"/>
        </w:rPr>
        <w:t>数字医院·智慧运营服务方案</w:t>
      </w:r>
    </w:p>
    <w:p>
      <w:pPr>
        <w:rPr>
          <w:rFonts w:ascii="微软雅黑" w:hAnsi="微软雅黑" w:eastAsia="微软雅黑"/>
          <w:sz w:val="40"/>
          <w:szCs w:val="40"/>
        </w:rPr>
      </w:pPr>
    </w:p>
    <w:p>
      <w:pPr>
        <w:jc w:val="center"/>
        <w:rPr>
          <w:rFonts w:ascii="微软雅黑" w:hAnsi="微软雅黑" w:eastAsia="微软雅黑"/>
          <w:b/>
          <w:sz w:val="40"/>
          <w:szCs w:val="40"/>
        </w:rPr>
      </w:pPr>
    </w:p>
    <w:p>
      <w:pPr>
        <w:pStyle w:val="20"/>
        <w:tabs>
          <w:tab w:val="left" w:pos="540"/>
        </w:tabs>
        <w:spacing w:line="360" w:lineRule="auto"/>
        <w:ind w:firstLine="400"/>
        <w:jc w:val="center"/>
        <w:rPr>
          <w:rFonts w:ascii="微软雅黑" w:hAnsi="微软雅黑" w:eastAsia="微软雅黑"/>
          <w:sz w:val="20"/>
          <w:szCs w:val="20"/>
        </w:rPr>
      </w:pPr>
    </w:p>
    <w:p>
      <w:pPr>
        <w:pStyle w:val="20"/>
        <w:tabs>
          <w:tab w:val="left" w:pos="540"/>
        </w:tabs>
        <w:spacing w:line="360" w:lineRule="auto"/>
        <w:ind w:firstLine="400"/>
        <w:jc w:val="left"/>
        <w:rPr>
          <w:rFonts w:ascii="微软雅黑" w:hAnsi="微软雅黑" w:eastAsia="微软雅黑"/>
          <w:sz w:val="20"/>
          <w:szCs w:val="20"/>
        </w:rPr>
      </w:pPr>
    </w:p>
    <w:p>
      <w:pPr>
        <w:pStyle w:val="20"/>
        <w:tabs>
          <w:tab w:val="left" w:pos="540"/>
        </w:tabs>
        <w:spacing w:line="360" w:lineRule="auto"/>
        <w:ind w:firstLine="400"/>
        <w:jc w:val="left"/>
        <w:rPr>
          <w:rFonts w:ascii="微软雅黑" w:hAnsi="微软雅黑" w:eastAsia="微软雅黑"/>
          <w:sz w:val="20"/>
          <w:szCs w:val="20"/>
        </w:rPr>
      </w:pPr>
    </w:p>
    <w:p>
      <w:pPr>
        <w:pStyle w:val="20"/>
        <w:tabs>
          <w:tab w:val="left" w:pos="540"/>
        </w:tabs>
        <w:spacing w:line="360" w:lineRule="auto"/>
        <w:ind w:firstLine="400"/>
        <w:jc w:val="left"/>
        <w:rPr>
          <w:rFonts w:ascii="微软雅黑" w:hAnsi="微软雅黑" w:eastAsia="微软雅黑"/>
          <w:sz w:val="20"/>
          <w:szCs w:val="20"/>
        </w:rPr>
      </w:pPr>
    </w:p>
    <w:p>
      <w:pPr>
        <w:spacing w:line="480" w:lineRule="auto"/>
        <w:jc w:val="center"/>
        <w:rPr>
          <w:rFonts w:ascii="微软雅黑" w:hAnsi="微软雅黑" w:eastAsia="微软雅黑"/>
          <w:b/>
          <w:sz w:val="20"/>
          <w:szCs w:val="20"/>
        </w:rPr>
      </w:pPr>
      <w:r>
        <w:rPr>
          <w:rFonts w:ascii="微软雅黑" w:hAnsi="微软雅黑" w:eastAsia="微软雅黑"/>
          <w:b/>
          <w:bCs/>
          <w:kern w:val="44"/>
          <w:sz w:val="20"/>
          <w:szCs w:val="20"/>
        </w:rPr>
        <w:drawing>
          <wp:inline distT="0" distB="0" distL="0" distR="0">
            <wp:extent cx="1619885" cy="647700"/>
            <wp:effectExtent l="0" t="0" r="0" b="0"/>
            <wp:docPr id="1" name="图片 1" descr="E:\王琦\归档_其他\2019.04.15 标准表单\12.5%20TIANSU%20logo&amp;slog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王琦\归档_其他\2019.04.15 标准表单\12.5%20TIANSU%20logo&amp;slogan.png"/>
                    <pic:cNvPicPr>
                      <a:picLocks noChangeAspect="1" noChangeArrowheads="1"/>
                    </pic:cNvPicPr>
                  </pic:nvPicPr>
                  <pic:blipFill>
                    <a:blip r:embed="rId9" cstate="screen"/>
                    <a:srcRect/>
                    <a:stretch>
                      <a:fillRect/>
                    </a:stretch>
                  </pic:blipFill>
                  <pic:spPr>
                    <a:xfrm>
                      <a:off x="0" y="0"/>
                      <a:ext cx="1620000" cy="648000"/>
                    </a:xfrm>
                    <a:prstGeom prst="rect">
                      <a:avLst/>
                    </a:prstGeom>
                    <a:noFill/>
                    <a:ln>
                      <a:noFill/>
                    </a:ln>
                  </pic:spPr>
                </pic:pic>
              </a:graphicData>
            </a:graphic>
          </wp:inline>
        </w:drawing>
      </w:r>
    </w:p>
    <w:p>
      <w:pPr>
        <w:pStyle w:val="18"/>
        <w:ind w:firstLine="400"/>
        <w:rPr>
          <w:rFonts w:ascii="微软雅黑" w:hAnsi="微软雅黑" w:eastAsia="微软雅黑"/>
          <w:snapToGrid w:val="0"/>
          <w:sz w:val="20"/>
          <w:szCs w:val="20"/>
        </w:rPr>
      </w:pPr>
      <w:r>
        <w:rPr>
          <w:rFonts w:ascii="微软雅黑" w:hAnsi="微软雅黑" w:eastAsia="微软雅黑"/>
          <w:sz w:val="20"/>
          <w:szCs w:val="20"/>
        </w:rPr>
        <w:drawing>
          <wp:anchor distT="0" distB="0" distL="114300" distR="114300" simplePos="0" relativeHeight="251659264" behindDoc="0" locked="0" layoutInCell="1" allowOverlap="1">
            <wp:simplePos x="0" y="0"/>
            <wp:positionH relativeFrom="page">
              <wp:align>left</wp:align>
            </wp:positionH>
            <wp:positionV relativeFrom="paragraph">
              <wp:posOffset>334645</wp:posOffset>
            </wp:positionV>
            <wp:extent cx="2125980" cy="2867025"/>
            <wp:effectExtent l="0" t="0" r="7620" b="9525"/>
            <wp:wrapNone/>
            <wp:docPr id="11" name="图片 4" descr="图片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图片8.png"/>
                    <pic:cNvPicPr>
                      <a:picLocks noChangeAspect="1"/>
                    </pic:cNvPicPr>
                  </pic:nvPicPr>
                  <pic:blipFill>
                    <a:blip r:embed="rId10" cstate="screen"/>
                    <a:stretch>
                      <a:fillRect/>
                    </a:stretch>
                  </pic:blipFill>
                  <pic:spPr>
                    <a:xfrm>
                      <a:off x="0" y="0"/>
                      <a:ext cx="2125980" cy="2867025"/>
                    </a:xfrm>
                    <a:prstGeom prst="rect">
                      <a:avLst/>
                    </a:prstGeom>
                  </pic:spPr>
                </pic:pic>
              </a:graphicData>
            </a:graphic>
          </wp:anchor>
        </w:drawing>
      </w:r>
    </w:p>
    <w:p>
      <w:pPr>
        <w:pStyle w:val="18"/>
        <w:jc w:val="center"/>
        <w:rPr>
          <w:rFonts w:ascii="微软雅黑" w:hAnsi="微软雅黑" w:eastAsia="微软雅黑"/>
          <w:snapToGrid w:val="0"/>
          <w:color w:val="000000" w:themeColor="text1"/>
          <w:sz w:val="20"/>
          <w:szCs w:val="20"/>
          <w14:textFill>
            <w14:solidFill>
              <w14:schemeClr w14:val="tx1"/>
            </w14:solidFill>
          </w14:textFill>
        </w:rPr>
      </w:pPr>
      <w:r>
        <w:rPr>
          <w:rFonts w:hint="eastAsia" w:ascii="微软雅黑" w:hAnsi="微软雅黑" w:eastAsia="微软雅黑"/>
          <w:snapToGrid w:val="0"/>
          <w:color w:val="000000" w:themeColor="text1"/>
          <w:sz w:val="20"/>
          <w:szCs w:val="20"/>
          <w14:textFill>
            <w14:solidFill>
              <w14:schemeClr w14:val="tx1"/>
            </w14:solidFill>
          </w14:textFill>
        </w:rPr>
        <w:t>南京天溯自动化控制系统有限公司</w:t>
      </w:r>
    </w:p>
    <w:p>
      <w:pPr>
        <w:ind w:firstLine="400"/>
        <w:rPr>
          <w:rFonts w:ascii="微软雅黑" w:hAnsi="微软雅黑" w:eastAsia="微软雅黑"/>
          <w:sz w:val="20"/>
          <w:szCs w:val="20"/>
        </w:rPr>
      </w:pPr>
    </w:p>
    <w:p>
      <w:pPr>
        <w:spacing w:line="480" w:lineRule="auto"/>
        <w:jc w:val="center"/>
        <w:rPr>
          <w:rFonts w:ascii="微软雅黑" w:hAnsi="微软雅黑" w:eastAsia="微软雅黑"/>
          <w:b/>
          <w:sz w:val="20"/>
          <w:szCs w:val="20"/>
        </w:rPr>
      </w:pPr>
      <w:r>
        <w:rPr>
          <w:rFonts w:ascii="微软雅黑" w:hAnsi="微软雅黑" w:eastAsia="微软雅黑"/>
          <w:b/>
          <w:sz w:val="20"/>
          <w:szCs w:val="20"/>
        </w:rPr>
        <w:t>2021年</w:t>
      </w:r>
      <w:r>
        <w:rPr>
          <w:rFonts w:hint="eastAsia" w:ascii="微软雅黑" w:hAnsi="微软雅黑" w:eastAsia="微软雅黑"/>
          <w:b/>
          <w:sz w:val="20"/>
          <w:szCs w:val="20"/>
        </w:rPr>
        <w:t>0</w:t>
      </w:r>
      <w:r>
        <w:rPr>
          <w:rFonts w:ascii="微软雅黑" w:hAnsi="微软雅黑" w:eastAsia="微软雅黑"/>
          <w:b/>
          <w:sz w:val="20"/>
          <w:szCs w:val="20"/>
        </w:rPr>
        <w:t>9月</w:t>
      </w:r>
      <w:r>
        <w:rPr>
          <w:rFonts w:hint="eastAsia" w:ascii="微软雅黑" w:hAnsi="微软雅黑" w:eastAsia="微软雅黑"/>
          <w:b/>
          <w:sz w:val="20"/>
          <w:szCs w:val="20"/>
          <w:lang w:val="en-US" w:eastAsia="zh-CN"/>
        </w:rPr>
        <w:t>23</w:t>
      </w:r>
      <w:r>
        <w:rPr>
          <w:rFonts w:ascii="微软雅黑" w:hAnsi="微软雅黑" w:eastAsia="微软雅黑"/>
          <w:b/>
          <w:sz w:val="20"/>
          <w:szCs w:val="20"/>
        </w:rPr>
        <w:t>日</w:t>
      </w:r>
    </w:p>
    <w:p>
      <w:pPr>
        <w:pStyle w:val="2"/>
        <w:ind w:firstLine="643"/>
        <w:rPr>
          <w:rFonts w:asciiTheme="minorHAnsi" w:hAnsiTheme="minorHAnsi"/>
          <w:b/>
          <w:sz w:val="32"/>
          <w:szCs w:val="32"/>
        </w:rPr>
      </w:pPr>
    </w:p>
    <w:p>
      <w:pPr>
        <w:pStyle w:val="2"/>
        <w:ind w:left="0" w:leftChars="0" w:firstLine="0" w:firstLineChars="0"/>
        <w:jc w:val="center"/>
        <w:rPr>
          <w:sz w:val="30"/>
          <w:szCs w:val="30"/>
        </w:rPr>
      </w:pPr>
    </w:p>
    <w:p>
      <w:pPr>
        <w:pStyle w:val="2"/>
        <w:ind w:left="0" w:leftChars="0" w:firstLine="0" w:firstLineChars="0"/>
        <w:jc w:val="center"/>
        <w:rPr>
          <w:sz w:val="30"/>
          <w:szCs w:val="30"/>
        </w:rPr>
      </w:pPr>
      <w:r>
        <w:rPr>
          <w:rFonts w:hint="eastAsia"/>
          <w:sz w:val="30"/>
          <w:szCs w:val="30"/>
        </w:rPr>
        <w:t>目录</w:t>
      </w:r>
    </w:p>
    <w:p>
      <w:pPr>
        <w:pStyle w:val="24"/>
        <w:tabs>
          <w:tab w:val="right" w:leader="dot" w:pos="8296"/>
        </w:tabs>
      </w:pPr>
      <w:r>
        <w:fldChar w:fldCharType="begin"/>
      </w:r>
      <w:r>
        <w:instrText xml:space="preserve"> </w:instrText>
      </w:r>
      <w:r>
        <w:rPr>
          <w:rFonts w:hint="eastAsia"/>
        </w:rPr>
        <w:instrText xml:space="preserve">TOC \o "1-2" \h \z \u</w:instrText>
      </w:r>
      <w:r>
        <w:instrText xml:space="preserve"> </w:instrText>
      </w:r>
      <w:r>
        <w:fldChar w:fldCharType="separate"/>
      </w:r>
      <w:r>
        <w:fldChar w:fldCharType="begin"/>
      </w:r>
      <w:r>
        <w:instrText xml:space="preserve"> HYPERLINK \l "_Toc83290248" </w:instrText>
      </w:r>
      <w:r>
        <w:fldChar w:fldCharType="separate"/>
      </w:r>
      <w:r>
        <w:rPr>
          <w:rStyle w:val="31"/>
        </w:rPr>
        <w:t>1. 项目概况</w:t>
      </w:r>
      <w:r>
        <w:tab/>
      </w:r>
      <w:r>
        <w:fldChar w:fldCharType="begin"/>
      </w:r>
      <w:r>
        <w:instrText xml:space="preserve"> PAGEREF _Toc83290248 \h </w:instrText>
      </w:r>
      <w:r>
        <w:fldChar w:fldCharType="separate"/>
      </w:r>
      <w:r>
        <w:t>1</w:t>
      </w:r>
      <w:r>
        <w:fldChar w:fldCharType="end"/>
      </w:r>
      <w:r>
        <w:fldChar w:fldCharType="end"/>
      </w:r>
    </w:p>
    <w:p>
      <w:pPr>
        <w:pStyle w:val="26"/>
        <w:tabs>
          <w:tab w:val="right" w:leader="dot" w:pos="8296"/>
        </w:tabs>
      </w:pPr>
      <w:r>
        <w:fldChar w:fldCharType="begin"/>
      </w:r>
      <w:r>
        <w:instrText xml:space="preserve"> HYPERLINK \l "_Toc83290249" </w:instrText>
      </w:r>
      <w:r>
        <w:fldChar w:fldCharType="separate"/>
      </w:r>
      <w:r>
        <w:rPr>
          <w:rStyle w:val="31"/>
        </w:rPr>
        <w:t>1.1. 医院整体描述</w:t>
      </w:r>
      <w:r>
        <w:tab/>
      </w:r>
      <w:r>
        <w:fldChar w:fldCharType="begin"/>
      </w:r>
      <w:r>
        <w:instrText xml:space="preserve"> PAGEREF _Toc83290249 \h </w:instrText>
      </w:r>
      <w:r>
        <w:fldChar w:fldCharType="separate"/>
      </w:r>
      <w:r>
        <w:t>1</w:t>
      </w:r>
      <w:r>
        <w:fldChar w:fldCharType="end"/>
      </w:r>
      <w:r>
        <w:fldChar w:fldCharType="end"/>
      </w:r>
    </w:p>
    <w:p>
      <w:pPr>
        <w:pStyle w:val="26"/>
        <w:tabs>
          <w:tab w:val="right" w:leader="dot" w:pos="8296"/>
        </w:tabs>
      </w:pPr>
      <w:r>
        <w:fldChar w:fldCharType="begin"/>
      </w:r>
      <w:r>
        <w:instrText xml:space="preserve"> HYPERLINK \l "_Toc83290250" </w:instrText>
      </w:r>
      <w:r>
        <w:fldChar w:fldCharType="separate"/>
      </w:r>
      <w:r>
        <w:rPr>
          <w:rStyle w:val="31"/>
        </w:rPr>
        <w:t>1.2. 医院后勤服务现状与需求</w:t>
      </w:r>
      <w:r>
        <w:tab/>
      </w:r>
      <w:r>
        <w:fldChar w:fldCharType="begin"/>
      </w:r>
      <w:r>
        <w:instrText xml:space="preserve"> PAGEREF _Toc83290250 \h </w:instrText>
      </w:r>
      <w:r>
        <w:fldChar w:fldCharType="separate"/>
      </w:r>
      <w:r>
        <w:t>1</w:t>
      </w:r>
      <w:r>
        <w:fldChar w:fldCharType="end"/>
      </w:r>
      <w:r>
        <w:fldChar w:fldCharType="end"/>
      </w:r>
    </w:p>
    <w:p>
      <w:pPr>
        <w:pStyle w:val="24"/>
        <w:tabs>
          <w:tab w:val="right" w:leader="dot" w:pos="8296"/>
        </w:tabs>
      </w:pPr>
      <w:r>
        <w:fldChar w:fldCharType="begin"/>
      </w:r>
      <w:r>
        <w:instrText xml:space="preserve"> HYPERLINK \l "_Toc83290251" </w:instrText>
      </w:r>
      <w:r>
        <w:fldChar w:fldCharType="separate"/>
      </w:r>
      <w:r>
        <w:rPr>
          <w:rStyle w:val="31"/>
        </w:rPr>
        <w:t>2. 浙江医院后勤一站式服务建设内容</w:t>
      </w:r>
      <w:r>
        <w:tab/>
      </w:r>
      <w:r>
        <w:fldChar w:fldCharType="begin"/>
      </w:r>
      <w:r>
        <w:instrText xml:space="preserve"> PAGEREF _Toc83290251 \h </w:instrText>
      </w:r>
      <w:r>
        <w:fldChar w:fldCharType="separate"/>
      </w:r>
      <w:r>
        <w:t>5</w:t>
      </w:r>
      <w:r>
        <w:fldChar w:fldCharType="end"/>
      </w:r>
      <w:r>
        <w:fldChar w:fldCharType="end"/>
      </w:r>
    </w:p>
    <w:p>
      <w:pPr>
        <w:pStyle w:val="26"/>
        <w:tabs>
          <w:tab w:val="right" w:leader="dot" w:pos="8296"/>
        </w:tabs>
      </w:pPr>
      <w:r>
        <w:fldChar w:fldCharType="begin"/>
      </w:r>
      <w:r>
        <w:instrText xml:space="preserve"> HYPERLINK \l "_Toc83290252" </w:instrText>
      </w:r>
      <w:r>
        <w:fldChar w:fldCharType="separate"/>
      </w:r>
      <w:r>
        <w:rPr>
          <w:rStyle w:val="31"/>
        </w:rPr>
        <w:t>2.1. 智慧后勤数据平台建设</w:t>
      </w:r>
      <w:r>
        <w:tab/>
      </w:r>
      <w:r>
        <w:fldChar w:fldCharType="begin"/>
      </w:r>
      <w:r>
        <w:instrText xml:space="preserve"> PAGEREF _Toc83290252 \h </w:instrText>
      </w:r>
      <w:r>
        <w:fldChar w:fldCharType="separate"/>
      </w:r>
      <w:r>
        <w:t>6</w:t>
      </w:r>
      <w:r>
        <w:fldChar w:fldCharType="end"/>
      </w:r>
      <w:r>
        <w:fldChar w:fldCharType="end"/>
      </w:r>
    </w:p>
    <w:p>
      <w:pPr>
        <w:pStyle w:val="26"/>
        <w:tabs>
          <w:tab w:val="right" w:leader="dot" w:pos="8296"/>
        </w:tabs>
      </w:pPr>
      <w:r>
        <w:fldChar w:fldCharType="begin"/>
      </w:r>
      <w:r>
        <w:instrText xml:space="preserve"> HYPERLINK \l "_Toc83290253" </w:instrText>
      </w:r>
      <w:r>
        <w:fldChar w:fldCharType="separate"/>
      </w:r>
      <w:r>
        <w:rPr>
          <w:rStyle w:val="31"/>
        </w:rPr>
        <w:t>2.2. 浙江医院综合监控设计</w:t>
      </w:r>
      <w:r>
        <w:tab/>
      </w:r>
      <w:r>
        <w:fldChar w:fldCharType="begin"/>
      </w:r>
      <w:r>
        <w:instrText xml:space="preserve"> PAGEREF _Toc83290253 \h </w:instrText>
      </w:r>
      <w:r>
        <w:fldChar w:fldCharType="separate"/>
      </w:r>
      <w:r>
        <w:t>10</w:t>
      </w:r>
      <w:r>
        <w:fldChar w:fldCharType="end"/>
      </w:r>
      <w:r>
        <w:fldChar w:fldCharType="end"/>
      </w:r>
    </w:p>
    <w:p>
      <w:pPr>
        <w:pStyle w:val="26"/>
        <w:tabs>
          <w:tab w:val="right" w:leader="dot" w:pos="8296"/>
        </w:tabs>
      </w:pPr>
      <w:r>
        <w:fldChar w:fldCharType="begin"/>
      </w:r>
      <w:r>
        <w:instrText xml:space="preserve"> HYPERLINK \l "_Toc83290254" </w:instrText>
      </w:r>
      <w:r>
        <w:fldChar w:fldCharType="separate"/>
      </w:r>
      <w:r>
        <w:rPr>
          <w:rStyle w:val="31"/>
        </w:rPr>
        <w:t>2.3. 智慧后勤一站式服务中心建设</w:t>
      </w:r>
      <w:r>
        <w:tab/>
      </w:r>
      <w:r>
        <w:fldChar w:fldCharType="begin"/>
      </w:r>
      <w:r>
        <w:instrText xml:space="preserve"> PAGEREF _Toc83290254 \h </w:instrText>
      </w:r>
      <w:r>
        <w:fldChar w:fldCharType="separate"/>
      </w:r>
      <w:r>
        <w:t>16</w:t>
      </w:r>
      <w:r>
        <w:fldChar w:fldCharType="end"/>
      </w:r>
      <w:r>
        <w:fldChar w:fldCharType="end"/>
      </w:r>
    </w:p>
    <w:p>
      <w:pPr>
        <w:pStyle w:val="26"/>
        <w:tabs>
          <w:tab w:val="right" w:leader="dot" w:pos="8296"/>
        </w:tabs>
      </w:pPr>
      <w:r>
        <w:fldChar w:fldCharType="begin"/>
      </w:r>
      <w:r>
        <w:instrText xml:space="preserve"> HYPERLINK \l "_Toc83290255" </w:instrText>
      </w:r>
      <w:r>
        <w:fldChar w:fldCharType="separate"/>
      </w:r>
      <w:r>
        <w:rPr>
          <w:rStyle w:val="31"/>
          <w:rFonts w:eastAsia="PMingLiU"/>
          <w:lang w:val="zh-TW" w:eastAsia="zh-TW"/>
        </w:rPr>
        <w:t>2.4.</w:t>
      </w:r>
      <w:r>
        <w:rPr>
          <w:rStyle w:val="31"/>
          <w:lang w:val="zh-TW"/>
        </w:rPr>
        <w:t xml:space="preserve"> 基于平台的设备与能源管理系统</w:t>
      </w:r>
      <w:r>
        <w:rPr>
          <w:rStyle w:val="31"/>
          <w:lang w:val="zh-TW" w:eastAsia="zh-TW"/>
        </w:rPr>
        <w:t>建设</w:t>
      </w:r>
      <w:r>
        <w:tab/>
      </w:r>
      <w:r>
        <w:fldChar w:fldCharType="begin"/>
      </w:r>
      <w:r>
        <w:instrText xml:space="preserve"> PAGEREF _Toc83290255 \h </w:instrText>
      </w:r>
      <w:r>
        <w:fldChar w:fldCharType="separate"/>
      </w:r>
      <w:r>
        <w:t>20</w:t>
      </w:r>
      <w:r>
        <w:fldChar w:fldCharType="end"/>
      </w:r>
      <w:r>
        <w:fldChar w:fldCharType="end"/>
      </w:r>
    </w:p>
    <w:p>
      <w:pPr>
        <w:pStyle w:val="24"/>
        <w:tabs>
          <w:tab w:val="right" w:leader="dot" w:pos="8296"/>
        </w:tabs>
      </w:pPr>
      <w:r>
        <w:fldChar w:fldCharType="begin"/>
      </w:r>
      <w:r>
        <w:instrText xml:space="preserve"> HYPERLINK \l "_Toc83290256" </w:instrText>
      </w:r>
      <w:r>
        <w:fldChar w:fldCharType="separate"/>
      </w:r>
      <w:r>
        <w:rPr>
          <w:rStyle w:val="31"/>
        </w:rPr>
        <w:t>3. 医院智慧后勤价值呈现</w:t>
      </w:r>
      <w:r>
        <w:tab/>
      </w:r>
      <w:r>
        <w:fldChar w:fldCharType="begin"/>
      </w:r>
      <w:r>
        <w:instrText xml:space="preserve"> PAGEREF _Toc83290256 \h </w:instrText>
      </w:r>
      <w:r>
        <w:fldChar w:fldCharType="separate"/>
      </w:r>
      <w:r>
        <w:t>32</w:t>
      </w:r>
      <w:r>
        <w:fldChar w:fldCharType="end"/>
      </w:r>
      <w:r>
        <w:fldChar w:fldCharType="end"/>
      </w:r>
    </w:p>
    <w:p>
      <w:pPr>
        <w:pStyle w:val="24"/>
        <w:tabs>
          <w:tab w:val="right" w:leader="dot" w:pos="8296"/>
        </w:tabs>
      </w:pPr>
      <w:r>
        <w:fldChar w:fldCharType="begin"/>
      </w:r>
      <w:r>
        <w:instrText xml:space="preserve"> HYPERLINK \l "_Toc83290258" </w:instrText>
      </w:r>
      <w:r>
        <w:fldChar w:fldCharType="separate"/>
      </w:r>
      <w:r>
        <w:rPr>
          <w:rStyle w:val="31"/>
        </w:rPr>
        <w:t>附件：典型案例分享</w:t>
      </w:r>
      <w:r>
        <w:tab/>
      </w:r>
      <w:r>
        <w:fldChar w:fldCharType="begin"/>
      </w:r>
      <w:r>
        <w:instrText xml:space="preserve"> PAGEREF _Toc83290258 \h </w:instrText>
      </w:r>
      <w:r>
        <w:fldChar w:fldCharType="separate"/>
      </w:r>
      <w:r>
        <w:t>3</w:t>
      </w:r>
      <w:r>
        <w:rPr>
          <w:rFonts w:hint="eastAsia"/>
          <w:lang w:val="en-US" w:eastAsia="zh-CN"/>
        </w:rPr>
        <w:t>4</w:t>
      </w:r>
      <w:r>
        <w:fldChar w:fldCharType="end"/>
      </w:r>
      <w:r>
        <w:fldChar w:fldCharType="end"/>
      </w:r>
    </w:p>
    <w:p>
      <w:pPr>
        <w:pStyle w:val="26"/>
        <w:tabs>
          <w:tab w:val="left" w:pos="840"/>
          <w:tab w:val="right" w:leader="dot" w:pos="8296"/>
        </w:tabs>
      </w:pPr>
      <w:r>
        <w:fldChar w:fldCharType="begin"/>
      </w:r>
      <w:r>
        <w:instrText xml:space="preserve"> HYPERLINK \l "_Toc83290259" </w:instrText>
      </w:r>
      <w:r>
        <w:fldChar w:fldCharType="separate"/>
      </w:r>
      <w:r>
        <w:rPr>
          <w:rStyle w:val="31"/>
        </w:rPr>
        <w:t>1.</w:t>
      </w:r>
      <w:r>
        <w:tab/>
      </w:r>
      <w:r>
        <w:rPr>
          <w:rStyle w:val="31"/>
        </w:rPr>
        <w:t>杭州市第九人民医院</w:t>
      </w:r>
      <w:r>
        <w:tab/>
      </w:r>
      <w:r>
        <w:fldChar w:fldCharType="begin"/>
      </w:r>
      <w:r>
        <w:instrText xml:space="preserve"> PAGEREF _Toc83290259 \h </w:instrText>
      </w:r>
      <w:r>
        <w:fldChar w:fldCharType="separate"/>
      </w:r>
      <w:r>
        <w:t>3</w:t>
      </w:r>
      <w:r>
        <w:rPr>
          <w:rFonts w:hint="eastAsia"/>
          <w:lang w:val="en-US" w:eastAsia="zh-CN"/>
        </w:rPr>
        <w:t>4</w:t>
      </w:r>
      <w:r>
        <w:fldChar w:fldCharType="end"/>
      </w:r>
      <w:r>
        <w:fldChar w:fldCharType="end"/>
      </w:r>
    </w:p>
    <w:p>
      <w:pPr>
        <w:pStyle w:val="26"/>
        <w:tabs>
          <w:tab w:val="left" w:pos="840"/>
          <w:tab w:val="right" w:leader="dot" w:pos="8296"/>
        </w:tabs>
      </w:pPr>
      <w:r>
        <w:fldChar w:fldCharType="begin"/>
      </w:r>
      <w:r>
        <w:instrText xml:space="preserve"> HYPERLINK \l "_Toc83290260" </w:instrText>
      </w:r>
      <w:r>
        <w:fldChar w:fldCharType="separate"/>
      </w:r>
      <w:r>
        <w:rPr>
          <w:rStyle w:val="31"/>
        </w:rPr>
        <w:t>2.</w:t>
      </w:r>
      <w:r>
        <w:tab/>
      </w:r>
      <w:r>
        <w:rPr>
          <w:rStyle w:val="31"/>
        </w:rPr>
        <w:t>浙江大学医学院附属第一医院</w:t>
      </w:r>
      <w:r>
        <w:tab/>
      </w:r>
      <w:r>
        <w:fldChar w:fldCharType="begin"/>
      </w:r>
      <w:r>
        <w:instrText xml:space="preserve"> PAGEREF _Toc83290260 \h </w:instrText>
      </w:r>
      <w:r>
        <w:fldChar w:fldCharType="separate"/>
      </w:r>
      <w:r>
        <w:t>3</w:t>
      </w:r>
      <w:r>
        <w:rPr>
          <w:rFonts w:hint="eastAsia"/>
          <w:lang w:val="en-US" w:eastAsia="zh-CN"/>
        </w:rPr>
        <w:t>7</w:t>
      </w:r>
      <w:r>
        <w:fldChar w:fldCharType="end"/>
      </w:r>
      <w:r>
        <w:fldChar w:fldCharType="end"/>
      </w:r>
    </w:p>
    <w:p>
      <w:pPr>
        <w:pStyle w:val="2"/>
        <w:ind w:left="0" w:leftChars="0" w:firstLine="0" w:firstLineChars="0"/>
        <w:sectPr>
          <w:headerReference r:id="rId5" w:type="default"/>
          <w:pgSz w:w="11906" w:h="16838"/>
          <w:pgMar w:top="1440" w:right="1800" w:bottom="1440" w:left="1800" w:header="851" w:footer="992" w:gutter="0"/>
          <w:cols w:space="720" w:num="1"/>
          <w:titlePg/>
          <w:docGrid w:type="lines" w:linePitch="312" w:charSpace="0"/>
        </w:sectPr>
      </w:pPr>
      <w:r>
        <w:fldChar w:fldCharType="end"/>
      </w:r>
    </w:p>
    <w:p>
      <w:pPr>
        <w:pStyle w:val="4"/>
        <w:jc w:val="center"/>
      </w:pPr>
      <w:bookmarkStart w:id="0" w:name="_Toc83290248"/>
      <w:bookmarkStart w:id="1" w:name="_Toc63608875"/>
      <w:r>
        <w:t>项目概况</w:t>
      </w:r>
      <w:bookmarkEnd w:id="0"/>
      <w:bookmarkEnd w:id="1"/>
    </w:p>
    <w:p>
      <w:pPr>
        <w:pStyle w:val="6"/>
      </w:pPr>
      <w:bookmarkStart w:id="2" w:name="_Toc83290249"/>
      <w:bookmarkStart w:id="3" w:name="_Toc63608876"/>
      <w:r>
        <w:rPr>
          <w:rFonts w:hint="eastAsia"/>
        </w:rPr>
        <w:t>医院整体描述</w:t>
      </w:r>
      <w:bookmarkEnd w:id="2"/>
      <w:bookmarkEnd w:id="3"/>
    </w:p>
    <w:p>
      <w:pPr>
        <w:pStyle w:val="2"/>
        <w:ind w:leftChars="0" w:firstLineChars="0"/>
        <w:rPr>
          <w:szCs w:val="21"/>
        </w:rPr>
      </w:pPr>
      <w:r>
        <w:rPr>
          <w:rFonts w:hint="eastAsia"/>
          <w:szCs w:val="21"/>
          <w:lang w:val="en-US" w:eastAsia="zh-CN"/>
        </w:rPr>
        <w:t>浙江医院</w:t>
      </w:r>
      <w:r>
        <w:rPr>
          <w:rFonts w:hint="eastAsia"/>
          <w:szCs w:val="21"/>
        </w:rPr>
        <w:t>始建于1954年，建院初期以干部医疗保健及涉外医疗为主，1979年全面对外开放，目前是一所集医疗、教学、科研、预防和保健为一体的三级甲等综合性医院，包含灵隐院区和三墩院区。</w:t>
      </w:r>
    </w:p>
    <w:p>
      <w:pPr>
        <w:pStyle w:val="2"/>
        <w:ind w:left="0" w:leftChars="0"/>
      </w:pPr>
      <w:r>
        <w:drawing>
          <wp:inline distT="0" distB="0" distL="0" distR="0">
            <wp:extent cx="5144770" cy="358457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157981" cy="3594317"/>
                    </a:xfrm>
                    <a:prstGeom prst="rect">
                      <a:avLst/>
                    </a:prstGeom>
                    <a:noFill/>
                    <a:ln>
                      <a:noFill/>
                    </a:ln>
                  </pic:spPr>
                </pic:pic>
              </a:graphicData>
            </a:graphic>
          </wp:inline>
        </w:drawing>
      </w:r>
    </w:p>
    <w:p>
      <w:pPr>
        <w:pStyle w:val="1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t xml:space="preserve"> </w:t>
      </w:r>
      <w:r>
        <w:rPr>
          <w:rFonts w:hint="eastAsia"/>
        </w:rPr>
        <w:t>医院外观</w:t>
      </w:r>
    </w:p>
    <w:p>
      <w:pPr>
        <w:pStyle w:val="2"/>
        <w:ind w:left="0" w:leftChars="0" w:firstLine="0" w:firstLineChars="0"/>
        <w:jc w:val="center"/>
      </w:pPr>
    </w:p>
    <w:p>
      <w:pPr>
        <w:pStyle w:val="6"/>
      </w:pPr>
      <w:bookmarkStart w:id="4" w:name="_Toc83290250"/>
      <w:bookmarkStart w:id="5" w:name="_Toc63608877"/>
      <w:r>
        <w:rPr>
          <w:rFonts w:hint="eastAsia"/>
        </w:rPr>
        <w:t>医院后勤服务现状与需求</w:t>
      </w:r>
      <w:bookmarkEnd w:id="4"/>
      <w:bookmarkEnd w:id="5"/>
    </w:p>
    <w:p>
      <w:pPr>
        <w:ind w:firstLine="420" w:firstLineChars="200"/>
      </w:pPr>
      <w:r>
        <w:rPr>
          <w:rFonts w:hint="eastAsia"/>
        </w:rPr>
        <w:t>随着医院前端诊疗的不断发展，病患人次的日益增多，医院对后勤服务也提出了更高的要求，如何保证新老院区的后勤服务质量，提高临床满意度也是医院后勤所面临的挑战。</w:t>
      </w:r>
    </w:p>
    <w:p>
      <w:pPr>
        <w:ind w:firstLine="420" w:firstLineChars="200"/>
      </w:pPr>
      <w:r>
        <w:rPr>
          <w:rFonts w:hint="eastAsia"/>
        </w:rPr>
        <w:t>现阶段医院后勤面临的核心难题包括：</w:t>
      </w:r>
    </w:p>
    <w:p>
      <w:pPr>
        <w:pStyle w:val="5"/>
        <w:numPr>
          <w:ilvl w:val="0"/>
          <w:numId w:val="2"/>
        </w:numPr>
        <w:ind w:firstLineChars="0"/>
        <w:rPr>
          <w:b/>
          <w:bCs/>
        </w:rPr>
      </w:pPr>
      <w:r>
        <w:rPr>
          <w:rFonts w:hint="eastAsia"/>
          <w:b/>
          <w:bCs/>
        </w:rPr>
        <w:t>现有后勤系统健全，但功能单一且相对独立：</w:t>
      </w:r>
    </w:p>
    <w:p>
      <w:pPr>
        <w:pStyle w:val="5"/>
        <w:ind w:left="780" w:firstLine="0" w:firstLineChars="0"/>
      </w:pPr>
      <w:r>
        <w:rPr>
          <w:rFonts w:hint="eastAsia"/>
        </w:rPr>
        <w:t>医院现有基础运行设备包括变配电、暖通空调、给排水、医用气体、锅炉房、电梯等，医院后勤机电及维修班组为医院自有人员，共计</w:t>
      </w:r>
      <w:r>
        <w:t>45</w:t>
      </w:r>
      <w:r>
        <w:rPr>
          <w:rFonts w:hint="eastAsia"/>
        </w:rPr>
        <w:t>人。现有和仁科技、山东润一、杭州依技等信息化系统及软件，系统功能相对单一。基本上只做到了一次数据采集的作用，系统之间相对独立，存在信息化孤岛现象，并且缺少数据沉淀。现有信息系统目前存在一定完善空间，且系统频繁的误报警等问题给医院的设备维检工作带来了不便。</w:t>
      </w:r>
    </w:p>
    <w:p>
      <w:pPr>
        <w:pStyle w:val="5"/>
        <w:numPr>
          <w:ilvl w:val="0"/>
          <w:numId w:val="2"/>
        </w:numPr>
        <w:ind w:firstLineChars="0"/>
        <w:rPr>
          <w:b/>
          <w:bCs/>
        </w:rPr>
      </w:pPr>
      <w:r>
        <w:rPr>
          <w:rFonts w:hint="eastAsia"/>
          <w:b/>
          <w:bCs/>
        </w:rPr>
        <w:t>报修模式传统、数字化薄弱：</w:t>
      </w:r>
    </w:p>
    <w:p>
      <w:pPr>
        <w:pStyle w:val="5"/>
        <w:ind w:left="780" w:firstLine="0" w:firstLineChars="0"/>
      </w:pPr>
      <w:r>
        <w:rPr>
          <w:rFonts w:hint="eastAsia"/>
        </w:rPr>
        <w:t>医院当前报修仍然采用传统电话报修模式，运行值班和维修人员重叠，当人员在外巡检维修时，监管缺失，存在安全隐患。上述问题导致现有报修系统运行效果不佳，与运维流程没有结合，且新老院区运维及管理不延续。相较于医院前端信息化、数字化的成熟度，目前后勤信息化、数字化的程度薄弱。</w:t>
      </w:r>
    </w:p>
    <w:p>
      <w:pPr>
        <w:pStyle w:val="5"/>
        <w:numPr>
          <w:ilvl w:val="0"/>
          <w:numId w:val="2"/>
        </w:numPr>
        <w:ind w:firstLineChars="0"/>
        <w:rPr>
          <w:b/>
          <w:bCs/>
        </w:rPr>
      </w:pPr>
      <w:r>
        <w:rPr>
          <w:rFonts w:hint="eastAsia"/>
          <w:b/>
          <w:bCs/>
        </w:rPr>
        <w:t>能耗管理系统点位覆盖较好（三墩院区），但未做到能耗精细化管理：</w:t>
      </w:r>
    </w:p>
    <w:p>
      <w:pPr>
        <w:pStyle w:val="5"/>
        <w:ind w:left="780" w:firstLine="0" w:firstLineChars="0"/>
      </w:pPr>
      <w:r>
        <w:rPr>
          <w:rFonts w:hint="eastAsia"/>
        </w:rPr>
        <w:t>现有能耗管理系统功能单一，仅做到了数据的一次采集，而且系统内的表计换算逻辑有误，导致无法指导用能考核。另外医院缺少部分前端数据采集设备，无法直观地体现医院能耗使用情况，造成医院能耗精细化管理困难。</w:t>
      </w:r>
    </w:p>
    <w:p>
      <w:pPr>
        <w:pStyle w:val="5"/>
        <w:numPr>
          <w:ilvl w:val="0"/>
          <w:numId w:val="2"/>
        </w:numPr>
        <w:ind w:firstLineChars="0"/>
        <w:rPr>
          <w:b/>
          <w:bCs/>
        </w:rPr>
      </w:pPr>
      <w:r>
        <w:rPr>
          <w:rFonts w:hint="eastAsia"/>
          <w:b/>
          <w:bCs/>
        </w:rPr>
        <w:t>两个院区电梯系统均为纳入能耗管理，部分电梯缺少监控系统；</w:t>
      </w:r>
    </w:p>
    <w:p>
      <w:pPr>
        <w:pStyle w:val="5"/>
        <w:numPr>
          <w:ilvl w:val="0"/>
          <w:numId w:val="2"/>
        </w:numPr>
        <w:ind w:firstLineChars="0"/>
        <w:rPr>
          <w:b/>
          <w:bCs/>
        </w:rPr>
      </w:pPr>
      <w:r>
        <w:rPr>
          <w:rFonts w:hint="eastAsia"/>
          <w:b/>
          <w:bCs/>
        </w:rPr>
        <w:t>机房缺少视频监控等必要监控设备；</w:t>
      </w:r>
    </w:p>
    <w:p>
      <w:pPr>
        <w:pStyle w:val="5"/>
        <w:numPr>
          <w:ilvl w:val="0"/>
          <w:numId w:val="2"/>
        </w:numPr>
        <w:ind w:firstLineChars="0"/>
        <w:rPr>
          <w:b/>
          <w:bCs/>
        </w:rPr>
      </w:pPr>
      <w:r>
        <w:rPr>
          <w:rFonts w:hint="eastAsia"/>
          <w:b/>
          <w:bCs/>
        </w:rPr>
        <w:t>三墩院区现有设备存在节能空间，可以通过技术节能措施降低能耗；</w:t>
      </w:r>
    </w:p>
    <w:p>
      <w:pPr>
        <w:pStyle w:val="5"/>
        <w:numPr>
          <w:ilvl w:val="0"/>
          <w:numId w:val="2"/>
        </w:numPr>
        <w:ind w:firstLineChars="0"/>
        <w:rPr>
          <w:b/>
          <w:bCs/>
        </w:rPr>
      </w:pPr>
      <w:r>
        <w:rPr>
          <w:rFonts w:hint="eastAsia"/>
          <w:b/>
          <w:bCs/>
        </w:rPr>
        <w:t>两个院区均没有空调群控设备，可以通过空调群控的智能运行以及空调末端的运行管理降低能耗。</w:t>
      </w:r>
    </w:p>
    <w:p>
      <w:pPr>
        <w:pStyle w:val="5"/>
        <w:ind w:left="420" w:firstLine="0" w:firstLineChars="0"/>
        <w:jc w:val="center"/>
      </w:pPr>
      <w:r>
        <w:drawing>
          <wp:inline distT="0" distB="0" distL="0" distR="0">
            <wp:extent cx="4165600" cy="3124200"/>
            <wp:effectExtent l="0" t="0" r="635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169137" cy="3127103"/>
                    </a:xfrm>
                    <a:prstGeom prst="rect">
                      <a:avLst/>
                    </a:prstGeom>
                    <a:noFill/>
                    <a:ln>
                      <a:noFill/>
                    </a:ln>
                  </pic:spPr>
                </pic:pic>
              </a:graphicData>
            </a:graphic>
          </wp:inline>
        </w:drawing>
      </w:r>
    </w:p>
    <w:p>
      <w:pPr>
        <w:pStyle w:val="1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noBreakHyphen/>
      </w:r>
      <w:r>
        <w:rPr>
          <w:rFonts w:hint="eastAsia"/>
        </w:rPr>
        <w:t>2</w:t>
      </w:r>
      <w:r>
        <w:t xml:space="preserve"> </w:t>
      </w:r>
      <w:r>
        <w:rPr>
          <w:rFonts w:hint="eastAsia"/>
        </w:rPr>
        <w:t>现有冷机监控系统</w:t>
      </w:r>
    </w:p>
    <w:p>
      <w:pPr>
        <w:pStyle w:val="2"/>
        <w:ind w:left="0" w:leftChars="0" w:firstLineChars="0"/>
      </w:pPr>
      <w:r>
        <w:rPr>
          <w:rFonts w:hint="eastAsia"/>
        </w:rPr>
        <w:t>针对以上难题，医院亟需统一的一站式服务运营体系，以及统一的大数据管理平台，核心需求包括：</w:t>
      </w:r>
    </w:p>
    <w:p>
      <w:pPr>
        <w:pStyle w:val="2"/>
        <w:numPr>
          <w:ilvl w:val="0"/>
          <w:numId w:val="3"/>
        </w:numPr>
        <w:ind w:leftChars="0" w:firstLineChars="0"/>
        <w:rPr>
          <w:b/>
          <w:bCs/>
        </w:rPr>
      </w:pPr>
      <w:r>
        <w:rPr>
          <w:rFonts w:hint="eastAsia"/>
          <w:b/>
          <w:bCs/>
        </w:rPr>
        <w:t>智慧后勤数据平台需求</w:t>
      </w:r>
    </w:p>
    <w:p>
      <w:pPr>
        <w:pStyle w:val="2"/>
        <w:ind w:left="780" w:leftChars="0" w:firstLine="0" w:firstLineChars="0"/>
      </w:pPr>
      <w:r>
        <w:rPr>
          <w:rFonts w:hint="eastAsia"/>
        </w:rPr>
        <w:t>帮助医院梳理主要的设备设施、人员、空间、安全、能耗等基础数据，建立医院基础数据库，同时连接医院现有的第三方信息化系统，以建立业务中台、实现统一数据管理，形成医院核心数据资产。</w:t>
      </w:r>
    </w:p>
    <w:p>
      <w:pPr>
        <w:pStyle w:val="2"/>
        <w:numPr>
          <w:ilvl w:val="0"/>
          <w:numId w:val="3"/>
        </w:numPr>
        <w:ind w:leftChars="0" w:firstLineChars="0"/>
        <w:rPr>
          <w:b/>
          <w:bCs/>
        </w:rPr>
      </w:pPr>
      <w:r>
        <w:rPr>
          <w:rFonts w:hint="eastAsia"/>
          <w:b/>
          <w:bCs/>
        </w:rPr>
        <w:t>一站式服务中心需求</w:t>
      </w:r>
    </w:p>
    <w:p>
      <w:pPr>
        <w:pStyle w:val="2"/>
        <w:ind w:left="780" w:leftChars="0" w:firstLine="0" w:firstLineChars="0"/>
      </w:pPr>
      <w:r>
        <w:rPr>
          <w:rFonts w:hint="eastAsia"/>
        </w:rPr>
        <w:t>医院设备和系统众多，且系统和设备间有交叉，任一设备和系统需要维修或调整时需要联系协调的厂家太多，影响整体工作效率；同时对于图纸、手册、说明、规程、制度等非结构化的文档资料缺乏系统化管理手段和工具，不便于共享和查看，也没有将这些资料与业务对象关联起来，不能有效支撑策略或计划的制定；现有运维服务模块及管理工作较为独立，前端需求需要根据实际情况提交到不同的部门，给前端医护患带来不便。因此需要建立一个兼具综合指挥中心、服务受理中心、集中调度中心、应急处置中心、系统监控中心等多中心职能的多维度综合管理机构中心，统一管理后勤服务，形成闭环、数据化、可追溯的服务管理体系，并为所有第三方物业管理赋能，提供必要的信息化工具。</w:t>
      </w:r>
    </w:p>
    <w:p>
      <w:pPr>
        <w:pStyle w:val="2"/>
        <w:numPr>
          <w:ilvl w:val="0"/>
          <w:numId w:val="3"/>
        </w:numPr>
        <w:ind w:leftChars="0" w:firstLineChars="0"/>
        <w:rPr>
          <w:b/>
          <w:bCs/>
        </w:rPr>
      </w:pPr>
      <w:r>
        <w:rPr>
          <w:rFonts w:hint="eastAsia"/>
          <w:b/>
          <w:bCs/>
        </w:rPr>
        <w:t>设备全生命周期管理需求</w:t>
      </w:r>
    </w:p>
    <w:p>
      <w:pPr>
        <w:pStyle w:val="2"/>
        <w:ind w:left="780" w:leftChars="0" w:firstLine="0" w:firstLineChars="0"/>
      </w:pPr>
      <w:r>
        <w:rPr>
          <w:rFonts w:hint="eastAsia"/>
        </w:rPr>
        <w:t>浙江医院分为三墩和灵隐两个院区，需要监管的设备繁多而且分散。灵隐院区内各个楼之间距离较远，对于日常巡检及维护带来了更大的挑战。医院目前没有比较好的信息化工具或手段针对设备的维修、巡检、保养等流程进行跟踪，现有报修系统相关流程不能闭环，对运维人员的工作考核缺乏数据支持，对提高员工工作积极性有一定影响，因此需要对设备的维修、巡检、保养等流程进行闭环管理，并对相关流程进行跟踪，对员工进行分级考核等。设备的全生命周期管理是将所有设备从采购到报废的全过程进行管理，并通过大数据分析，建立预防式维护体系，提高设备运行效率，降低运营成本。</w:t>
      </w:r>
    </w:p>
    <w:p>
      <w:pPr>
        <w:pStyle w:val="2"/>
        <w:numPr>
          <w:ilvl w:val="0"/>
          <w:numId w:val="3"/>
        </w:numPr>
        <w:ind w:leftChars="0" w:firstLineChars="0"/>
        <w:rPr>
          <w:b/>
          <w:bCs/>
        </w:rPr>
      </w:pPr>
      <w:r>
        <w:rPr>
          <w:rFonts w:hint="eastAsia"/>
          <w:b/>
          <w:bCs/>
          <w:szCs w:val="21"/>
        </w:rPr>
        <w:t>综合监控系统需求</w:t>
      </w:r>
    </w:p>
    <w:p>
      <w:pPr>
        <w:pStyle w:val="2"/>
        <w:ind w:left="780" w:leftChars="0" w:firstLine="0" w:firstLineChars="0"/>
        <w:rPr>
          <w:b/>
          <w:bCs/>
        </w:rPr>
      </w:pPr>
      <w:r>
        <w:rPr>
          <w:rFonts w:hint="eastAsia"/>
        </w:rPr>
        <w:t>目前浙江医院两个院区设备机房均缺少综合监控系统。应该针对大型医疗用能设备和关键用能设备进行计量和监控分析，以提前发现设备运行隐患，确保服务质量。通过设备状态实时监测和告警联动，实现对设备故障的快速响应。在各个设备机房内加装人脸视频监控，从而总体提升机房安全水平。</w:t>
      </w:r>
    </w:p>
    <w:p>
      <w:pPr>
        <w:pStyle w:val="2"/>
        <w:numPr>
          <w:ilvl w:val="0"/>
          <w:numId w:val="3"/>
        </w:numPr>
        <w:ind w:leftChars="0" w:firstLineChars="0"/>
        <w:rPr>
          <w:b/>
          <w:bCs/>
        </w:rPr>
      </w:pPr>
      <w:r>
        <w:rPr>
          <w:rFonts w:hint="eastAsia"/>
          <w:b/>
          <w:bCs/>
          <w:szCs w:val="21"/>
        </w:rPr>
        <w:t>能源精细化管理需求</w:t>
      </w:r>
    </w:p>
    <w:p>
      <w:pPr>
        <w:pStyle w:val="5"/>
        <w:ind w:left="780" w:firstLine="0" w:firstLineChars="0"/>
        <w:rPr>
          <w:szCs w:val="21"/>
        </w:rPr>
      </w:pPr>
      <w:r>
        <w:rPr>
          <w:rFonts w:hint="eastAsia"/>
          <w:szCs w:val="21"/>
        </w:rPr>
        <w:t>医院目前节能降耗措施有限缺乏有效的分析和利用，能耗数据不够明确，不利于节能降耗工作的针对性开展，较难实现万元收入能耗支出的降低。医院需要对能源管理进行进一步细化，对建筑、功能区域、科室等维度进行多维度的统计方式进行计量统计与考核，对成本的管理则需要通过精细化的方式进行进一步的提高。</w:t>
      </w:r>
    </w:p>
    <w:p>
      <w:pPr>
        <w:pStyle w:val="5"/>
        <w:numPr>
          <w:ilvl w:val="0"/>
          <w:numId w:val="3"/>
        </w:numPr>
        <w:ind w:firstLineChars="0"/>
        <w:rPr>
          <w:b/>
          <w:bCs/>
          <w:szCs w:val="21"/>
        </w:rPr>
      </w:pPr>
      <w:r>
        <w:rPr>
          <w:rFonts w:hint="eastAsia"/>
          <w:b/>
          <w:bCs/>
          <w:szCs w:val="21"/>
        </w:rPr>
        <w:t>管家服务</w:t>
      </w:r>
    </w:p>
    <w:p>
      <w:pPr>
        <w:pStyle w:val="5"/>
        <w:spacing w:before="120" w:after="120"/>
        <w:ind w:left="782" w:firstLine="0" w:firstLineChars="0"/>
        <w:rPr>
          <w:szCs w:val="21"/>
        </w:rPr>
      </w:pPr>
      <w:r>
        <w:rPr>
          <w:rFonts w:hint="eastAsia"/>
        </w:rPr>
        <w:t>各类后勤业务（如机电运维、保洁、运送等）的服务质量、外包单位人员、效率、品质如何得到有效的监管与保障，这也是医院后勤管理者关心的问题。因此不仅需要引入满足医院个性化后勤品质需求的管家团队，同时需要通过信息化手段，优化机电运维人员结构和服务流程、依托平台和新技术提高运维效率。</w:t>
      </w:r>
    </w:p>
    <w:p>
      <w:pPr>
        <w:pStyle w:val="2"/>
        <w:ind w:leftChars="0" w:firstLineChars="0"/>
      </w:pPr>
      <w:r>
        <w:br w:type="page"/>
      </w:r>
    </w:p>
    <w:p>
      <w:pPr>
        <w:pStyle w:val="4"/>
        <w:jc w:val="center"/>
      </w:pPr>
      <w:bookmarkStart w:id="6" w:name="_Toc83290251"/>
      <w:bookmarkStart w:id="7" w:name="_Toc63608878"/>
      <w:r>
        <w:rPr>
          <w:rFonts w:hint="eastAsia"/>
        </w:rPr>
        <w:t>浙江医院后勤一站式服务建设内容</w:t>
      </w:r>
      <w:bookmarkEnd w:id="6"/>
      <w:bookmarkEnd w:id="7"/>
    </w:p>
    <w:p>
      <w:pPr>
        <w:ind w:firstLine="420"/>
      </w:pPr>
      <w:r>
        <w:rPr>
          <w:rFonts w:hint="eastAsia"/>
        </w:rPr>
        <w:t>为提高浙江医院后勤服务质量，建设浙江省智慧医院样板点，同时使医院的后勤服务质量在浙江省，乃至全国同类医院中达到先进水平，天溯对医院后勤运营服务进行统一规划和设计，搭建数字医院·智慧运营服务平台，建设一站式服务生态体系，并可实现医院的多业务、多后勤系统的集约化管理。</w:t>
      </w:r>
    </w:p>
    <w:p>
      <w:pPr>
        <w:pStyle w:val="2"/>
        <w:keepNext/>
        <w:ind w:left="0" w:leftChars="0" w:firstLine="0" w:firstLineChars="0"/>
      </w:pPr>
      <w:r>
        <w:drawing>
          <wp:inline distT="0" distB="0" distL="0" distR="0">
            <wp:extent cx="5274310" cy="295719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2957195"/>
                    </a:xfrm>
                    <a:prstGeom prst="rect">
                      <a:avLst/>
                    </a:prstGeom>
                    <a:noFill/>
                    <a:ln>
                      <a:noFill/>
                    </a:ln>
                  </pic:spPr>
                </pic:pic>
              </a:graphicData>
            </a:graphic>
          </wp:inline>
        </w:drawing>
      </w:r>
    </w:p>
    <w:p>
      <w:pPr>
        <w:pStyle w:val="1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t xml:space="preserve"> </w:t>
      </w:r>
      <w:r>
        <w:rPr>
          <w:rFonts w:hint="eastAsia"/>
        </w:rPr>
        <w:t>数字医院·智慧运营服务平台建设内容总览</w:t>
      </w:r>
    </w:p>
    <w:p>
      <w:pPr>
        <w:pStyle w:val="52"/>
        <w:widowControl w:val="0"/>
        <w:autoSpaceDE w:val="0"/>
        <w:autoSpaceDN w:val="0"/>
        <w:adjustRightInd w:val="0"/>
        <w:spacing w:before="120" w:after="120"/>
        <w:ind w:firstLine="420" w:firstLineChars="200"/>
        <w:rPr>
          <w:rFonts w:ascii="宋体" w:hAnsi="宋体" w:cs="宋体"/>
          <w:szCs w:val="21"/>
        </w:rPr>
      </w:pPr>
      <w:r>
        <w:rPr>
          <w:rFonts w:hint="eastAsia" w:ascii="宋体" w:hAnsi="宋体" w:cs="宋体"/>
          <w:szCs w:val="21"/>
        </w:rPr>
        <w:t>主要建设内容包括：</w:t>
      </w:r>
    </w:p>
    <w:p>
      <w:pPr>
        <w:pStyle w:val="52"/>
        <w:widowControl w:val="0"/>
        <w:numPr>
          <w:ilvl w:val="0"/>
          <w:numId w:val="4"/>
        </w:numPr>
        <w:autoSpaceDE w:val="0"/>
        <w:autoSpaceDN w:val="0"/>
        <w:adjustRightInd w:val="0"/>
        <w:spacing w:before="120" w:after="120"/>
        <w:rPr>
          <w:rFonts w:ascii="宋体" w:hAnsi="宋体" w:cs="宋体"/>
          <w:bCs/>
          <w:szCs w:val="21"/>
        </w:rPr>
      </w:pPr>
      <w:r>
        <w:rPr>
          <w:rFonts w:hint="eastAsia" w:ascii="宋体" w:hAnsi="宋体" w:cs="宋体"/>
          <w:b/>
          <w:szCs w:val="21"/>
        </w:rPr>
        <w:t>智慧后勤数据平台建设</w:t>
      </w:r>
      <w:r>
        <w:rPr>
          <w:rFonts w:hint="eastAsia" w:ascii="宋体" w:hAnsi="宋体" w:cs="宋体"/>
          <w:bCs/>
          <w:szCs w:val="21"/>
        </w:rPr>
        <w:t>（数据采集、对接、统一及综合监控）</w:t>
      </w:r>
    </w:p>
    <w:p>
      <w:pPr>
        <w:pStyle w:val="52"/>
        <w:widowControl w:val="0"/>
        <w:numPr>
          <w:ilvl w:val="0"/>
          <w:numId w:val="4"/>
        </w:numPr>
        <w:autoSpaceDE w:val="0"/>
        <w:autoSpaceDN w:val="0"/>
        <w:adjustRightInd w:val="0"/>
        <w:spacing w:before="120" w:after="120"/>
        <w:rPr>
          <w:rFonts w:ascii="宋体" w:hAnsi="宋体" w:cs="宋体"/>
          <w:bCs/>
          <w:szCs w:val="21"/>
        </w:rPr>
      </w:pPr>
      <w:r>
        <w:rPr>
          <w:rFonts w:hint="eastAsia" w:ascii="宋体" w:hAnsi="宋体" w:cs="宋体"/>
          <w:b/>
          <w:szCs w:val="21"/>
        </w:rPr>
        <w:t>安全综合监控</w:t>
      </w:r>
    </w:p>
    <w:p>
      <w:pPr>
        <w:pStyle w:val="52"/>
        <w:widowControl w:val="0"/>
        <w:numPr>
          <w:ilvl w:val="0"/>
          <w:numId w:val="4"/>
        </w:numPr>
        <w:autoSpaceDE w:val="0"/>
        <w:autoSpaceDN w:val="0"/>
        <w:adjustRightInd w:val="0"/>
        <w:spacing w:before="120" w:after="120"/>
        <w:rPr>
          <w:rFonts w:ascii="宋体" w:hAnsi="宋体" w:cs="宋体"/>
          <w:bCs/>
          <w:szCs w:val="21"/>
        </w:rPr>
      </w:pPr>
      <w:r>
        <w:rPr>
          <w:rFonts w:hint="eastAsia" w:ascii="宋体" w:hAnsi="宋体" w:cs="宋体"/>
          <w:b/>
          <w:szCs w:val="21"/>
        </w:rPr>
        <w:t>一站式服务中心建设</w:t>
      </w:r>
      <w:r>
        <w:rPr>
          <w:rFonts w:hint="eastAsia" w:ascii="宋体" w:hAnsi="宋体" w:cs="宋体"/>
          <w:bCs/>
          <w:szCs w:val="21"/>
        </w:rPr>
        <w:t>（一站式客服中心+一站式运维中心+一站式管理中心）</w:t>
      </w:r>
    </w:p>
    <w:p>
      <w:pPr>
        <w:pStyle w:val="52"/>
        <w:widowControl w:val="0"/>
        <w:numPr>
          <w:ilvl w:val="0"/>
          <w:numId w:val="4"/>
        </w:numPr>
        <w:autoSpaceDE w:val="0"/>
        <w:autoSpaceDN w:val="0"/>
        <w:adjustRightInd w:val="0"/>
        <w:spacing w:before="120" w:after="120"/>
        <w:rPr>
          <w:rFonts w:ascii="宋体" w:hAnsi="宋体" w:cs="宋体"/>
          <w:bCs/>
          <w:szCs w:val="21"/>
        </w:rPr>
      </w:pPr>
      <w:r>
        <w:rPr>
          <w:rFonts w:hint="eastAsia" w:ascii="宋体" w:hAnsi="宋体" w:cs="宋体"/>
          <w:b/>
          <w:szCs w:val="21"/>
        </w:rPr>
        <w:t>基于平台的设备与能源管理</w:t>
      </w:r>
      <w:r>
        <w:rPr>
          <w:rFonts w:hint="eastAsia" w:ascii="宋体" w:hAnsi="宋体" w:cs="宋体"/>
          <w:bCs/>
          <w:szCs w:val="21"/>
        </w:rPr>
        <w:t>（设备管理+能源管理+机电运维）</w:t>
      </w:r>
    </w:p>
    <w:p>
      <w:pPr>
        <w:pStyle w:val="52"/>
        <w:widowControl w:val="0"/>
        <w:numPr>
          <w:ilvl w:val="0"/>
          <w:numId w:val="4"/>
        </w:numPr>
        <w:autoSpaceDE w:val="0"/>
        <w:autoSpaceDN w:val="0"/>
        <w:adjustRightInd w:val="0"/>
        <w:spacing w:before="120" w:after="120"/>
        <w:rPr>
          <w:rFonts w:ascii="宋体" w:hAnsi="宋体" w:cs="宋体"/>
          <w:bCs/>
          <w:szCs w:val="21"/>
        </w:rPr>
      </w:pPr>
      <w:r>
        <w:rPr>
          <w:rFonts w:hint="eastAsia" w:ascii="宋体" w:hAnsi="宋体" w:cs="宋体"/>
          <w:b/>
          <w:szCs w:val="21"/>
        </w:rPr>
        <w:t>管家服务</w:t>
      </w:r>
    </w:p>
    <w:p>
      <w:pPr>
        <w:rPr>
          <w:rFonts w:ascii="宋体" w:hAnsi="宋体" w:eastAsia="宋体"/>
          <w:bCs/>
          <w:szCs w:val="21"/>
        </w:rPr>
      </w:pPr>
      <w:r>
        <w:rPr>
          <w:rFonts w:hint="eastAsia" w:ascii="宋体" w:hAnsi="宋体" w:eastAsia="宋体"/>
          <w:bCs/>
          <w:szCs w:val="21"/>
        </w:rPr>
        <w:br w:type="page"/>
      </w:r>
    </w:p>
    <w:p>
      <w:pPr>
        <w:pStyle w:val="6"/>
      </w:pPr>
      <w:bookmarkStart w:id="8" w:name="_Toc83290252"/>
      <w:bookmarkStart w:id="9" w:name="_Toc63608879"/>
      <w:r>
        <w:rPr>
          <w:rFonts w:hint="eastAsia"/>
        </w:rPr>
        <w:t>智慧后勤数据平台建设</w:t>
      </w:r>
      <w:bookmarkEnd w:id="8"/>
      <w:bookmarkEnd w:id="9"/>
    </w:p>
    <w:p>
      <w:pPr>
        <w:pStyle w:val="8"/>
      </w:pPr>
      <w:r>
        <w:rPr>
          <w:rFonts w:hint="eastAsia"/>
        </w:rPr>
        <w:t>平台架构设计</w:t>
      </w:r>
    </w:p>
    <w:p>
      <w:pPr>
        <w:ind w:firstLine="420" w:firstLineChars="200"/>
      </w:pPr>
      <w:r>
        <w:rPr>
          <w:rFonts w:hint="eastAsia"/>
        </w:rPr>
        <w:t>平台框架可分为三层：IaaS层（基层物联网平台），PaaS层（数据中台、业务中台、技术中台），SaaS层（顶层交互平台）</w:t>
      </w:r>
    </w:p>
    <w:p>
      <w:pPr>
        <w:keepNext/>
      </w:pPr>
      <w:r>
        <w:drawing>
          <wp:inline distT="0" distB="0" distL="114300" distR="114300">
            <wp:extent cx="5273675" cy="2652395"/>
            <wp:effectExtent l="0" t="0" r="9525" b="190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4"/>
                    <a:stretch>
                      <a:fillRect/>
                    </a:stretch>
                  </pic:blipFill>
                  <pic:spPr>
                    <a:xfrm>
                      <a:off x="0" y="0"/>
                      <a:ext cx="5273675" cy="2652395"/>
                    </a:xfrm>
                    <a:prstGeom prst="rect">
                      <a:avLst/>
                    </a:prstGeom>
                    <a:noFill/>
                    <a:ln>
                      <a:noFill/>
                    </a:ln>
                  </pic:spPr>
                </pic:pic>
              </a:graphicData>
            </a:graphic>
          </wp:inline>
        </w:drawing>
      </w:r>
    </w:p>
    <w:p>
      <w:pPr>
        <w:pStyle w:val="1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t xml:space="preserve"> </w:t>
      </w:r>
      <w:r>
        <w:rPr>
          <w:rFonts w:hint="eastAsia"/>
        </w:rPr>
        <w:t>生态平台技术架构（管理视角）</w:t>
      </w:r>
    </w:p>
    <w:p>
      <w:pPr>
        <w:pStyle w:val="2"/>
        <w:numPr>
          <w:ilvl w:val="0"/>
          <w:numId w:val="5"/>
        </w:numPr>
        <w:ind w:leftChars="0" w:firstLineChars="0"/>
        <w:rPr>
          <w:b/>
          <w:bCs/>
        </w:rPr>
      </w:pPr>
      <w:r>
        <w:rPr>
          <w:rFonts w:hint="eastAsia"/>
          <w:b/>
          <w:bCs/>
        </w:rPr>
        <w:t>IaaS层（基层物联网平台）：</w:t>
      </w:r>
    </w:p>
    <w:p>
      <w:pPr>
        <w:pStyle w:val="2"/>
        <w:ind w:left="785" w:leftChars="0" w:firstLine="0" w:firstLineChars="0"/>
      </w:pPr>
      <w:r>
        <w:rPr>
          <w:rFonts w:hint="eastAsia"/>
        </w:rPr>
        <w:t>基层物联网平台可以满足医院涉及的三大组网方案、10+种通信技术，100+种类传感器及测试设备的技术要求，采集或对接医院后勤涉及的基础数据，上传到数据平台统一处理</w:t>
      </w:r>
    </w:p>
    <w:p>
      <w:pPr>
        <w:pStyle w:val="2"/>
        <w:keepNext/>
        <w:ind w:left="785" w:leftChars="0" w:firstLine="0" w:firstLineChars="0"/>
        <w:jc w:val="center"/>
      </w:pPr>
      <w:r>
        <w:rPr>
          <w:rFonts w:cs="Times New Roman"/>
        </w:rPr>
        <w:drawing>
          <wp:inline distT="0" distB="0" distL="0" distR="0">
            <wp:extent cx="3223895" cy="2505075"/>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noChangeArrowheads="1"/>
                    </pic:cNvPicPr>
                  </pic:nvPicPr>
                  <pic:blipFill>
                    <a:blip r:embed="rId15"/>
                    <a:srcRect/>
                    <a:stretch>
                      <a:fillRect/>
                    </a:stretch>
                  </pic:blipFill>
                  <pic:spPr>
                    <a:xfrm>
                      <a:off x="0" y="0"/>
                      <a:ext cx="3246516" cy="2522174"/>
                    </a:xfrm>
                    <a:prstGeom prst="rect">
                      <a:avLst/>
                    </a:prstGeom>
                    <a:noFill/>
                    <a:ln>
                      <a:noFill/>
                    </a:ln>
                    <a:effectLst/>
                  </pic:spPr>
                </pic:pic>
              </a:graphicData>
            </a:graphic>
          </wp:inline>
        </w:drawing>
      </w:r>
    </w:p>
    <w:p>
      <w:pPr>
        <w:pStyle w:val="1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 xml:space="preserve"> </w:t>
      </w:r>
      <w:r>
        <w:rPr>
          <w:rFonts w:hint="eastAsia"/>
        </w:rPr>
        <w:t>物联网平台架构</w:t>
      </w:r>
    </w:p>
    <w:p>
      <w:pPr>
        <w:pStyle w:val="2"/>
        <w:numPr>
          <w:ilvl w:val="0"/>
          <w:numId w:val="5"/>
        </w:numPr>
        <w:ind w:leftChars="0" w:firstLineChars="0"/>
        <w:rPr>
          <w:b/>
          <w:bCs/>
        </w:rPr>
      </w:pPr>
      <w:r>
        <w:rPr>
          <w:rFonts w:hint="eastAsia"/>
          <w:b/>
          <w:bCs/>
        </w:rPr>
        <w:t>PaaS层（数据中台、业务中台、技术中台）</w:t>
      </w:r>
    </w:p>
    <w:p>
      <w:pPr>
        <w:pStyle w:val="2"/>
        <w:ind w:left="785" w:leftChars="0" w:firstLine="0" w:firstLineChars="0"/>
      </w:pPr>
      <w:r>
        <w:rPr>
          <w:rFonts w:hint="eastAsia"/>
        </w:rPr>
        <w:t>PaaS层是整个平台的核心，实现后勤基础数据的统一标准，打通后勤各个业务模块，实现数据的互通联动；为各业务模块进行基础的功能和技术支撑，制定业务的统一标准，解决医院管理后勤众多模块标准不一的问题，以及开放的接入端口，供后续更多子系统接入。</w:t>
      </w:r>
    </w:p>
    <w:p>
      <w:pPr>
        <w:pStyle w:val="2"/>
        <w:keepNext/>
        <w:ind w:left="0" w:leftChars="0" w:firstLine="0" w:firstLineChars="0"/>
        <w:jc w:val="center"/>
      </w:pPr>
      <w:r>
        <w:drawing>
          <wp:inline distT="0" distB="0" distL="0" distR="0">
            <wp:extent cx="5527675" cy="290512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5532107" cy="2907254"/>
                    </a:xfrm>
                    <a:prstGeom prst="rect">
                      <a:avLst/>
                    </a:prstGeom>
                  </pic:spPr>
                </pic:pic>
              </a:graphicData>
            </a:graphic>
          </wp:inline>
        </w:drawing>
      </w:r>
    </w:p>
    <w:p>
      <w:pPr>
        <w:pStyle w:val="1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t xml:space="preserve"> </w:t>
      </w:r>
      <w:r>
        <w:rPr>
          <w:rFonts w:hint="eastAsia"/>
        </w:rPr>
        <w:t>生态平台技术架构（数据视角）</w:t>
      </w:r>
    </w:p>
    <w:p>
      <w:pPr>
        <w:pStyle w:val="2"/>
        <w:numPr>
          <w:ilvl w:val="0"/>
          <w:numId w:val="5"/>
        </w:numPr>
        <w:ind w:leftChars="0" w:firstLineChars="0"/>
        <w:rPr>
          <w:b/>
          <w:bCs/>
        </w:rPr>
      </w:pPr>
      <w:r>
        <w:rPr>
          <w:rFonts w:hint="eastAsia"/>
          <w:b/>
          <w:bCs/>
        </w:rPr>
        <w:t>SaaS层（顶层交互平台）</w:t>
      </w:r>
    </w:p>
    <w:p>
      <w:pPr>
        <w:pStyle w:val="2"/>
        <w:ind w:left="785" w:leftChars="0" w:firstLine="0" w:firstLineChars="0"/>
      </w:pPr>
      <w:r>
        <w:rPr>
          <w:rFonts w:hint="eastAsia"/>
        </w:rPr>
        <w:t>顶层交互平台通过多种方式为医院提供了直观、便捷、高效的使用界面</w:t>
      </w:r>
    </w:p>
    <w:p>
      <w:pPr>
        <w:pStyle w:val="2"/>
        <w:numPr>
          <w:ilvl w:val="0"/>
          <w:numId w:val="6"/>
        </w:numPr>
        <w:ind w:leftChars="0" w:firstLineChars="0"/>
      </w:pPr>
      <w:r>
        <w:rPr>
          <w:rFonts w:hint="eastAsia"/>
        </w:rPr>
        <w:t>通过Web交互方式提供了丰富和强大的功能；其基础上搭建的一站式服务体系方便医院各个层级、角色的后勤集约化管理。</w:t>
      </w:r>
    </w:p>
    <w:p>
      <w:pPr>
        <w:pStyle w:val="2"/>
        <w:numPr>
          <w:ilvl w:val="0"/>
          <w:numId w:val="6"/>
        </w:numPr>
        <w:ind w:leftChars="0" w:firstLineChars="0"/>
      </w:pPr>
      <w:r>
        <w:rPr>
          <w:rFonts w:hint="eastAsia"/>
        </w:rPr>
        <w:t>为了顺应移动互联网的发展趋势，在手机APP端提供更加方便快捷的使用方式，将复杂专业的后勤运维管理，抽象为“安全、质量、服务”+“人员、财物、资产”，以端到端的思维方式，抽取各个子系统的关键数据，解决客户关系的核心问题，变复杂为简洁，让运维更加方便高效。</w:t>
      </w:r>
    </w:p>
    <w:p>
      <w:pPr>
        <w:pStyle w:val="2"/>
        <w:numPr>
          <w:ilvl w:val="0"/>
          <w:numId w:val="6"/>
        </w:numPr>
        <w:ind w:leftChars="0" w:firstLineChars="0"/>
      </w:pPr>
      <w:r>
        <w:rPr>
          <w:rFonts w:hint="eastAsia"/>
        </w:rPr>
        <w:t>通过B</w:t>
      </w:r>
      <w:r>
        <w:t>IM</w:t>
      </w:r>
      <w:r>
        <w:rPr>
          <w:rFonts w:hint="eastAsia"/>
        </w:rPr>
        <w:t>技术进一步提高平台可视化程度，联合多种技术将可视化真正应用于医院后勤联动管理。</w:t>
      </w:r>
    </w:p>
    <w:p>
      <w:pPr>
        <w:pStyle w:val="2"/>
        <w:ind w:left="785" w:leftChars="0" w:firstLine="0" w:firstLineChars="0"/>
      </w:pPr>
      <w:r>
        <w:rPr>
          <w:rFonts w:cs="Times New Roman"/>
        </w:rPr>
        <w:drawing>
          <wp:inline distT="0" distB="0" distL="0" distR="0">
            <wp:extent cx="4789170" cy="1381125"/>
            <wp:effectExtent l="0" t="0" r="11430" b="317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b="38720"/>
                    <a:stretch>
                      <a:fillRect/>
                    </a:stretch>
                  </pic:blipFill>
                  <pic:spPr>
                    <a:xfrm>
                      <a:off x="0" y="0"/>
                      <a:ext cx="4789170" cy="1381125"/>
                    </a:xfrm>
                    <a:prstGeom prst="rect">
                      <a:avLst/>
                    </a:prstGeom>
                    <a:noFill/>
                    <a:ln>
                      <a:noFill/>
                    </a:ln>
                    <a:effectLst/>
                  </pic:spPr>
                </pic:pic>
              </a:graphicData>
            </a:graphic>
          </wp:inline>
        </w:drawing>
      </w:r>
    </w:p>
    <w:p>
      <w:pPr>
        <w:pStyle w:val="2"/>
        <w:keepNext/>
        <w:ind w:left="785" w:leftChars="0" w:firstLine="0" w:firstLineChars="0"/>
        <w:jc w:val="center"/>
      </w:pPr>
      <w:r>
        <w:drawing>
          <wp:inline distT="0" distB="0" distL="114300" distR="114300">
            <wp:extent cx="4805045" cy="2360295"/>
            <wp:effectExtent l="0" t="0" r="0" b="1905"/>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pic:cNvPicPr>
                  </pic:nvPicPr>
                  <pic:blipFill>
                    <a:blip r:embed="rId18"/>
                    <a:stretch>
                      <a:fillRect/>
                    </a:stretch>
                  </pic:blipFill>
                  <pic:spPr>
                    <a:xfrm>
                      <a:off x="0" y="0"/>
                      <a:ext cx="4817007" cy="2366106"/>
                    </a:xfrm>
                    <a:prstGeom prst="rect">
                      <a:avLst/>
                    </a:prstGeom>
                    <a:noFill/>
                    <a:ln>
                      <a:noFill/>
                    </a:ln>
                  </pic:spPr>
                </pic:pic>
              </a:graphicData>
            </a:graphic>
          </wp:inline>
        </w:drawing>
      </w:r>
    </w:p>
    <w:p>
      <w:pPr>
        <w:pStyle w:val="1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t xml:space="preserve"> </w:t>
      </w:r>
      <w:r>
        <w:rPr>
          <w:rFonts w:hint="eastAsia"/>
        </w:rPr>
        <w:t>顶层交互平台展示</w:t>
      </w:r>
    </w:p>
    <w:p>
      <w:pPr>
        <w:pStyle w:val="2"/>
        <w:ind w:left="785" w:leftChars="0" w:firstLine="0" w:firstLineChars="0"/>
      </w:pPr>
      <w:r>
        <w:rPr>
          <w:rFonts w:hint="eastAsia"/>
        </w:rPr>
        <w:t>注：基础功能设计见</w:t>
      </w:r>
      <w:r>
        <w:rPr>
          <w:rFonts w:hint="eastAsia"/>
          <w:b/>
          <w:bCs/>
        </w:rPr>
        <w:t>附件一</w:t>
      </w:r>
    </w:p>
    <w:p>
      <w:pPr>
        <w:pStyle w:val="8"/>
      </w:pPr>
      <w:r>
        <w:rPr>
          <w:rFonts w:hint="eastAsia"/>
        </w:rPr>
        <w:t>统一数据：数据字典</w:t>
      </w:r>
    </w:p>
    <w:p>
      <w:pPr>
        <w:ind w:firstLine="420" w:firstLineChars="200"/>
      </w:pPr>
      <w:r>
        <w:rPr>
          <w:rFonts w:hint="eastAsia"/>
        </w:rPr>
        <w:t>数据字典的建设属于信息编码的范畴，是对医院的后勤运维过程中涉及到的大量信息按照一定规律进行归纳、排列和组合，使管理者和使用者能够快速、有效的检索、定位，从而提高后勤运维的管理效率，并为信息管理提供必要的基础数据的支持：</w:t>
      </w:r>
    </w:p>
    <w:p>
      <w:pPr>
        <w:pStyle w:val="5"/>
        <w:numPr>
          <w:ilvl w:val="0"/>
          <w:numId w:val="7"/>
        </w:numPr>
        <w:ind w:firstLineChars="0"/>
      </w:pPr>
      <w:r>
        <w:rPr>
          <w:rFonts w:hint="eastAsia"/>
        </w:rPr>
        <w:t>人员数据：包括人员、部门（科室），一般参考医院现有OA、HIS系统的数据结构，最大化复用OA、HIS数据，不做强制性结构要求。</w:t>
      </w:r>
    </w:p>
    <w:p>
      <w:pPr>
        <w:pStyle w:val="5"/>
        <w:numPr>
          <w:ilvl w:val="0"/>
          <w:numId w:val="7"/>
        </w:numPr>
        <w:ind w:firstLineChars="0"/>
      </w:pPr>
      <w:r>
        <w:rPr>
          <w:rFonts w:hint="eastAsia"/>
        </w:rPr>
        <w:t>空间数据：包括院区、建筑、楼层、房间，按国家和行业标准有强制性结构要求，可形成二维码或RFID码。</w:t>
      </w:r>
    </w:p>
    <w:p>
      <w:pPr>
        <w:pStyle w:val="5"/>
        <w:numPr>
          <w:ilvl w:val="0"/>
          <w:numId w:val="7"/>
        </w:numPr>
        <w:ind w:firstLineChars="0"/>
      </w:pPr>
      <w:r>
        <w:rPr>
          <w:rFonts w:hint="eastAsia"/>
        </w:rPr>
        <w:t>设备数据：包括院区（同空间）、系统、子系统、设备、部件，按国家和行业标准有强制性结构要求，可形成二维码或RFID码。</w:t>
      </w:r>
    </w:p>
    <w:p>
      <w:pPr>
        <w:pStyle w:val="5"/>
        <w:numPr>
          <w:ilvl w:val="0"/>
          <w:numId w:val="7"/>
        </w:numPr>
        <w:ind w:firstLineChars="0"/>
      </w:pPr>
      <w:r>
        <w:rPr>
          <w:rFonts w:hint="eastAsia"/>
        </w:rPr>
        <w:t>业务数据：业务产生的数据，包括工单、考核、绩效等类型数据，支持按照医院需求进行调整。</w:t>
      </w:r>
    </w:p>
    <w:p>
      <w:pPr>
        <w:pStyle w:val="5"/>
        <w:numPr>
          <w:ilvl w:val="0"/>
          <w:numId w:val="7"/>
        </w:numPr>
        <w:ind w:firstLineChars="0"/>
      </w:pPr>
      <w:r>
        <w:rPr>
          <w:rFonts w:hint="eastAsia"/>
        </w:rPr>
        <w:t>运行数据：设备产生的数据，包括能耗、环境、运行、告警等类型数据，支持按照医院需求进行调整。</w:t>
      </w:r>
    </w:p>
    <w:p>
      <w:pPr>
        <w:keepNext/>
        <w:ind w:left="360"/>
        <w:jc w:val="center"/>
      </w:pPr>
      <w:r>
        <w:drawing>
          <wp:inline distT="0" distB="0" distL="0" distR="0">
            <wp:extent cx="2680970" cy="3554730"/>
            <wp:effectExtent l="133350" t="114300" r="138430" b="160020"/>
            <wp:docPr id="1128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 name="图片 9"/>
                    <pic:cNvPicPr>
                      <a:picLocks noChangeAspect="1"/>
                    </pic:cNvPicPr>
                  </pic:nvPicPr>
                  <pic:blipFill>
                    <a:blip r:embed="rId19"/>
                    <a:stretch>
                      <a:fillRect/>
                    </a:stretch>
                  </pic:blipFill>
                  <pic:spPr>
                    <a:xfrm>
                      <a:off x="0" y="0"/>
                      <a:ext cx="2682855" cy="3556908"/>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pStyle w:val="1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t xml:space="preserve"> </w:t>
      </w:r>
      <w:r>
        <w:rPr>
          <w:rFonts w:hint="eastAsia"/>
        </w:rPr>
        <w:t>后勤数据字典设计依据</w:t>
      </w:r>
    </w:p>
    <w:p>
      <w:pPr>
        <w:pStyle w:val="8"/>
      </w:pPr>
      <w:r>
        <w:rPr>
          <w:rFonts w:hint="eastAsia"/>
        </w:rPr>
        <w:t>统一数据：数据采集规范</w:t>
      </w:r>
    </w:p>
    <w:p>
      <w:pPr>
        <w:ind w:firstLine="420" w:firstLineChars="200"/>
      </w:pPr>
      <w:r>
        <w:rPr>
          <w:rFonts w:hint="eastAsia"/>
        </w:rPr>
        <w:t>医院整体运营数据管理是后勤智慧化转型的基本支撑性需求，平台通过数据字典将采集、对接的数据根据既定规范导入平台中台，建立医院核心数据资产。</w:t>
      </w:r>
    </w:p>
    <w:p>
      <w:pPr>
        <w:pStyle w:val="5"/>
        <w:keepNext/>
        <w:ind w:left="360" w:firstLine="0" w:firstLineChars="0"/>
      </w:pPr>
      <w:r>
        <w:drawing>
          <wp:inline distT="0" distB="0" distL="0" distR="0">
            <wp:extent cx="5274310" cy="2286635"/>
            <wp:effectExtent l="0" t="0" r="2540" b="0"/>
            <wp:docPr id="11285" name="图片 1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 name="图片 11285"/>
                    <pic:cNvPicPr>
                      <a:picLocks noChangeAspect="1"/>
                    </pic:cNvPicPr>
                  </pic:nvPicPr>
                  <pic:blipFill>
                    <a:blip r:embed="rId20"/>
                    <a:stretch>
                      <a:fillRect/>
                    </a:stretch>
                  </pic:blipFill>
                  <pic:spPr>
                    <a:xfrm>
                      <a:off x="0" y="0"/>
                      <a:ext cx="5274310" cy="2286635"/>
                    </a:xfrm>
                    <a:prstGeom prst="rect">
                      <a:avLst/>
                    </a:prstGeom>
                  </pic:spPr>
                </pic:pic>
              </a:graphicData>
            </a:graphic>
          </wp:inline>
        </w:drawing>
      </w:r>
    </w:p>
    <w:p>
      <w:pPr>
        <w:pStyle w:val="1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t xml:space="preserve"> </w:t>
      </w:r>
      <w:r>
        <w:rPr>
          <w:rFonts w:hint="eastAsia"/>
        </w:rPr>
        <w:t>数据采集与规范流程</w:t>
      </w:r>
    </w:p>
    <w:p>
      <w:pPr>
        <w:pStyle w:val="8"/>
        <w:rPr>
          <w:bCs/>
        </w:rPr>
      </w:pPr>
      <w:r>
        <w:rPr>
          <w:rFonts w:hint="eastAsia"/>
        </w:rPr>
        <w:t>量化评价体系：</w:t>
      </w:r>
      <w:r>
        <w:rPr>
          <w:rFonts w:hint="eastAsia"/>
          <w:bCs/>
        </w:rPr>
        <w:t>建立基于指标的管理评价体系</w:t>
      </w:r>
    </w:p>
    <w:p>
      <w:pPr>
        <w:ind w:firstLine="420" w:firstLineChars="200"/>
      </w:pPr>
      <w:r>
        <w:rPr>
          <w:rFonts w:hint="eastAsia"/>
        </w:rPr>
        <w:t>基于采集及统一的规范数据，依据国家、地区标准，结合医院管理需求，定制化构建指标框架，帮助医院构建完善、科学的管理评价体系</w:t>
      </w:r>
    </w:p>
    <w:p>
      <w:pPr>
        <w:keepNext/>
        <w:ind w:firstLine="420" w:firstLineChars="200"/>
      </w:pPr>
      <w:r>
        <w:drawing>
          <wp:inline distT="0" distB="0" distL="0" distR="0">
            <wp:extent cx="5314950" cy="247904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1"/>
                    <a:stretch>
                      <a:fillRect/>
                    </a:stretch>
                  </pic:blipFill>
                  <pic:spPr>
                    <a:xfrm>
                      <a:off x="0" y="0"/>
                      <a:ext cx="5327589" cy="2485481"/>
                    </a:xfrm>
                    <a:prstGeom prst="rect">
                      <a:avLst/>
                    </a:prstGeom>
                  </pic:spPr>
                </pic:pic>
              </a:graphicData>
            </a:graphic>
          </wp:inline>
        </w:drawing>
      </w:r>
    </w:p>
    <w:p>
      <w:pPr>
        <w:pStyle w:val="1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t xml:space="preserve"> </w:t>
      </w:r>
      <w:r>
        <w:rPr>
          <w:rFonts w:hint="eastAsia"/>
        </w:rPr>
        <w:t>管理评价指标框架</w:t>
      </w:r>
    </w:p>
    <w:p/>
    <w:p>
      <w:pPr>
        <w:pStyle w:val="6"/>
      </w:pPr>
      <w:bookmarkStart w:id="10" w:name="_Toc83290253"/>
      <w:r>
        <w:rPr>
          <w:rFonts w:hint="eastAsia"/>
        </w:rPr>
        <w:t>浙江医院综合监控设计</w:t>
      </w:r>
      <w:bookmarkEnd w:id="10"/>
    </w:p>
    <w:p>
      <w:pPr>
        <w:pStyle w:val="8"/>
      </w:pPr>
      <w:r>
        <w:rPr>
          <w:rFonts w:hint="eastAsia"/>
        </w:rPr>
        <w:t>高低压配电综合监控（第三方监控）</w:t>
      </w:r>
    </w:p>
    <w:p>
      <w:pPr>
        <w:ind w:firstLine="420" w:firstLineChars="200"/>
      </w:pPr>
      <w:r>
        <w:drawing>
          <wp:anchor distT="0" distB="0" distL="114300" distR="114300" simplePos="0" relativeHeight="251660288" behindDoc="0" locked="0" layoutInCell="1" allowOverlap="1">
            <wp:simplePos x="0" y="0"/>
            <wp:positionH relativeFrom="margin">
              <wp:align>center</wp:align>
            </wp:positionH>
            <wp:positionV relativeFrom="paragraph">
              <wp:posOffset>992505</wp:posOffset>
            </wp:positionV>
            <wp:extent cx="3124200" cy="2343150"/>
            <wp:effectExtent l="0" t="0" r="0" b="0"/>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124200" cy="2343150"/>
                    </a:xfrm>
                    <a:prstGeom prst="rect">
                      <a:avLst/>
                    </a:prstGeom>
                    <a:noFill/>
                    <a:ln>
                      <a:noFill/>
                    </a:ln>
                  </pic:spPr>
                </pic:pic>
              </a:graphicData>
            </a:graphic>
          </wp:anchor>
        </w:drawing>
      </w:r>
      <w:r>
        <w:rPr>
          <w:rFonts w:hint="eastAsia"/>
        </w:rPr>
        <w:t xml:space="preserve">医院目前高低压配电机房已有一套高压电力监控系统，监控系统位于高压配电间值班室，目前高压配电室需值班人员长期值守。电力监控系统监测范围为高压侧电表电流电压等数据，低压侧电表未在监测范围内。 </w:t>
      </w:r>
    </w:p>
    <w:p>
      <w:pPr>
        <w:pStyle w:val="1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t xml:space="preserve"> </w:t>
      </w:r>
      <w:r>
        <w:rPr>
          <w:rFonts w:hint="eastAsia"/>
        </w:rPr>
        <w:t>三墩院区高低压配电房</w:t>
      </w:r>
    </w:p>
    <w:p>
      <w:pPr>
        <w:ind w:firstLine="420" w:firstLineChars="200"/>
      </w:pPr>
      <w:r>
        <w:rPr>
          <w:rFonts w:hint="eastAsia"/>
        </w:rPr>
        <w:t>医院电力监控参数包含配电回路电压、电流、有功、无功等参数外，还包含回路开关状态的监测和环境温湿度监测，另外根据需要，增加人脸识别网络摄像头，对机房环境进行24小时不间断监控。</w:t>
      </w:r>
    </w:p>
    <w:p>
      <w:pPr>
        <w:pStyle w:val="2"/>
      </w:pPr>
    </w:p>
    <w:tbl>
      <w:tblPr>
        <w:tblStyle w:val="29"/>
        <w:tblW w:w="5089" w:type="pct"/>
        <w:tblCellSpacing w:w="0" w:type="dxa"/>
        <w:tblInd w:w="-147" w:type="dxa"/>
        <w:tblLayout w:type="autofit"/>
        <w:tblCellMar>
          <w:top w:w="0" w:type="dxa"/>
          <w:left w:w="0" w:type="dxa"/>
          <w:bottom w:w="0" w:type="dxa"/>
          <w:right w:w="0" w:type="dxa"/>
        </w:tblCellMar>
      </w:tblPr>
      <w:tblGrid>
        <w:gridCol w:w="907"/>
        <w:gridCol w:w="557"/>
        <w:gridCol w:w="1293"/>
        <w:gridCol w:w="2947"/>
        <w:gridCol w:w="761"/>
        <w:gridCol w:w="1230"/>
        <w:gridCol w:w="799"/>
      </w:tblGrid>
      <w:tr>
        <w:tblPrEx>
          <w:tblCellMar>
            <w:top w:w="0" w:type="dxa"/>
            <w:left w:w="0" w:type="dxa"/>
            <w:bottom w:w="0" w:type="dxa"/>
            <w:right w:w="0" w:type="dxa"/>
          </w:tblCellMar>
        </w:tblPrEx>
        <w:trPr>
          <w:trHeight w:val="90" w:hRule="atLeast"/>
          <w:tblCellSpacing w:w="0" w:type="dxa"/>
        </w:trPr>
        <w:tc>
          <w:tcPr>
            <w:tcW w:w="5000" w:type="pct"/>
            <w:gridSpan w:val="7"/>
            <w:tcBorders>
              <w:top w:val="single" w:color="auto" w:sz="2" w:space="0"/>
              <w:left w:val="single" w:color="auto" w:sz="4" w:space="0"/>
              <w:bottom w:val="single" w:color="auto" w:sz="2" w:space="0"/>
              <w:right w:val="single" w:color="auto" w:sz="2" w:space="0"/>
            </w:tcBorders>
            <w:shd w:val="clear" w:color="auto" w:fill="auto"/>
            <w:tcMar>
              <w:top w:w="12" w:type="dxa"/>
              <w:left w:w="12" w:type="dxa"/>
              <w:right w:w="12" w:type="dxa"/>
            </w:tcMar>
            <w:vAlign w:val="center"/>
          </w:tcPr>
          <w:p>
            <w:pPr>
              <w:pStyle w:val="27"/>
              <w:jc w:val="cente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高低压配电房综合监控</w:t>
            </w:r>
          </w:p>
        </w:tc>
      </w:tr>
      <w:tr>
        <w:tblPrEx>
          <w:tblCellMar>
            <w:top w:w="0" w:type="dxa"/>
            <w:left w:w="0" w:type="dxa"/>
            <w:bottom w:w="0" w:type="dxa"/>
            <w:right w:w="0" w:type="dxa"/>
          </w:tblCellMar>
        </w:tblPrEx>
        <w:trPr>
          <w:trHeight w:val="400" w:hRule="atLeast"/>
          <w:tblCellSpacing w:w="0" w:type="dxa"/>
        </w:trPr>
        <w:tc>
          <w:tcPr>
            <w:tcW w:w="534" w:type="pct"/>
            <w:vMerge w:val="restart"/>
            <w:tcBorders>
              <w:top w:val="single" w:color="auto" w:sz="2" w:space="0"/>
              <w:left w:val="single" w:color="auto" w:sz="4" w:space="0"/>
              <w:bottom w:val="single" w:color="auto" w:sz="2" w:space="0"/>
              <w:right w:val="single" w:color="auto" w:sz="2"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建筑</w:t>
            </w:r>
          </w:p>
        </w:tc>
        <w:tc>
          <w:tcPr>
            <w:tcW w:w="328" w:type="pct"/>
            <w:vMerge w:val="restar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楼层</w:t>
            </w:r>
          </w:p>
        </w:tc>
        <w:tc>
          <w:tcPr>
            <w:tcW w:w="761" w:type="pct"/>
            <w:vMerge w:val="restar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监测位置</w:t>
            </w:r>
          </w:p>
        </w:tc>
        <w:tc>
          <w:tcPr>
            <w:tcW w:w="1735" w:type="pct"/>
            <w:vMerge w:val="restar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监测内容</w:t>
            </w:r>
          </w:p>
        </w:tc>
        <w:tc>
          <w:tcPr>
            <w:tcW w:w="448" w:type="pct"/>
            <w:vMerge w:val="restar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数量（需院方确认）</w:t>
            </w:r>
          </w:p>
        </w:tc>
        <w:tc>
          <w:tcPr>
            <w:tcW w:w="1194" w:type="pct"/>
            <w:gridSpan w:val="2"/>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机房环境</w:t>
            </w:r>
          </w:p>
        </w:tc>
      </w:tr>
      <w:tr>
        <w:tblPrEx>
          <w:tblCellMar>
            <w:top w:w="0" w:type="dxa"/>
            <w:left w:w="0" w:type="dxa"/>
            <w:bottom w:w="0" w:type="dxa"/>
            <w:right w:w="0" w:type="dxa"/>
          </w:tblCellMar>
        </w:tblPrEx>
        <w:trPr>
          <w:trHeight w:val="90" w:hRule="atLeast"/>
          <w:tblCellSpacing w:w="0" w:type="dxa"/>
        </w:trPr>
        <w:tc>
          <w:tcPr>
            <w:tcW w:w="534" w:type="pct"/>
            <w:vMerge w:val="continue"/>
            <w:tcBorders>
              <w:top w:val="single" w:color="auto" w:sz="2" w:space="0"/>
              <w:left w:val="single" w:color="auto" w:sz="4" w:space="0"/>
              <w:bottom w:val="single" w:color="auto" w:sz="2"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328" w:type="pct"/>
            <w:vMerge w:val="continue"/>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761" w:type="pct"/>
            <w:vMerge w:val="continue"/>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1735" w:type="pct"/>
            <w:vMerge w:val="continue"/>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448" w:type="pct"/>
            <w:vMerge w:val="continue"/>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724" w:type="pc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视频监控</w:t>
            </w:r>
            <w:r>
              <w:rPr>
                <w:rFonts w:hint="eastAsia" w:asciiTheme="minorEastAsia" w:hAnsiTheme="minorEastAsia" w:eastAsiaTheme="minorEastAsia" w:cstheme="minorEastAsia"/>
                <w:sz w:val="18"/>
                <w:szCs w:val="18"/>
              </w:rPr>
              <w:br w:type="textWrapping"/>
            </w:r>
            <w:r>
              <w:rPr>
                <w:rFonts w:hint="eastAsia" w:asciiTheme="minorEastAsia" w:hAnsiTheme="minorEastAsia" w:eastAsiaTheme="minorEastAsia" w:cstheme="minorEastAsia"/>
                <w:sz w:val="18"/>
                <w:szCs w:val="18"/>
              </w:rPr>
              <w:t>（人脸识别）</w:t>
            </w:r>
          </w:p>
        </w:tc>
        <w:tc>
          <w:tcPr>
            <w:tcW w:w="470" w:type="pc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温湿度</w:t>
            </w:r>
            <w:r>
              <w:rPr>
                <w:rFonts w:hint="eastAsia" w:asciiTheme="minorEastAsia" w:hAnsiTheme="minorEastAsia" w:eastAsiaTheme="minorEastAsia" w:cstheme="minorEastAsia"/>
                <w:sz w:val="18"/>
                <w:szCs w:val="18"/>
              </w:rPr>
              <w:br w:type="textWrapping"/>
            </w:r>
            <w:r>
              <w:rPr>
                <w:rFonts w:hint="eastAsia" w:asciiTheme="minorEastAsia" w:hAnsiTheme="minorEastAsia" w:eastAsiaTheme="minorEastAsia" w:cstheme="minorEastAsia"/>
                <w:sz w:val="18"/>
                <w:szCs w:val="18"/>
              </w:rPr>
              <w:t>传感器</w:t>
            </w:r>
          </w:p>
        </w:tc>
      </w:tr>
      <w:tr>
        <w:tblPrEx>
          <w:tblCellMar>
            <w:top w:w="0" w:type="dxa"/>
            <w:left w:w="0" w:type="dxa"/>
            <w:bottom w:w="0" w:type="dxa"/>
            <w:right w:w="0" w:type="dxa"/>
          </w:tblCellMar>
        </w:tblPrEx>
        <w:trPr>
          <w:trHeight w:val="90" w:hRule="atLeast"/>
          <w:tblCellSpacing w:w="0" w:type="dxa"/>
        </w:trPr>
        <w:tc>
          <w:tcPr>
            <w:tcW w:w="534" w:type="pct"/>
            <w:vMerge w:val="restart"/>
            <w:tcBorders>
              <w:top w:val="single" w:color="auto" w:sz="2" w:space="0"/>
              <w:left w:val="single" w:color="auto" w:sz="4" w:space="0"/>
              <w:right w:val="single" w:color="auto" w:sz="2"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三墩院区</w:t>
            </w:r>
          </w:p>
        </w:tc>
        <w:tc>
          <w:tcPr>
            <w:tcW w:w="328" w:type="pct"/>
            <w:vMerge w:val="restart"/>
            <w:tcBorders>
              <w:top w:val="single" w:color="auto" w:sz="2" w:space="0"/>
              <w:left w:val="single" w:color="auto" w:sz="2" w:space="0"/>
              <w:right w:val="single" w:color="auto" w:sz="2"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B1F</w:t>
            </w:r>
          </w:p>
        </w:tc>
        <w:tc>
          <w:tcPr>
            <w:tcW w:w="761" w:type="pc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1#变压器低压侧配电</w:t>
            </w:r>
          </w:p>
        </w:tc>
        <w:tc>
          <w:tcPr>
            <w:tcW w:w="1735" w:type="pct"/>
            <w:vMerge w:val="restar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低压柜进线、馈线、电容、联络柜</w:t>
            </w:r>
            <w:r>
              <w:rPr>
                <w:rFonts w:hint="eastAsia" w:asciiTheme="minorEastAsia" w:hAnsiTheme="minorEastAsia" w:eastAsiaTheme="minorEastAsia" w:cstheme="minorEastAsia"/>
                <w:sz w:val="18"/>
                <w:szCs w:val="18"/>
              </w:rPr>
              <w:br w:type="textWrapping"/>
            </w:r>
            <w:r>
              <w:rPr>
                <w:rFonts w:hint="eastAsia" w:asciiTheme="minorEastAsia" w:hAnsiTheme="minorEastAsia" w:eastAsiaTheme="minorEastAsia" w:cstheme="minorEastAsia"/>
                <w:sz w:val="18"/>
                <w:szCs w:val="18"/>
              </w:rPr>
              <w:t>电度与电气量参数监测</w:t>
            </w:r>
            <w:r>
              <w:rPr>
                <w:rFonts w:hint="eastAsia" w:asciiTheme="minorEastAsia" w:hAnsiTheme="minorEastAsia" w:eastAsiaTheme="minorEastAsia" w:cstheme="minorEastAsia"/>
                <w:sz w:val="18"/>
                <w:szCs w:val="18"/>
              </w:rPr>
              <w:br w:type="textWrapping"/>
            </w:r>
            <w:r>
              <w:rPr>
                <w:rFonts w:hint="eastAsia" w:asciiTheme="minorEastAsia" w:hAnsiTheme="minorEastAsia" w:eastAsiaTheme="minorEastAsia" w:cstheme="minorEastAsia"/>
                <w:sz w:val="18"/>
                <w:szCs w:val="18"/>
              </w:rPr>
              <w:t>(U、I、P、Q、cosθ、kwh)</w:t>
            </w:r>
          </w:p>
        </w:tc>
        <w:tc>
          <w:tcPr>
            <w:tcW w:w="448" w:type="pc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jc w:val="cente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8</w:t>
            </w:r>
            <w:r>
              <w:rPr>
                <w:rFonts w:asciiTheme="minorEastAsia" w:hAnsiTheme="minorEastAsia" w:eastAsiaTheme="minorEastAsia" w:cstheme="minorEastAsia"/>
                <w:sz w:val="18"/>
                <w:szCs w:val="18"/>
              </w:rPr>
              <w:t>9</w:t>
            </w:r>
          </w:p>
        </w:tc>
        <w:tc>
          <w:tcPr>
            <w:tcW w:w="724" w:type="pct"/>
            <w:vMerge w:val="restar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jc w:val="cente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w:t>
            </w:r>
          </w:p>
        </w:tc>
        <w:tc>
          <w:tcPr>
            <w:tcW w:w="470" w:type="pct"/>
            <w:vMerge w:val="restar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jc w:val="cente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w:t>
            </w:r>
          </w:p>
        </w:tc>
      </w:tr>
      <w:tr>
        <w:tblPrEx>
          <w:tblCellMar>
            <w:top w:w="0" w:type="dxa"/>
            <w:left w:w="0" w:type="dxa"/>
            <w:bottom w:w="0" w:type="dxa"/>
            <w:right w:w="0" w:type="dxa"/>
          </w:tblCellMar>
        </w:tblPrEx>
        <w:trPr>
          <w:trHeight w:val="421" w:hRule="atLeast"/>
          <w:tblCellSpacing w:w="0" w:type="dxa"/>
        </w:trPr>
        <w:tc>
          <w:tcPr>
            <w:tcW w:w="534" w:type="pct"/>
            <w:vMerge w:val="continue"/>
            <w:tcBorders>
              <w:left w:val="single" w:color="auto" w:sz="4"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328" w:type="pct"/>
            <w:vMerge w:val="continue"/>
            <w:tcBorders>
              <w:left w:val="single" w:color="auto" w:sz="2"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761" w:type="pc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2#变压器低压侧配电</w:t>
            </w:r>
          </w:p>
        </w:tc>
        <w:tc>
          <w:tcPr>
            <w:tcW w:w="1735" w:type="pct"/>
            <w:vMerge w:val="continue"/>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448" w:type="pc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jc w:val="cente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8</w:t>
            </w:r>
            <w:r>
              <w:rPr>
                <w:rFonts w:asciiTheme="minorEastAsia" w:hAnsiTheme="minorEastAsia" w:eastAsiaTheme="minorEastAsia" w:cstheme="minorEastAsia"/>
                <w:sz w:val="18"/>
                <w:szCs w:val="18"/>
              </w:rPr>
              <w:t>6</w:t>
            </w:r>
          </w:p>
        </w:tc>
        <w:tc>
          <w:tcPr>
            <w:tcW w:w="724" w:type="pct"/>
            <w:vMerge w:val="continue"/>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jc w:val="center"/>
              <w:rPr>
                <w:rFonts w:asciiTheme="minorEastAsia" w:hAnsiTheme="minorEastAsia" w:cstheme="minorEastAsia"/>
                <w:sz w:val="18"/>
                <w:szCs w:val="18"/>
              </w:rPr>
            </w:pPr>
          </w:p>
        </w:tc>
        <w:tc>
          <w:tcPr>
            <w:tcW w:w="470" w:type="pct"/>
            <w:vMerge w:val="continue"/>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jc w:val="center"/>
              <w:rPr>
                <w:rFonts w:asciiTheme="minorEastAsia" w:hAnsiTheme="minorEastAsia" w:cstheme="minorEastAsia"/>
                <w:sz w:val="18"/>
                <w:szCs w:val="18"/>
              </w:rPr>
            </w:pPr>
          </w:p>
        </w:tc>
      </w:tr>
      <w:tr>
        <w:tblPrEx>
          <w:tblCellMar>
            <w:top w:w="0" w:type="dxa"/>
            <w:left w:w="0" w:type="dxa"/>
            <w:bottom w:w="0" w:type="dxa"/>
            <w:right w:w="0" w:type="dxa"/>
          </w:tblCellMar>
        </w:tblPrEx>
        <w:trPr>
          <w:trHeight w:val="421" w:hRule="atLeast"/>
          <w:tblCellSpacing w:w="0" w:type="dxa"/>
        </w:trPr>
        <w:tc>
          <w:tcPr>
            <w:tcW w:w="534" w:type="pct"/>
            <w:vMerge w:val="continue"/>
            <w:tcBorders>
              <w:left w:val="single" w:color="auto" w:sz="4"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328" w:type="pct"/>
            <w:vMerge w:val="continue"/>
            <w:tcBorders>
              <w:left w:val="single" w:color="auto" w:sz="2"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761" w:type="pc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asciiTheme="minorEastAsia" w:hAnsiTheme="minorEastAsia" w:eastAsiaTheme="minorEastAsia" w:cstheme="minorEastAsia"/>
                <w:sz w:val="18"/>
                <w:szCs w:val="18"/>
              </w:rPr>
              <w:t>3</w:t>
            </w:r>
            <w:r>
              <w:rPr>
                <w:rFonts w:hint="eastAsia" w:asciiTheme="minorEastAsia" w:hAnsiTheme="minorEastAsia" w:eastAsiaTheme="minorEastAsia" w:cstheme="minorEastAsia"/>
                <w:sz w:val="18"/>
                <w:szCs w:val="18"/>
              </w:rPr>
              <w:t>#变压器低压侧配电</w:t>
            </w:r>
          </w:p>
        </w:tc>
        <w:tc>
          <w:tcPr>
            <w:tcW w:w="1735" w:type="pct"/>
            <w:vMerge w:val="restart"/>
            <w:tcBorders>
              <w:top w:val="single" w:color="auto" w:sz="2" w:space="0"/>
              <w:left w:val="single" w:color="auto" w:sz="2"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r>
              <w:rPr>
                <w:rFonts w:hint="eastAsia" w:asciiTheme="minorEastAsia" w:hAnsiTheme="minorEastAsia" w:cstheme="minorEastAsia"/>
                <w:sz w:val="18"/>
                <w:szCs w:val="18"/>
              </w:rPr>
              <w:t>低压柜进线、馈线、电容、联络柜</w:t>
            </w:r>
            <w:r>
              <w:rPr>
                <w:rFonts w:hint="eastAsia" w:asciiTheme="minorEastAsia" w:hAnsiTheme="minorEastAsia" w:cstheme="minorEastAsia"/>
                <w:sz w:val="18"/>
                <w:szCs w:val="18"/>
              </w:rPr>
              <w:br w:type="textWrapping"/>
            </w:r>
            <w:r>
              <w:rPr>
                <w:rFonts w:hint="eastAsia" w:asciiTheme="minorEastAsia" w:hAnsiTheme="minorEastAsia" w:cstheme="minorEastAsia"/>
                <w:sz w:val="18"/>
                <w:szCs w:val="18"/>
              </w:rPr>
              <w:t>电度与电气量参数监测</w:t>
            </w:r>
            <w:r>
              <w:rPr>
                <w:rFonts w:hint="eastAsia" w:asciiTheme="minorEastAsia" w:hAnsiTheme="minorEastAsia" w:cstheme="minorEastAsia"/>
                <w:sz w:val="18"/>
                <w:szCs w:val="18"/>
              </w:rPr>
              <w:br w:type="textWrapping"/>
            </w:r>
            <w:r>
              <w:rPr>
                <w:rFonts w:hint="eastAsia" w:asciiTheme="minorEastAsia" w:hAnsiTheme="minorEastAsia" w:cstheme="minorEastAsia"/>
                <w:sz w:val="18"/>
                <w:szCs w:val="18"/>
              </w:rPr>
              <w:t>(U、I、P、Q、cosθ、kwh)</w:t>
            </w:r>
          </w:p>
        </w:tc>
        <w:tc>
          <w:tcPr>
            <w:tcW w:w="448" w:type="pc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jc w:val="cente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6</w:t>
            </w:r>
            <w:r>
              <w:rPr>
                <w:rFonts w:asciiTheme="minorEastAsia" w:hAnsiTheme="minorEastAsia" w:eastAsiaTheme="minorEastAsia" w:cstheme="minorEastAsia"/>
                <w:sz w:val="18"/>
                <w:szCs w:val="18"/>
              </w:rPr>
              <w:t>7</w:t>
            </w:r>
          </w:p>
        </w:tc>
        <w:tc>
          <w:tcPr>
            <w:tcW w:w="724" w:type="pct"/>
            <w:vMerge w:val="restart"/>
            <w:tcBorders>
              <w:top w:val="single" w:color="auto" w:sz="2" w:space="0"/>
              <w:left w:val="single" w:color="auto" w:sz="2" w:space="0"/>
              <w:right w:val="single" w:color="auto" w:sz="2" w:space="0"/>
            </w:tcBorders>
            <w:shd w:val="clear" w:color="auto" w:fill="auto"/>
            <w:tcMar>
              <w:top w:w="12" w:type="dxa"/>
              <w:left w:w="12" w:type="dxa"/>
              <w:right w:w="12" w:type="dxa"/>
            </w:tcMar>
            <w:vAlign w:val="center"/>
          </w:tcPr>
          <w:p>
            <w:pPr>
              <w:jc w:val="center"/>
              <w:rPr>
                <w:rFonts w:asciiTheme="minorEastAsia" w:hAnsiTheme="minorEastAsia" w:cstheme="minorEastAsia"/>
                <w:sz w:val="18"/>
                <w:szCs w:val="18"/>
              </w:rPr>
            </w:pPr>
            <w:r>
              <w:rPr>
                <w:rFonts w:hint="eastAsia" w:asciiTheme="minorEastAsia" w:hAnsiTheme="minorEastAsia" w:cstheme="minorEastAsia"/>
                <w:sz w:val="18"/>
                <w:szCs w:val="18"/>
              </w:rPr>
              <w:t>2</w:t>
            </w:r>
          </w:p>
        </w:tc>
        <w:tc>
          <w:tcPr>
            <w:tcW w:w="470" w:type="pct"/>
            <w:vMerge w:val="restart"/>
            <w:tcBorders>
              <w:top w:val="single" w:color="auto" w:sz="2" w:space="0"/>
              <w:left w:val="single" w:color="auto" w:sz="2" w:space="0"/>
              <w:right w:val="single" w:color="auto" w:sz="2" w:space="0"/>
            </w:tcBorders>
            <w:shd w:val="clear" w:color="auto" w:fill="auto"/>
            <w:tcMar>
              <w:top w:w="12" w:type="dxa"/>
              <w:left w:w="12" w:type="dxa"/>
              <w:right w:w="12" w:type="dxa"/>
            </w:tcMar>
            <w:vAlign w:val="center"/>
          </w:tcPr>
          <w:p>
            <w:pPr>
              <w:jc w:val="center"/>
              <w:rPr>
                <w:rFonts w:asciiTheme="minorEastAsia" w:hAnsiTheme="minorEastAsia" w:cstheme="minorEastAsia"/>
                <w:sz w:val="18"/>
                <w:szCs w:val="18"/>
              </w:rPr>
            </w:pPr>
            <w:r>
              <w:rPr>
                <w:rFonts w:hint="eastAsia" w:asciiTheme="minorEastAsia" w:hAnsiTheme="minorEastAsia" w:cstheme="minorEastAsia"/>
                <w:sz w:val="18"/>
                <w:szCs w:val="18"/>
              </w:rPr>
              <w:t>1</w:t>
            </w:r>
          </w:p>
        </w:tc>
      </w:tr>
      <w:tr>
        <w:tblPrEx>
          <w:tblCellMar>
            <w:top w:w="0" w:type="dxa"/>
            <w:left w:w="0" w:type="dxa"/>
            <w:bottom w:w="0" w:type="dxa"/>
            <w:right w:w="0" w:type="dxa"/>
          </w:tblCellMar>
        </w:tblPrEx>
        <w:trPr>
          <w:trHeight w:val="421" w:hRule="atLeast"/>
          <w:tblCellSpacing w:w="0" w:type="dxa"/>
        </w:trPr>
        <w:tc>
          <w:tcPr>
            <w:tcW w:w="534" w:type="pct"/>
            <w:vMerge w:val="continue"/>
            <w:tcBorders>
              <w:left w:val="single" w:color="auto" w:sz="4"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328" w:type="pct"/>
            <w:vMerge w:val="continue"/>
            <w:tcBorders>
              <w:left w:val="single" w:color="auto" w:sz="2"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761" w:type="pc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asciiTheme="minorEastAsia" w:hAnsiTheme="minorEastAsia" w:eastAsiaTheme="minorEastAsia" w:cstheme="minorEastAsia"/>
                <w:sz w:val="18"/>
                <w:szCs w:val="18"/>
              </w:rPr>
              <w:t>4</w:t>
            </w:r>
            <w:r>
              <w:rPr>
                <w:rFonts w:hint="eastAsia" w:asciiTheme="minorEastAsia" w:hAnsiTheme="minorEastAsia" w:eastAsiaTheme="minorEastAsia" w:cstheme="minorEastAsia"/>
                <w:sz w:val="18"/>
                <w:szCs w:val="18"/>
              </w:rPr>
              <w:t>#变压器低压侧配电</w:t>
            </w:r>
          </w:p>
        </w:tc>
        <w:tc>
          <w:tcPr>
            <w:tcW w:w="1735" w:type="pct"/>
            <w:vMerge w:val="continue"/>
            <w:tcBorders>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448" w:type="pc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jc w:val="cente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7</w:t>
            </w:r>
            <w:r>
              <w:rPr>
                <w:rFonts w:asciiTheme="minorEastAsia" w:hAnsiTheme="minorEastAsia" w:eastAsiaTheme="minorEastAsia" w:cstheme="minorEastAsia"/>
                <w:sz w:val="18"/>
                <w:szCs w:val="18"/>
              </w:rPr>
              <w:t>3</w:t>
            </w:r>
          </w:p>
        </w:tc>
        <w:tc>
          <w:tcPr>
            <w:tcW w:w="724" w:type="pct"/>
            <w:vMerge w:val="continue"/>
            <w:tcBorders>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jc w:val="center"/>
              <w:rPr>
                <w:rFonts w:asciiTheme="minorEastAsia" w:hAnsiTheme="minorEastAsia" w:cstheme="minorEastAsia"/>
                <w:sz w:val="18"/>
                <w:szCs w:val="18"/>
              </w:rPr>
            </w:pPr>
          </w:p>
        </w:tc>
        <w:tc>
          <w:tcPr>
            <w:tcW w:w="470" w:type="pct"/>
            <w:vMerge w:val="continue"/>
            <w:tcBorders>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jc w:val="center"/>
              <w:rPr>
                <w:rFonts w:asciiTheme="minorEastAsia" w:hAnsiTheme="minorEastAsia" w:cstheme="minorEastAsia"/>
                <w:sz w:val="18"/>
                <w:szCs w:val="18"/>
              </w:rPr>
            </w:pPr>
          </w:p>
        </w:tc>
      </w:tr>
      <w:tr>
        <w:tblPrEx>
          <w:tblCellMar>
            <w:top w:w="0" w:type="dxa"/>
            <w:left w:w="0" w:type="dxa"/>
            <w:bottom w:w="0" w:type="dxa"/>
            <w:right w:w="0" w:type="dxa"/>
          </w:tblCellMar>
        </w:tblPrEx>
        <w:trPr>
          <w:trHeight w:val="421" w:hRule="atLeast"/>
          <w:tblCellSpacing w:w="0" w:type="dxa"/>
        </w:trPr>
        <w:tc>
          <w:tcPr>
            <w:tcW w:w="534" w:type="pct"/>
            <w:vMerge w:val="continue"/>
            <w:tcBorders>
              <w:left w:val="single" w:color="auto" w:sz="4"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328" w:type="pct"/>
            <w:vMerge w:val="continue"/>
            <w:tcBorders>
              <w:left w:val="single" w:color="auto" w:sz="2"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761" w:type="pc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asciiTheme="minorEastAsia" w:hAnsiTheme="minorEastAsia" w:eastAsiaTheme="minorEastAsia" w:cstheme="minorEastAsia"/>
                <w:sz w:val="18"/>
                <w:szCs w:val="18"/>
              </w:rPr>
              <w:t>5</w:t>
            </w:r>
            <w:r>
              <w:rPr>
                <w:rFonts w:hint="eastAsia" w:asciiTheme="minorEastAsia" w:hAnsiTheme="minorEastAsia" w:eastAsiaTheme="minorEastAsia" w:cstheme="minorEastAsia"/>
                <w:sz w:val="18"/>
                <w:szCs w:val="18"/>
              </w:rPr>
              <w:t>#变压器低压侧配电</w:t>
            </w:r>
          </w:p>
        </w:tc>
        <w:tc>
          <w:tcPr>
            <w:tcW w:w="1735" w:type="pct"/>
            <w:vMerge w:val="restart"/>
            <w:tcBorders>
              <w:top w:val="single" w:color="auto" w:sz="2" w:space="0"/>
              <w:left w:val="single" w:color="auto" w:sz="2"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r>
              <w:rPr>
                <w:rFonts w:hint="eastAsia" w:asciiTheme="minorEastAsia" w:hAnsiTheme="minorEastAsia" w:cstheme="minorEastAsia"/>
                <w:sz w:val="18"/>
                <w:szCs w:val="18"/>
              </w:rPr>
              <w:t>低压柜进线、馈线、电容、联络柜</w:t>
            </w:r>
            <w:r>
              <w:rPr>
                <w:rFonts w:hint="eastAsia" w:asciiTheme="minorEastAsia" w:hAnsiTheme="minorEastAsia" w:cstheme="minorEastAsia"/>
                <w:sz w:val="18"/>
                <w:szCs w:val="18"/>
              </w:rPr>
              <w:br w:type="textWrapping"/>
            </w:r>
            <w:r>
              <w:rPr>
                <w:rFonts w:hint="eastAsia" w:asciiTheme="minorEastAsia" w:hAnsiTheme="minorEastAsia" w:cstheme="minorEastAsia"/>
                <w:sz w:val="18"/>
                <w:szCs w:val="18"/>
              </w:rPr>
              <w:t>电度与电气量参数监测</w:t>
            </w:r>
            <w:r>
              <w:rPr>
                <w:rFonts w:hint="eastAsia" w:asciiTheme="minorEastAsia" w:hAnsiTheme="minorEastAsia" w:cstheme="minorEastAsia"/>
                <w:sz w:val="18"/>
                <w:szCs w:val="18"/>
              </w:rPr>
              <w:br w:type="textWrapping"/>
            </w:r>
            <w:r>
              <w:rPr>
                <w:rFonts w:hint="eastAsia" w:asciiTheme="minorEastAsia" w:hAnsiTheme="minorEastAsia" w:cstheme="minorEastAsia"/>
                <w:sz w:val="18"/>
                <w:szCs w:val="18"/>
              </w:rPr>
              <w:t>(U、I、P、Q、cosθ、kwh)</w:t>
            </w:r>
          </w:p>
        </w:tc>
        <w:tc>
          <w:tcPr>
            <w:tcW w:w="448" w:type="pc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jc w:val="cente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w:t>
            </w:r>
            <w:r>
              <w:rPr>
                <w:rFonts w:asciiTheme="minorEastAsia" w:hAnsiTheme="minorEastAsia" w:eastAsiaTheme="minorEastAsia" w:cstheme="minorEastAsia"/>
                <w:sz w:val="18"/>
                <w:szCs w:val="18"/>
              </w:rPr>
              <w:t>0</w:t>
            </w:r>
          </w:p>
        </w:tc>
        <w:tc>
          <w:tcPr>
            <w:tcW w:w="724" w:type="pct"/>
            <w:vMerge w:val="restart"/>
            <w:tcBorders>
              <w:top w:val="single" w:color="auto" w:sz="2" w:space="0"/>
              <w:left w:val="single" w:color="auto" w:sz="2" w:space="0"/>
              <w:right w:val="single" w:color="auto" w:sz="2" w:space="0"/>
            </w:tcBorders>
            <w:shd w:val="clear" w:color="auto" w:fill="auto"/>
            <w:tcMar>
              <w:top w:w="12" w:type="dxa"/>
              <w:left w:w="12" w:type="dxa"/>
              <w:right w:w="12" w:type="dxa"/>
            </w:tcMar>
            <w:vAlign w:val="center"/>
          </w:tcPr>
          <w:p>
            <w:pPr>
              <w:jc w:val="center"/>
              <w:rPr>
                <w:rFonts w:asciiTheme="minorEastAsia" w:hAnsiTheme="minorEastAsia" w:cstheme="minorEastAsia"/>
                <w:sz w:val="18"/>
                <w:szCs w:val="18"/>
              </w:rPr>
            </w:pPr>
            <w:r>
              <w:rPr>
                <w:rFonts w:hint="eastAsia" w:asciiTheme="minorEastAsia" w:hAnsiTheme="minorEastAsia" w:cstheme="minorEastAsia"/>
                <w:sz w:val="18"/>
                <w:szCs w:val="18"/>
              </w:rPr>
              <w:t>2</w:t>
            </w:r>
          </w:p>
        </w:tc>
        <w:tc>
          <w:tcPr>
            <w:tcW w:w="470" w:type="pct"/>
            <w:vMerge w:val="restart"/>
            <w:tcBorders>
              <w:top w:val="single" w:color="auto" w:sz="2" w:space="0"/>
              <w:left w:val="single" w:color="auto" w:sz="2" w:space="0"/>
              <w:right w:val="single" w:color="auto" w:sz="2" w:space="0"/>
            </w:tcBorders>
            <w:shd w:val="clear" w:color="auto" w:fill="auto"/>
            <w:tcMar>
              <w:top w:w="12" w:type="dxa"/>
              <w:left w:w="12" w:type="dxa"/>
              <w:right w:w="12" w:type="dxa"/>
            </w:tcMar>
            <w:vAlign w:val="center"/>
          </w:tcPr>
          <w:p>
            <w:pPr>
              <w:jc w:val="center"/>
              <w:rPr>
                <w:rFonts w:asciiTheme="minorEastAsia" w:hAnsiTheme="minorEastAsia" w:cstheme="minorEastAsia"/>
                <w:sz w:val="18"/>
                <w:szCs w:val="18"/>
              </w:rPr>
            </w:pPr>
            <w:r>
              <w:rPr>
                <w:rFonts w:hint="eastAsia" w:asciiTheme="minorEastAsia" w:hAnsiTheme="minorEastAsia" w:cstheme="minorEastAsia"/>
                <w:sz w:val="18"/>
                <w:szCs w:val="18"/>
              </w:rPr>
              <w:t>1</w:t>
            </w:r>
          </w:p>
        </w:tc>
      </w:tr>
      <w:tr>
        <w:tblPrEx>
          <w:tblCellMar>
            <w:top w:w="0" w:type="dxa"/>
            <w:left w:w="0" w:type="dxa"/>
            <w:bottom w:w="0" w:type="dxa"/>
            <w:right w:w="0" w:type="dxa"/>
          </w:tblCellMar>
        </w:tblPrEx>
        <w:trPr>
          <w:trHeight w:val="421" w:hRule="atLeast"/>
          <w:tblCellSpacing w:w="0" w:type="dxa"/>
        </w:trPr>
        <w:tc>
          <w:tcPr>
            <w:tcW w:w="534" w:type="pct"/>
            <w:vMerge w:val="continue"/>
            <w:tcBorders>
              <w:left w:val="single" w:color="auto" w:sz="4"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328" w:type="pct"/>
            <w:vMerge w:val="continue"/>
            <w:tcBorders>
              <w:left w:val="single" w:color="auto" w:sz="2"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761" w:type="pc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asciiTheme="minorEastAsia" w:hAnsiTheme="minorEastAsia" w:eastAsiaTheme="minorEastAsia" w:cstheme="minorEastAsia"/>
                <w:sz w:val="18"/>
                <w:szCs w:val="18"/>
              </w:rPr>
              <w:t>6</w:t>
            </w:r>
            <w:r>
              <w:rPr>
                <w:rFonts w:hint="eastAsia" w:asciiTheme="minorEastAsia" w:hAnsiTheme="minorEastAsia" w:eastAsiaTheme="minorEastAsia" w:cstheme="minorEastAsia"/>
                <w:sz w:val="18"/>
                <w:szCs w:val="18"/>
              </w:rPr>
              <w:t>#变压器低压侧配电</w:t>
            </w:r>
          </w:p>
        </w:tc>
        <w:tc>
          <w:tcPr>
            <w:tcW w:w="1735" w:type="pct"/>
            <w:vMerge w:val="continue"/>
            <w:tcBorders>
              <w:left w:val="single" w:color="auto" w:sz="2"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448" w:type="pc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jc w:val="cente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3</w:t>
            </w:r>
            <w:r>
              <w:rPr>
                <w:rFonts w:asciiTheme="minorEastAsia" w:hAnsiTheme="minorEastAsia" w:eastAsiaTheme="minorEastAsia" w:cstheme="minorEastAsia"/>
                <w:sz w:val="18"/>
                <w:szCs w:val="18"/>
              </w:rPr>
              <w:t>2</w:t>
            </w:r>
          </w:p>
        </w:tc>
        <w:tc>
          <w:tcPr>
            <w:tcW w:w="724" w:type="pct"/>
            <w:vMerge w:val="continue"/>
            <w:tcBorders>
              <w:left w:val="single" w:color="auto" w:sz="2" w:space="0"/>
              <w:right w:val="single" w:color="auto" w:sz="2" w:space="0"/>
            </w:tcBorders>
            <w:shd w:val="clear" w:color="auto" w:fill="auto"/>
            <w:tcMar>
              <w:top w:w="12" w:type="dxa"/>
              <w:left w:w="12" w:type="dxa"/>
              <w:right w:w="12" w:type="dxa"/>
            </w:tcMar>
            <w:vAlign w:val="center"/>
          </w:tcPr>
          <w:p>
            <w:pPr>
              <w:jc w:val="center"/>
              <w:rPr>
                <w:rFonts w:asciiTheme="minorEastAsia" w:hAnsiTheme="minorEastAsia" w:cstheme="minorEastAsia"/>
                <w:sz w:val="18"/>
                <w:szCs w:val="18"/>
              </w:rPr>
            </w:pPr>
          </w:p>
        </w:tc>
        <w:tc>
          <w:tcPr>
            <w:tcW w:w="470" w:type="pct"/>
            <w:vMerge w:val="continue"/>
            <w:tcBorders>
              <w:left w:val="single" w:color="auto" w:sz="2" w:space="0"/>
              <w:right w:val="single" w:color="auto" w:sz="2" w:space="0"/>
            </w:tcBorders>
            <w:shd w:val="clear" w:color="auto" w:fill="auto"/>
            <w:tcMar>
              <w:top w:w="12" w:type="dxa"/>
              <w:left w:w="12" w:type="dxa"/>
              <w:right w:w="12" w:type="dxa"/>
            </w:tcMar>
            <w:vAlign w:val="center"/>
          </w:tcPr>
          <w:p>
            <w:pPr>
              <w:jc w:val="center"/>
              <w:rPr>
                <w:rFonts w:asciiTheme="minorEastAsia" w:hAnsiTheme="minorEastAsia" w:cstheme="minorEastAsia"/>
                <w:sz w:val="18"/>
                <w:szCs w:val="18"/>
              </w:rPr>
            </w:pPr>
          </w:p>
        </w:tc>
      </w:tr>
      <w:tr>
        <w:tblPrEx>
          <w:tblCellMar>
            <w:top w:w="0" w:type="dxa"/>
            <w:left w:w="0" w:type="dxa"/>
            <w:bottom w:w="0" w:type="dxa"/>
            <w:right w:w="0" w:type="dxa"/>
          </w:tblCellMar>
        </w:tblPrEx>
        <w:trPr>
          <w:trHeight w:val="421" w:hRule="atLeast"/>
          <w:tblCellSpacing w:w="0" w:type="dxa"/>
        </w:trPr>
        <w:tc>
          <w:tcPr>
            <w:tcW w:w="534" w:type="pct"/>
            <w:vMerge w:val="continue"/>
            <w:tcBorders>
              <w:left w:val="single" w:color="auto" w:sz="4" w:space="0"/>
              <w:bottom w:val="single" w:color="auto" w:sz="2"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328" w:type="pct"/>
            <w:vMerge w:val="continue"/>
            <w:tcBorders>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761" w:type="pc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asciiTheme="minorEastAsia" w:hAnsiTheme="minorEastAsia" w:eastAsiaTheme="minorEastAsia" w:cstheme="minorEastAsia"/>
                <w:sz w:val="18"/>
                <w:szCs w:val="18"/>
              </w:rPr>
              <w:t>7</w:t>
            </w:r>
            <w:r>
              <w:rPr>
                <w:rFonts w:hint="eastAsia" w:asciiTheme="minorEastAsia" w:hAnsiTheme="minorEastAsia" w:eastAsiaTheme="minorEastAsia" w:cstheme="minorEastAsia"/>
                <w:sz w:val="18"/>
                <w:szCs w:val="18"/>
              </w:rPr>
              <w:t>#变压器低压侧配电</w:t>
            </w:r>
          </w:p>
        </w:tc>
        <w:tc>
          <w:tcPr>
            <w:tcW w:w="1735" w:type="pct"/>
            <w:vMerge w:val="continue"/>
            <w:tcBorders>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448" w:type="pct"/>
            <w:tcBorders>
              <w:top w:val="single" w:color="auto" w:sz="2" w:space="0"/>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pStyle w:val="27"/>
              <w:jc w:val="cente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4</w:t>
            </w:r>
            <w:r>
              <w:rPr>
                <w:rFonts w:asciiTheme="minorEastAsia" w:hAnsiTheme="minorEastAsia" w:eastAsiaTheme="minorEastAsia" w:cstheme="minorEastAsia"/>
                <w:sz w:val="18"/>
                <w:szCs w:val="18"/>
              </w:rPr>
              <w:t>0</w:t>
            </w:r>
          </w:p>
        </w:tc>
        <w:tc>
          <w:tcPr>
            <w:tcW w:w="724" w:type="pct"/>
            <w:vMerge w:val="continue"/>
            <w:tcBorders>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jc w:val="center"/>
              <w:rPr>
                <w:rFonts w:asciiTheme="minorEastAsia" w:hAnsiTheme="minorEastAsia" w:cstheme="minorEastAsia"/>
                <w:sz w:val="18"/>
                <w:szCs w:val="18"/>
              </w:rPr>
            </w:pPr>
          </w:p>
        </w:tc>
        <w:tc>
          <w:tcPr>
            <w:tcW w:w="470" w:type="pct"/>
            <w:vMerge w:val="continue"/>
            <w:tcBorders>
              <w:left w:val="single" w:color="auto" w:sz="2" w:space="0"/>
              <w:bottom w:val="single" w:color="auto" w:sz="2" w:space="0"/>
              <w:right w:val="single" w:color="auto" w:sz="2" w:space="0"/>
            </w:tcBorders>
            <w:shd w:val="clear" w:color="auto" w:fill="auto"/>
            <w:tcMar>
              <w:top w:w="12" w:type="dxa"/>
              <w:left w:w="12" w:type="dxa"/>
              <w:right w:w="12" w:type="dxa"/>
            </w:tcMar>
            <w:vAlign w:val="center"/>
          </w:tcPr>
          <w:p>
            <w:pPr>
              <w:jc w:val="center"/>
              <w:rPr>
                <w:rFonts w:asciiTheme="minorEastAsia" w:hAnsiTheme="minorEastAsia" w:cstheme="minorEastAsia"/>
                <w:sz w:val="18"/>
                <w:szCs w:val="18"/>
              </w:rPr>
            </w:pPr>
          </w:p>
        </w:tc>
      </w:tr>
      <w:tr>
        <w:tblPrEx>
          <w:tblCellMar>
            <w:top w:w="0" w:type="dxa"/>
            <w:left w:w="0" w:type="dxa"/>
            <w:bottom w:w="0" w:type="dxa"/>
            <w:right w:w="0" w:type="dxa"/>
          </w:tblCellMar>
        </w:tblPrEx>
        <w:trPr>
          <w:trHeight w:val="90" w:hRule="atLeast"/>
          <w:tblCellSpacing w:w="0" w:type="dxa"/>
        </w:trPr>
        <w:tc>
          <w:tcPr>
            <w:tcW w:w="534" w:type="pct"/>
            <w:vMerge w:val="restart"/>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灵隐院区</w:t>
            </w:r>
          </w:p>
        </w:tc>
        <w:tc>
          <w:tcPr>
            <w:tcW w:w="328" w:type="pct"/>
            <w:vMerge w:val="restart"/>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asciiTheme="minorEastAsia" w:hAnsiTheme="minorEastAsia" w:eastAsiaTheme="minorEastAsia" w:cstheme="minorEastAsia"/>
                <w:sz w:val="18"/>
                <w:szCs w:val="18"/>
              </w:rPr>
              <w:t>B</w:t>
            </w:r>
            <w:r>
              <w:rPr>
                <w:rFonts w:hint="eastAsia" w:asciiTheme="minorEastAsia" w:hAnsiTheme="minorEastAsia" w:eastAsiaTheme="minorEastAsia" w:cstheme="minorEastAsia"/>
                <w:sz w:val="18"/>
                <w:szCs w:val="18"/>
              </w:rPr>
              <w:t>1F</w:t>
            </w:r>
          </w:p>
        </w:tc>
        <w:tc>
          <w:tcPr>
            <w:tcW w:w="761" w:type="pct"/>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1#变压器低压侧配电</w:t>
            </w:r>
          </w:p>
        </w:tc>
        <w:tc>
          <w:tcPr>
            <w:tcW w:w="1735" w:type="pct"/>
            <w:vMerge w:val="restart"/>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低压柜进线、馈线、电容、联络柜</w:t>
            </w:r>
            <w:r>
              <w:rPr>
                <w:rFonts w:hint="eastAsia" w:asciiTheme="minorEastAsia" w:hAnsiTheme="minorEastAsia" w:eastAsiaTheme="minorEastAsia" w:cstheme="minorEastAsia"/>
                <w:sz w:val="18"/>
                <w:szCs w:val="18"/>
              </w:rPr>
              <w:br w:type="textWrapping"/>
            </w:r>
            <w:r>
              <w:rPr>
                <w:rFonts w:hint="eastAsia" w:asciiTheme="minorEastAsia" w:hAnsiTheme="minorEastAsia" w:eastAsiaTheme="minorEastAsia" w:cstheme="minorEastAsia"/>
                <w:sz w:val="18"/>
                <w:szCs w:val="18"/>
              </w:rPr>
              <w:t>电度与电气量参数监测</w:t>
            </w:r>
            <w:r>
              <w:rPr>
                <w:rFonts w:hint="eastAsia" w:asciiTheme="minorEastAsia" w:hAnsiTheme="minorEastAsia" w:eastAsiaTheme="minorEastAsia" w:cstheme="minorEastAsia"/>
                <w:sz w:val="18"/>
                <w:szCs w:val="18"/>
              </w:rPr>
              <w:br w:type="textWrapping"/>
            </w:r>
            <w:r>
              <w:rPr>
                <w:rFonts w:hint="eastAsia" w:asciiTheme="minorEastAsia" w:hAnsiTheme="minorEastAsia" w:eastAsiaTheme="minorEastAsia" w:cstheme="minorEastAsia"/>
                <w:sz w:val="18"/>
                <w:szCs w:val="18"/>
              </w:rPr>
              <w:t>(U、I、P、Q、cosθ、kwh)</w:t>
            </w:r>
          </w:p>
        </w:tc>
        <w:tc>
          <w:tcPr>
            <w:tcW w:w="448" w:type="pct"/>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pStyle w:val="27"/>
              <w:jc w:val="cente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3</w:t>
            </w:r>
            <w:r>
              <w:rPr>
                <w:rFonts w:asciiTheme="minorEastAsia" w:hAnsiTheme="minorEastAsia" w:eastAsiaTheme="minorEastAsia" w:cstheme="minorEastAsia"/>
                <w:sz w:val="18"/>
                <w:szCs w:val="18"/>
              </w:rPr>
              <w:t>0</w:t>
            </w:r>
          </w:p>
        </w:tc>
        <w:tc>
          <w:tcPr>
            <w:tcW w:w="724" w:type="pct"/>
            <w:vMerge w:val="restart"/>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pStyle w:val="27"/>
              <w:jc w:val="cente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w:t>
            </w:r>
          </w:p>
        </w:tc>
        <w:tc>
          <w:tcPr>
            <w:tcW w:w="470" w:type="pct"/>
            <w:vMerge w:val="restart"/>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pStyle w:val="27"/>
              <w:jc w:val="cente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w:t>
            </w:r>
          </w:p>
        </w:tc>
      </w:tr>
      <w:tr>
        <w:tblPrEx>
          <w:tblCellMar>
            <w:top w:w="0" w:type="dxa"/>
            <w:left w:w="0" w:type="dxa"/>
            <w:bottom w:w="0" w:type="dxa"/>
            <w:right w:w="0" w:type="dxa"/>
          </w:tblCellMar>
        </w:tblPrEx>
        <w:trPr>
          <w:trHeight w:val="380" w:hRule="atLeast"/>
          <w:tblCellSpacing w:w="0" w:type="dxa"/>
        </w:trPr>
        <w:tc>
          <w:tcPr>
            <w:tcW w:w="534" w:type="pct"/>
            <w:vMerge w:val="continue"/>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328" w:type="pct"/>
            <w:vMerge w:val="continue"/>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761" w:type="pct"/>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2#变压器低压侧配电</w:t>
            </w:r>
          </w:p>
        </w:tc>
        <w:tc>
          <w:tcPr>
            <w:tcW w:w="1735" w:type="pct"/>
            <w:vMerge w:val="continue"/>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448" w:type="pct"/>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pStyle w:val="27"/>
              <w:jc w:val="cente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3</w:t>
            </w:r>
            <w:r>
              <w:rPr>
                <w:rFonts w:asciiTheme="minorEastAsia" w:hAnsiTheme="minorEastAsia" w:eastAsiaTheme="minorEastAsia" w:cstheme="minorEastAsia"/>
                <w:sz w:val="18"/>
                <w:szCs w:val="18"/>
              </w:rPr>
              <w:t>0</w:t>
            </w:r>
          </w:p>
        </w:tc>
        <w:tc>
          <w:tcPr>
            <w:tcW w:w="724" w:type="pct"/>
            <w:vMerge w:val="continue"/>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jc w:val="center"/>
              <w:rPr>
                <w:rFonts w:asciiTheme="minorEastAsia" w:hAnsiTheme="minorEastAsia" w:cstheme="minorEastAsia"/>
                <w:sz w:val="18"/>
                <w:szCs w:val="18"/>
              </w:rPr>
            </w:pPr>
          </w:p>
        </w:tc>
        <w:tc>
          <w:tcPr>
            <w:tcW w:w="470" w:type="pct"/>
            <w:vMerge w:val="continue"/>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jc w:val="center"/>
              <w:rPr>
                <w:rFonts w:asciiTheme="minorEastAsia" w:hAnsiTheme="minorEastAsia" w:cstheme="minorEastAsia"/>
                <w:sz w:val="18"/>
                <w:szCs w:val="18"/>
              </w:rPr>
            </w:pPr>
          </w:p>
        </w:tc>
      </w:tr>
      <w:tr>
        <w:tblPrEx>
          <w:tblCellMar>
            <w:top w:w="0" w:type="dxa"/>
            <w:left w:w="0" w:type="dxa"/>
            <w:bottom w:w="0" w:type="dxa"/>
            <w:right w:w="0" w:type="dxa"/>
          </w:tblCellMar>
        </w:tblPrEx>
        <w:trPr>
          <w:trHeight w:val="380" w:hRule="atLeast"/>
          <w:tblCellSpacing w:w="0" w:type="dxa"/>
        </w:trPr>
        <w:tc>
          <w:tcPr>
            <w:tcW w:w="534" w:type="pct"/>
            <w:vMerge w:val="continue"/>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328" w:type="pct"/>
            <w:vMerge w:val="continue"/>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761" w:type="pct"/>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asciiTheme="minorEastAsia" w:hAnsiTheme="minorEastAsia" w:eastAsiaTheme="minorEastAsia" w:cstheme="minorEastAsia"/>
                <w:sz w:val="18"/>
                <w:szCs w:val="18"/>
              </w:rPr>
              <w:t>3</w:t>
            </w:r>
            <w:r>
              <w:rPr>
                <w:rFonts w:hint="eastAsia" w:asciiTheme="minorEastAsia" w:hAnsiTheme="minorEastAsia" w:eastAsiaTheme="minorEastAsia" w:cstheme="minorEastAsia"/>
                <w:sz w:val="18"/>
                <w:szCs w:val="18"/>
              </w:rPr>
              <w:t>#变压器低压侧配电</w:t>
            </w:r>
          </w:p>
        </w:tc>
        <w:tc>
          <w:tcPr>
            <w:tcW w:w="1735" w:type="pct"/>
            <w:vMerge w:val="restart"/>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r>
              <w:rPr>
                <w:rFonts w:hint="eastAsia" w:asciiTheme="minorEastAsia" w:hAnsiTheme="minorEastAsia" w:cstheme="minorEastAsia"/>
                <w:sz w:val="18"/>
                <w:szCs w:val="18"/>
              </w:rPr>
              <w:t>低压柜进线、馈线、电容、联络柜</w:t>
            </w:r>
            <w:r>
              <w:rPr>
                <w:rFonts w:hint="eastAsia" w:asciiTheme="minorEastAsia" w:hAnsiTheme="minorEastAsia" w:cstheme="minorEastAsia"/>
                <w:sz w:val="18"/>
                <w:szCs w:val="18"/>
              </w:rPr>
              <w:br w:type="textWrapping"/>
            </w:r>
            <w:r>
              <w:rPr>
                <w:rFonts w:hint="eastAsia" w:asciiTheme="minorEastAsia" w:hAnsiTheme="minorEastAsia" w:cstheme="minorEastAsia"/>
                <w:sz w:val="18"/>
                <w:szCs w:val="18"/>
              </w:rPr>
              <w:t>电度与电气量参数监测</w:t>
            </w:r>
            <w:r>
              <w:rPr>
                <w:rFonts w:hint="eastAsia" w:asciiTheme="minorEastAsia" w:hAnsiTheme="minorEastAsia" w:cstheme="minorEastAsia"/>
                <w:sz w:val="18"/>
                <w:szCs w:val="18"/>
              </w:rPr>
              <w:br w:type="textWrapping"/>
            </w:r>
            <w:r>
              <w:rPr>
                <w:rFonts w:hint="eastAsia" w:asciiTheme="minorEastAsia" w:hAnsiTheme="minorEastAsia" w:cstheme="minorEastAsia"/>
                <w:sz w:val="18"/>
                <w:szCs w:val="18"/>
              </w:rPr>
              <w:t>(U、I、P、Q、cosθ、kwh)</w:t>
            </w:r>
          </w:p>
        </w:tc>
        <w:tc>
          <w:tcPr>
            <w:tcW w:w="448" w:type="pct"/>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pStyle w:val="27"/>
              <w:jc w:val="cente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w:t>
            </w:r>
            <w:r>
              <w:rPr>
                <w:rFonts w:asciiTheme="minorEastAsia" w:hAnsiTheme="minorEastAsia" w:eastAsiaTheme="minorEastAsia" w:cstheme="minorEastAsia"/>
                <w:sz w:val="18"/>
                <w:szCs w:val="18"/>
              </w:rPr>
              <w:t>5</w:t>
            </w:r>
          </w:p>
        </w:tc>
        <w:tc>
          <w:tcPr>
            <w:tcW w:w="724" w:type="pct"/>
            <w:vMerge w:val="restart"/>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jc w:val="center"/>
              <w:rPr>
                <w:rFonts w:asciiTheme="minorEastAsia" w:hAnsiTheme="minorEastAsia" w:cstheme="minorEastAsia"/>
                <w:sz w:val="18"/>
                <w:szCs w:val="18"/>
              </w:rPr>
            </w:pPr>
            <w:r>
              <w:rPr>
                <w:rFonts w:hint="eastAsia" w:asciiTheme="minorEastAsia" w:hAnsiTheme="minorEastAsia" w:cstheme="minorEastAsia"/>
                <w:sz w:val="18"/>
                <w:szCs w:val="18"/>
              </w:rPr>
              <w:t>2</w:t>
            </w:r>
          </w:p>
        </w:tc>
        <w:tc>
          <w:tcPr>
            <w:tcW w:w="470" w:type="pct"/>
            <w:vMerge w:val="restart"/>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jc w:val="center"/>
              <w:rPr>
                <w:rFonts w:asciiTheme="minorEastAsia" w:hAnsiTheme="minorEastAsia" w:cstheme="minorEastAsia"/>
                <w:sz w:val="18"/>
                <w:szCs w:val="18"/>
              </w:rPr>
            </w:pPr>
            <w:r>
              <w:rPr>
                <w:rFonts w:hint="eastAsia" w:asciiTheme="minorEastAsia" w:hAnsiTheme="minorEastAsia" w:cstheme="minorEastAsia"/>
                <w:sz w:val="18"/>
                <w:szCs w:val="18"/>
              </w:rPr>
              <w:t>1</w:t>
            </w:r>
          </w:p>
        </w:tc>
      </w:tr>
      <w:tr>
        <w:tblPrEx>
          <w:tblCellMar>
            <w:top w:w="0" w:type="dxa"/>
            <w:left w:w="0" w:type="dxa"/>
            <w:bottom w:w="0" w:type="dxa"/>
            <w:right w:w="0" w:type="dxa"/>
          </w:tblCellMar>
        </w:tblPrEx>
        <w:trPr>
          <w:trHeight w:val="380" w:hRule="atLeast"/>
          <w:tblCellSpacing w:w="0" w:type="dxa"/>
        </w:trPr>
        <w:tc>
          <w:tcPr>
            <w:tcW w:w="534" w:type="pct"/>
            <w:vMerge w:val="continue"/>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328" w:type="pct"/>
            <w:vMerge w:val="continue"/>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761" w:type="pct"/>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asciiTheme="minorEastAsia" w:hAnsiTheme="minorEastAsia" w:eastAsiaTheme="minorEastAsia" w:cstheme="minorEastAsia"/>
                <w:sz w:val="18"/>
                <w:szCs w:val="18"/>
              </w:rPr>
              <w:t>4</w:t>
            </w:r>
            <w:r>
              <w:rPr>
                <w:rFonts w:hint="eastAsia" w:asciiTheme="minorEastAsia" w:hAnsiTheme="minorEastAsia" w:eastAsiaTheme="minorEastAsia" w:cstheme="minorEastAsia"/>
                <w:sz w:val="18"/>
                <w:szCs w:val="18"/>
              </w:rPr>
              <w:t>#变压器低压侧配电</w:t>
            </w:r>
          </w:p>
        </w:tc>
        <w:tc>
          <w:tcPr>
            <w:tcW w:w="1735" w:type="pct"/>
            <w:vMerge w:val="continue"/>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rPr>
                <w:rFonts w:asciiTheme="minorEastAsia" w:hAnsiTheme="minorEastAsia" w:cstheme="minorEastAsia"/>
                <w:sz w:val="18"/>
                <w:szCs w:val="18"/>
              </w:rPr>
            </w:pPr>
          </w:p>
        </w:tc>
        <w:tc>
          <w:tcPr>
            <w:tcW w:w="448" w:type="pct"/>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pStyle w:val="27"/>
              <w:jc w:val="cente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w:t>
            </w:r>
            <w:r>
              <w:rPr>
                <w:rFonts w:asciiTheme="minorEastAsia" w:hAnsiTheme="minorEastAsia" w:eastAsiaTheme="minorEastAsia" w:cstheme="minorEastAsia"/>
                <w:sz w:val="18"/>
                <w:szCs w:val="18"/>
              </w:rPr>
              <w:t>8</w:t>
            </w:r>
          </w:p>
        </w:tc>
        <w:tc>
          <w:tcPr>
            <w:tcW w:w="724" w:type="pct"/>
            <w:vMerge w:val="continue"/>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jc w:val="center"/>
              <w:rPr>
                <w:rFonts w:asciiTheme="minorEastAsia" w:hAnsiTheme="minorEastAsia" w:cstheme="minorEastAsia"/>
                <w:sz w:val="18"/>
                <w:szCs w:val="18"/>
              </w:rPr>
            </w:pPr>
          </w:p>
        </w:tc>
        <w:tc>
          <w:tcPr>
            <w:tcW w:w="470" w:type="pct"/>
            <w:vMerge w:val="continue"/>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jc w:val="center"/>
              <w:rPr>
                <w:rFonts w:asciiTheme="minorEastAsia" w:hAnsiTheme="minorEastAsia" w:cstheme="minorEastAsia"/>
                <w:sz w:val="18"/>
                <w:szCs w:val="18"/>
              </w:rPr>
            </w:pPr>
          </w:p>
        </w:tc>
      </w:tr>
      <w:tr>
        <w:tblPrEx>
          <w:tblCellMar>
            <w:top w:w="0" w:type="dxa"/>
            <w:left w:w="0" w:type="dxa"/>
            <w:bottom w:w="0" w:type="dxa"/>
            <w:right w:w="0" w:type="dxa"/>
          </w:tblCellMar>
        </w:tblPrEx>
        <w:trPr>
          <w:trHeight w:val="90" w:hRule="atLeast"/>
          <w:tblCellSpacing w:w="0" w:type="dxa"/>
        </w:trPr>
        <w:tc>
          <w:tcPr>
            <w:tcW w:w="3358" w:type="pct"/>
            <w:gridSpan w:val="4"/>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pStyle w:val="27"/>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合计</w:t>
            </w:r>
          </w:p>
        </w:tc>
        <w:tc>
          <w:tcPr>
            <w:tcW w:w="448" w:type="pct"/>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pStyle w:val="27"/>
              <w:jc w:val="center"/>
              <w:rPr>
                <w:rFonts w:asciiTheme="minorEastAsia" w:hAnsiTheme="minorEastAsia" w:eastAsiaTheme="minorEastAsia" w:cstheme="minorEastAsia"/>
                <w:sz w:val="18"/>
                <w:szCs w:val="18"/>
              </w:rPr>
            </w:pPr>
            <w:r>
              <w:rPr>
                <w:rFonts w:asciiTheme="minorEastAsia" w:hAnsiTheme="minorEastAsia" w:eastAsiaTheme="minorEastAsia" w:cstheme="minorEastAsia"/>
                <w:sz w:val="18"/>
                <w:szCs w:val="18"/>
              </w:rPr>
              <w:t>500</w:t>
            </w:r>
          </w:p>
        </w:tc>
        <w:tc>
          <w:tcPr>
            <w:tcW w:w="724" w:type="pct"/>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pStyle w:val="27"/>
              <w:jc w:val="cente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w:t>
            </w:r>
            <w:r>
              <w:rPr>
                <w:rFonts w:asciiTheme="minorEastAsia" w:hAnsiTheme="minorEastAsia" w:eastAsiaTheme="minorEastAsia" w:cstheme="minorEastAsia"/>
                <w:sz w:val="18"/>
                <w:szCs w:val="18"/>
              </w:rPr>
              <w:t>0</w:t>
            </w:r>
          </w:p>
        </w:tc>
        <w:tc>
          <w:tcPr>
            <w:tcW w:w="470" w:type="pct"/>
            <w:tcBorders>
              <w:top w:val="single" w:color="auto" w:sz="4" w:space="0"/>
              <w:left w:val="single" w:color="auto" w:sz="4" w:space="0"/>
              <w:bottom w:val="single" w:color="auto" w:sz="4" w:space="0"/>
              <w:right w:val="single" w:color="auto" w:sz="4" w:space="0"/>
            </w:tcBorders>
            <w:shd w:val="clear" w:color="auto" w:fill="auto"/>
            <w:tcMar>
              <w:top w:w="12" w:type="dxa"/>
              <w:left w:w="12" w:type="dxa"/>
              <w:right w:w="12" w:type="dxa"/>
            </w:tcMar>
            <w:vAlign w:val="center"/>
          </w:tcPr>
          <w:p>
            <w:pPr>
              <w:pStyle w:val="27"/>
              <w:jc w:val="center"/>
              <w:rPr>
                <w:rFonts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5</w:t>
            </w:r>
          </w:p>
        </w:tc>
      </w:tr>
    </w:tbl>
    <w:p>
      <w:pPr>
        <w:pStyle w:val="16"/>
        <w:jc w:val="center"/>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t>1</w:t>
      </w:r>
      <w:r>
        <w:fldChar w:fldCharType="end"/>
      </w:r>
      <w:r>
        <w:t xml:space="preserve"> </w:t>
      </w:r>
      <w:r>
        <w:rPr>
          <w:rFonts w:hint="eastAsia"/>
        </w:rPr>
        <w:t>高低压配电综合监控点表</w:t>
      </w:r>
    </w:p>
    <w:p>
      <w:pPr>
        <w:ind w:firstLine="420" w:firstLineChars="200"/>
      </w:pPr>
      <w:r>
        <w:rPr>
          <w:rFonts w:hint="eastAsia"/>
        </w:rPr>
        <w:t>通过高低压配电综合监控，全面提升医院配电系统安全等级与水平。实现电力无人值守、有效降低配电系统综合运营成本，其系统功能包括：</w:t>
      </w:r>
    </w:p>
    <w:p>
      <w:pPr>
        <w:pStyle w:val="5"/>
        <w:numPr>
          <w:ilvl w:val="0"/>
          <w:numId w:val="8"/>
        </w:numPr>
        <w:ind w:firstLineChars="0"/>
      </w:pPr>
      <w:r>
        <w:rPr>
          <w:rFonts w:hint="eastAsia"/>
        </w:rPr>
        <w:t>提供电力系统运行监测示意图并实时展示主要设备实时运行参数，包括重要回路电压、电流以及功率因数等信息，保障系统安全；</w:t>
      </w:r>
    </w:p>
    <w:p>
      <w:pPr>
        <w:pStyle w:val="5"/>
        <w:numPr>
          <w:ilvl w:val="0"/>
          <w:numId w:val="8"/>
        </w:numPr>
        <w:ind w:firstLineChars="0"/>
      </w:pPr>
      <w:r>
        <w:rPr>
          <w:rFonts w:hint="eastAsia"/>
        </w:rPr>
        <w:t>显示该系统设备的基本信息包括设备名称、设备编号、设备类型；提供该系统设备详细信息展示页面，包括实时数据展示，实时、历史曲线的展示等；</w:t>
      </w:r>
    </w:p>
    <w:p>
      <w:pPr>
        <w:pStyle w:val="5"/>
        <w:numPr>
          <w:ilvl w:val="0"/>
          <w:numId w:val="8"/>
        </w:numPr>
        <w:ind w:firstLineChars="0"/>
      </w:pPr>
      <w:r>
        <w:rPr>
          <w:rFonts w:hint="eastAsia"/>
        </w:rPr>
        <w:t>对设备状态如开关量、脉冲量等状态的实时值监测与展示，以及历史数据的查询。</w:t>
      </w:r>
    </w:p>
    <w:p>
      <w:pPr>
        <w:pStyle w:val="5"/>
        <w:numPr>
          <w:ilvl w:val="0"/>
          <w:numId w:val="8"/>
        </w:numPr>
        <w:ind w:firstLineChars="0"/>
      </w:pPr>
      <w:r>
        <w:rPr>
          <w:rFonts w:hint="eastAsia"/>
        </w:rPr>
        <w:t>可查看当前系统设备的告警信息，如设备状态异常、超限告警、通讯异常等。</w:t>
      </w:r>
    </w:p>
    <w:p>
      <w:pPr>
        <w:keepNext/>
        <w:jc w:val="center"/>
      </w:pPr>
      <w:r>
        <w:drawing>
          <wp:inline distT="0" distB="0" distL="0" distR="0">
            <wp:extent cx="4991100" cy="2772410"/>
            <wp:effectExtent l="19050" t="19050" r="19050" b="27940"/>
            <wp:docPr id="1128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 name="图片 20"/>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00267" cy="2777658"/>
                    </a:xfrm>
                    <a:prstGeom prst="rect">
                      <a:avLst/>
                    </a:prstGeom>
                    <a:ln w="12700" cmpd="sng">
                      <a:solidFill>
                        <a:schemeClr val="accent1">
                          <a:shade val="50000"/>
                        </a:schemeClr>
                      </a:solidFill>
                      <a:prstDash val="solid"/>
                    </a:ln>
                  </pic:spPr>
                </pic:pic>
              </a:graphicData>
            </a:graphic>
          </wp:inline>
        </w:drawing>
      </w:r>
    </w:p>
    <w:p>
      <w:pPr>
        <w:pStyle w:val="1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t xml:space="preserve"> </w:t>
      </w:r>
      <w:r>
        <w:rPr>
          <w:rFonts w:hint="eastAsia"/>
        </w:rPr>
        <w:t>高低压配电组态图（平台端）</w:t>
      </w:r>
    </w:p>
    <w:p>
      <w:pPr>
        <w:pStyle w:val="8"/>
      </w:pPr>
      <w:r>
        <w:rPr>
          <w:rFonts w:hint="eastAsia"/>
        </w:rPr>
        <w:t>空调系统综合监控（第三方对接+加装表记）</w:t>
      </w:r>
    </w:p>
    <w:p>
      <w:pPr>
        <w:ind w:firstLine="420" w:firstLineChars="200"/>
      </w:pPr>
      <w:r>
        <w:rPr>
          <w:rFonts w:hint="eastAsia"/>
        </w:rPr>
        <w:t>灵隐院区没有制冷设备监控系统，需加装表计。三墩院区目前已有一套中央空调控制系统，监控系统位于空调机房内的值班室，目前空调机组值班人员长期值守。空调系统监测范围为主机运行情况及主机运行相关数据，运行人员平时通过手动方式启停空调机组。有余热回收相关设备，但根据现场情况了解，并没有投入使用，存在节能空间。同时根据空调机房管理的实际需求，对冷却塔水盘加装液位检测，全方位监控空调运行状态，在机房内加装环境监控，监测机房环境，加装人脸识别相机，防止人员闯入，从而总体提升机房安全水平。具体点位布置如下：</w:t>
      </w:r>
    </w:p>
    <w:tbl>
      <w:tblPr>
        <w:tblStyle w:val="29"/>
        <w:tblW w:w="5000" w:type="pct"/>
        <w:tblInd w:w="0" w:type="dxa"/>
        <w:tblLayout w:type="autofit"/>
        <w:tblCellMar>
          <w:top w:w="0" w:type="dxa"/>
          <w:left w:w="0" w:type="dxa"/>
          <w:bottom w:w="0" w:type="dxa"/>
          <w:right w:w="0" w:type="dxa"/>
        </w:tblCellMar>
      </w:tblPr>
      <w:tblGrid>
        <w:gridCol w:w="484"/>
        <w:gridCol w:w="351"/>
        <w:gridCol w:w="813"/>
        <w:gridCol w:w="425"/>
        <w:gridCol w:w="1732"/>
        <w:gridCol w:w="923"/>
        <w:gridCol w:w="1169"/>
        <w:gridCol w:w="967"/>
        <w:gridCol w:w="723"/>
        <w:gridCol w:w="739"/>
      </w:tblGrid>
      <w:tr>
        <w:tblPrEx>
          <w:tblCellMar>
            <w:top w:w="0" w:type="dxa"/>
            <w:left w:w="0" w:type="dxa"/>
            <w:bottom w:w="0" w:type="dxa"/>
            <w:right w:w="0" w:type="dxa"/>
          </w:tblCellMar>
        </w:tblPrEx>
        <w:trPr>
          <w:trHeight w:val="300" w:hRule="atLeast"/>
        </w:trPr>
        <w:tc>
          <w:tcPr>
            <w:tcW w:w="5000" w:type="pct"/>
            <w:gridSpan w:val="10"/>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暖通空调系统综合监控</w:t>
            </w:r>
          </w:p>
        </w:tc>
      </w:tr>
      <w:tr>
        <w:tblPrEx>
          <w:tblCellMar>
            <w:top w:w="0" w:type="dxa"/>
            <w:left w:w="0" w:type="dxa"/>
            <w:bottom w:w="0" w:type="dxa"/>
            <w:right w:w="0" w:type="dxa"/>
          </w:tblCellMar>
        </w:tblPrEx>
        <w:trPr>
          <w:trHeight w:val="380" w:hRule="atLeast"/>
        </w:trPr>
        <w:tc>
          <w:tcPr>
            <w:tcW w:w="291"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left"/>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建筑</w:t>
            </w:r>
          </w:p>
        </w:tc>
        <w:tc>
          <w:tcPr>
            <w:tcW w:w="211"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left"/>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楼层</w:t>
            </w:r>
          </w:p>
        </w:tc>
        <w:tc>
          <w:tcPr>
            <w:tcW w:w="488"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left"/>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监测位置</w:t>
            </w:r>
          </w:p>
        </w:tc>
        <w:tc>
          <w:tcPr>
            <w:tcW w:w="255"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left"/>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数量</w:t>
            </w:r>
          </w:p>
        </w:tc>
        <w:tc>
          <w:tcPr>
            <w:tcW w:w="1037"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left"/>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监测内容</w:t>
            </w:r>
          </w:p>
        </w:tc>
        <w:tc>
          <w:tcPr>
            <w:tcW w:w="554"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设备状态</w:t>
            </w:r>
          </w:p>
        </w:tc>
        <w:tc>
          <w:tcPr>
            <w:tcW w:w="70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压力传感器</w:t>
            </w:r>
          </w:p>
        </w:tc>
        <w:tc>
          <w:tcPr>
            <w:tcW w:w="581"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分集水器电动调节阀</w:t>
            </w:r>
          </w:p>
        </w:tc>
        <w:tc>
          <w:tcPr>
            <w:tcW w:w="434"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人脸识别</w:t>
            </w:r>
          </w:p>
        </w:tc>
        <w:tc>
          <w:tcPr>
            <w:tcW w:w="441"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温湿度</w:t>
            </w:r>
            <w:r>
              <w:rPr>
                <w:rFonts w:hint="eastAsia" w:ascii="宋体" w:hAnsi="宋体" w:eastAsia="宋体" w:cs="宋体"/>
                <w:b/>
                <w:color w:val="000000"/>
                <w:kern w:val="0"/>
                <w:sz w:val="18"/>
                <w:szCs w:val="18"/>
                <w:lang w:bidi="ar"/>
              </w:rPr>
              <w:br w:type="textWrapping"/>
            </w:r>
            <w:r>
              <w:rPr>
                <w:rFonts w:hint="eastAsia" w:ascii="宋体" w:hAnsi="宋体" w:eastAsia="宋体" w:cs="宋体"/>
                <w:b/>
                <w:color w:val="000000"/>
                <w:kern w:val="0"/>
                <w:sz w:val="18"/>
                <w:szCs w:val="18"/>
                <w:lang w:bidi="ar"/>
              </w:rPr>
              <w:t>传感器</w:t>
            </w:r>
          </w:p>
        </w:tc>
      </w:tr>
      <w:tr>
        <w:tblPrEx>
          <w:tblCellMar>
            <w:top w:w="0" w:type="dxa"/>
            <w:left w:w="0" w:type="dxa"/>
            <w:bottom w:w="0" w:type="dxa"/>
            <w:right w:w="0" w:type="dxa"/>
          </w:tblCellMar>
        </w:tblPrEx>
        <w:trPr>
          <w:trHeight w:val="260" w:hRule="atLeast"/>
        </w:trPr>
        <w:tc>
          <w:tcPr>
            <w:tcW w:w="291"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三墩院区</w:t>
            </w:r>
          </w:p>
        </w:tc>
        <w:tc>
          <w:tcPr>
            <w:tcW w:w="211"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B1F</w:t>
            </w:r>
          </w:p>
        </w:tc>
        <w:tc>
          <w:tcPr>
            <w:tcW w:w="488"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冷冻机房</w:t>
            </w:r>
          </w:p>
        </w:tc>
        <w:tc>
          <w:tcPr>
            <w:tcW w:w="255"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3</w:t>
            </w:r>
          </w:p>
        </w:tc>
        <w:tc>
          <w:tcPr>
            <w:tcW w:w="1037"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中央空调设备</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（主机/水泵/冷却塔等）</w:t>
            </w:r>
            <w:r>
              <w:rPr>
                <w:rFonts w:hint="eastAsia" w:ascii="宋体" w:hAnsi="宋体" w:eastAsia="宋体" w:cs="宋体"/>
                <w:color w:val="000000"/>
                <w:kern w:val="0"/>
                <w:sz w:val="18"/>
                <w:szCs w:val="18"/>
                <w:lang w:bidi="ar"/>
              </w:rPr>
              <w:br w:type="textWrapping"/>
            </w:r>
            <w:r>
              <w:rPr>
                <w:rFonts w:hint="eastAsia" w:ascii="宋体" w:hAnsi="宋体" w:eastAsia="宋体" w:cs="宋体"/>
                <w:color w:val="000000"/>
                <w:kern w:val="0"/>
                <w:sz w:val="18"/>
                <w:szCs w:val="18"/>
                <w:lang w:bidi="ar"/>
              </w:rPr>
              <w:t>运行状态与参数</w:t>
            </w:r>
          </w:p>
        </w:tc>
        <w:tc>
          <w:tcPr>
            <w:tcW w:w="554"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1</w:t>
            </w:r>
          </w:p>
        </w:tc>
        <w:tc>
          <w:tcPr>
            <w:tcW w:w="70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12</w:t>
            </w:r>
          </w:p>
        </w:tc>
        <w:tc>
          <w:tcPr>
            <w:tcW w:w="581"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6</w:t>
            </w:r>
          </w:p>
        </w:tc>
        <w:tc>
          <w:tcPr>
            <w:tcW w:w="434"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2</w:t>
            </w:r>
          </w:p>
        </w:tc>
        <w:tc>
          <w:tcPr>
            <w:tcW w:w="441"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1</w:t>
            </w:r>
          </w:p>
        </w:tc>
      </w:tr>
      <w:tr>
        <w:tblPrEx>
          <w:tblCellMar>
            <w:top w:w="0" w:type="dxa"/>
            <w:left w:w="0" w:type="dxa"/>
            <w:bottom w:w="0" w:type="dxa"/>
            <w:right w:w="0" w:type="dxa"/>
          </w:tblCellMar>
        </w:tblPrEx>
        <w:trPr>
          <w:trHeight w:val="260" w:hRule="atLeast"/>
        </w:trPr>
        <w:tc>
          <w:tcPr>
            <w:tcW w:w="291"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jc w:val="center"/>
              <w:rPr>
                <w:rFonts w:ascii="宋体" w:hAnsi="宋体" w:eastAsia="宋体" w:cs="宋体"/>
                <w:color w:val="000000"/>
                <w:sz w:val="18"/>
                <w:szCs w:val="18"/>
              </w:rPr>
            </w:pPr>
          </w:p>
        </w:tc>
        <w:tc>
          <w:tcPr>
            <w:tcW w:w="211"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B1F</w:t>
            </w:r>
          </w:p>
        </w:tc>
        <w:tc>
          <w:tcPr>
            <w:tcW w:w="488"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净化机房</w:t>
            </w:r>
          </w:p>
        </w:tc>
        <w:tc>
          <w:tcPr>
            <w:tcW w:w="255"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2</w:t>
            </w:r>
          </w:p>
        </w:tc>
        <w:tc>
          <w:tcPr>
            <w:tcW w:w="103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jc w:val="center"/>
              <w:rPr>
                <w:rFonts w:ascii="宋体" w:hAnsi="宋体" w:eastAsia="宋体" w:cs="宋体"/>
                <w:color w:val="000000"/>
                <w:sz w:val="18"/>
                <w:szCs w:val="18"/>
              </w:rPr>
            </w:pPr>
          </w:p>
        </w:tc>
        <w:tc>
          <w:tcPr>
            <w:tcW w:w="554"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1</w:t>
            </w:r>
          </w:p>
        </w:tc>
        <w:tc>
          <w:tcPr>
            <w:tcW w:w="70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8</w:t>
            </w:r>
          </w:p>
        </w:tc>
        <w:tc>
          <w:tcPr>
            <w:tcW w:w="581"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4</w:t>
            </w:r>
          </w:p>
        </w:tc>
        <w:tc>
          <w:tcPr>
            <w:tcW w:w="434"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2</w:t>
            </w:r>
          </w:p>
        </w:tc>
        <w:tc>
          <w:tcPr>
            <w:tcW w:w="441"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1</w:t>
            </w:r>
          </w:p>
        </w:tc>
      </w:tr>
      <w:tr>
        <w:tblPrEx>
          <w:tblCellMar>
            <w:top w:w="0" w:type="dxa"/>
            <w:left w:w="0" w:type="dxa"/>
            <w:bottom w:w="0" w:type="dxa"/>
            <w:right w:w="0" w:type="dxa"/>
          </w:tblCellMar>
        </w:tblPrEx>
        <w:trPr>
          <w:trHeight w:val="260" w:hRule="atLeast"/>
        </w:trPr>
        <w:tc>
          <w:tcPr>
            <w:tcW w:w="291"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hint="eastAsia" w:ascii="宋体" w:hAnsi="宋体" w:eastAsia="宋体" w:cs="宋体"/>
                <w:color w:val="000000"/>
                <w:sz w:val="18"/>
                <w:szCs w:val="18"/>
              </w:rPr>
              <w:t>灵隐院区</w:t>
            </w:r>
          </w:p>
        </w:tc>
        <w:tc>
          <w:tcPr>
            <w:tcW w:w="211"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B1F</w:t>
            </w:r>
          </w:p>
        </w:tc>
        <w:tc>
          <w:tcPr>
            <w:tcW w:w="488"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冷冻机房</w:t>
            </w:r>
          </w:p>
        </w:tc>
        <w:tc>
          <w:tcPr>
            <w:tcW w:w="255"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3</w:t>
            </w:r>
          </w:p>
        </w:tc>
        <w:tc>
          <w:tcPr>
            <w:tcW w:w="103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jc w:val="center"/>
              <w:rPr>
                <w:rFonts w:ascii="宋体" w:hAnsi="宋体" w:eastAsia="宋体" w:cs="宋体"/>
                <w:color w:val="000000"/>
                <w:sz w:val="18"/>
                <w:szCs w:val="18"/>
              </w:rPr>
            </w:pPr>
          </w:p>
        </w:tc>
        <w:tc>
          <w:tcPr>
            <w:tcW w:w="554"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3</w:t>
            </w:r>
          </w:p>
        </w:tc>
        <w:tc>
          <w:tcPr>
            <w:tcW w:w="70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12</w:t>
            </w:r>
          </w:p>
        </w:tc>
        <w:tc>
          <w:tcPr>
            <w:tcW w:w="581"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6</w:t>
            </w:r>
          </w:p>
        </w:tc>
        <w:tc>
          <w:tcPr>
            <w:tcW w:w="434"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2</w:t>
            </w:r>
          </w:p>
        </w:tc>
        <w:tc>
          <w:tcPr>
            <w:tcW w:w="441"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1</w:t>
            </w:r>
          </w:p>
        </w:tc>
      </w:tr>
      <w:tr>
        <w:tblPrEx>
          <w:tblCellMar>
            <w:top w:w="0" w:type="dxa"/>
            <w:left w:w="0" w:type="dxa"/>
            <w:bottom w:w="0" w:type="dxa"/>
            <w:right w:w="0" w:type="dxa"/>
          </w:tblCellMar>
        </w:tblPrEx>
        <w:trPr>
          <w:trHeight w:val="280" w:hRule="atLeast"/>
        </w:trPr>
        <w:tc>
          <w:tcPr>
            <w:tcW w:w="2285" w:type="pct"/>
            <w:gridSpan w:val="5"/>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合计</w:t>
            </w:r>
          </w:p>
        </w:tc>
        <w:tc>
          <w:tcPr>
            <w:tcW w:w="554"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5</w:t>
            </w:r>
          </w:p>
        </w:tc>
        <w:tc>
          <w:tcPr>
            <w:tcW w:w="70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32</w:t>
            </w:r>
          </w:p>
        </w:tc>
        <w:tc>
          <w:tcPr>
            <w:tcW w:w="581"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16</w:t>
            </w:r>
          </w:p>
        </w:tc>
        <w:tc>
          <w:tcPr>
            <w:tcW w:w="434"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6</w:t>
            </w:r>
          </w:p>
        </w:tc>
        <w:tc>
          <w:tcPr>
            <w:tcW w:w="441"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3</w:t>
            </w:r>
          </w:p>
        </w:tc>
      </w:tr>
    </w:tbl>
    <w:p>
      <w:pPr>
        <w:pStyle w:val="16"/>
        <w:jc w:val="center"/>
      </w:pPr>
      <w:r>
        <w:rPr>
          <w:rFonts w:hint="eastAsia"/>
        </w:rPr>
        <w:t xml:space="preserve">表格 </w:t>
      </w:r>
      <w:r>
        <w:t xml:space="preserve">2 </w:t>
      </w:r>
      <w:r>
        <w:rPr>
          <w:rFonts w:hint="eastAsia"/>
        </w:rPr>
        <w:t>暖通空调综合监控点位</w:t>
      </w:r>
    </w:p>
    <w:p>
      <w:pPr>
        <w:ind w:firstLine="420" w:firstLineChars="200"/>
      </w:pPr>
      <w:r>
        <w:rPr>
          <w:rFonts w:hint="eastAsia"/>
        </w:rPr>
        <w:t>由此打破机房管理、人员管理与设备安全管理的信息孤岛，实现标准化、统一化、集约化空调系统监测与管理</w:t>
      </w:r>
      <w:r>
        <w:t xml:space="preserve">, </w:t>
      </w:r>
      <w:r>
        <w:rPr>
          <w:rFonts w:hint="eastAsia"/>
        </w:rPr>
        <w:t>实现无人值守，建成效果效果如下：</w:t>
      </w:r>
    </w:p>
    <w:p>
      <w:pPr>
        <w:pStyle w:val="5"/>
        <w:keepNext/>
        <w:ind w:left="780" w:firstLine="0" w:firstLineChars="0"/>
        <w:jc w:val="center"/>
      </w:pPr>
      <w:r>
        <w:drawing>
          <wp:inline distT="0" distB="0" distL="0" distR="0">
            <wp:extent cx="4966970" cy="2780665"/>
            <wp:effectExtent l="0" t="0" r="5080" b="63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976357" cy="2785945"/>
                    </a:xfrm>
                    <a:prstGeom prst="rect">
                      <a:avLst/>
                    </a:prstGeom>
                    <a:noFill/>
                    <a:ln>
                      <a:noFill/>
                    </a:ln>
                  </pic:spPr>
                </pic:pic>
              </a:graphicData>
            </a:graphic>
          </wp:inline>
        </w:drawing>
      </w:r>
    </w:p>
    <w:p>
      <w:pPr>
        <w:pStyle w:val="1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t xml:space="preserve">11 </w:t>
      </w:r>
      <w:r>
        <w:rPr>
          <w:rFonts w:hint="eastAsia"/>
        </w:rPr>
        <w:t>冷冻机组组态图（平台端）</w:t>
      </w:r>
    </w:p>
    <w:p>
      <w:pPr>
        <w:pStyle w:val="8"/>
      </w:pPr>
      <w:r>
        <w:rPr>
          <w:rFonts w:hint="eastAsia"/>
        </w:rPr>
        <w:t>水泵房综合监控（加装表计）</w:t>
      </w:r>
    </w:p>
    <w:p>
      <w:pPr>
        <w:ind w:firstLine="420" w:firstLineChars="200"/>
      </w:pPr>
      <w:r>
        <w:rPr>
          <w:rFonts w:hint="eastAsia"/>
        </w:rPr>
        <w:t>医院水泵房目前缺乏有效的信息化工具，通过铺设物联网点位监测水系统的压力和水泵运行状态等核心参数，监控泵房环境状态及设备安全状态，以集中监管医院的供水系统，减少运维人员工作压力，保障医院供水安全，并有效降低给排水系统综合运营成本。点位表如下：</w:t>
      </w:r>
    </w:p>
    <w:tbl>
      <w:tblPr>
        <w:tblStyle w:val="29"/>
        <w:tblW w:w="5000" w:type="pct"/>
        <w:tblInd w:w="0" w:type="dxa"/>
        <w:tblLayout w:type="autofit"/>
        <w:tblCellMar>
          <w:top w:w="0" w:type="dxa"/>
          <w:left w:w="0" w:type="dxa"/>
          <w:bottom w:w="0" w:type="dxa"/>
          <w:right w:w="0" w:type="dxa"/>
        </w:tblCellMar>
      </w:tblPr>
      <w:tblGrid>
        <w:gridCol w:w="422"/>
        <w:gridCol w:w="426"/>
        <w:gridCol w:w="994"/>
        <w:gridCol w:w="340"/>
        <w:gridCol w:w="1226"/>
        <w:gridCol w:w="858"/>
        <w:gridCol w:w="711"/>
        <w:gridCol w:w="1708"/>
        <w:gridCol w:w="853"/>
        <w:gridCol w:w="788"/>
      </w:tblGrid>
      <w:tr>
        <w:tblPrEx>
          <w:tblCellMar>
            <w:top w:w="0" w:type="dxa"/>
            <w:left w:w="0" w:type="dxa"/>
            <w:bottom w:w="0" w:type="dxa"/>
            <w:right w:w="0" w:type="dxa"/>
          </w:tblCellMar>
        </w:tblPrEx>
        <w:trPr>
          <w:trHeight w:val="300" w:hRule="atLeast"/>
        </w:trPr>
        <w:tc>
          <w:tcPr>
            <w:tcW w:w="5000" w:type="pct"/>
            <w:gridSpan w:val="10"/>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生活水/水泵房综合监控</w:t>
            </w:r>
          </w:p>
        </w:tc>
      </w:tr>
      <w:tr>
        <w:tblPrEx>
          <w:tblCellMar>
            <w:top w:w="0" w:type="dxa"/>
            <w:left w:w="0" w:type="dxa"/>
            <w:bottom w:w="0" w:type="dxa"/>
            <w:right w:w="0" w:type="dxa"/>
          </w:tblCellMar>
        </w:tblPrEx>
        <w:trPr>
          <w:trHeight w:val="300" w:hRule="atLeast"/>
        </w:trPr>
        <w:tc>
          <w:tcPr>
            <w:tcW w:w="254"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建筑</w:t>
            </w:r>
          </w:p>
        </w:tc>
        <w:tc>
          <w:tcPr>
            <w:tcW w:w="256"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楼层</w:t>
            </w:r>
          </w:p>
        </w:tc>
        <w:tc>
          <w:tcPr>
            <w:tcW w:w="597"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监测位置</w:t>
            </w:r>
          </w:p>
        </w:tc>
        <w:tc>
          <w:tcPr>
            <w:tcW w:w="204"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数量</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监测内容</w:t>
            </w:r>
          </w:p>
        </w:tc>
        <w:tc>
          <w:tcPr>
            <w:tcW w:w="1967" w:type="pct"/>
            <w:gridSpan w:val="3"/>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相关设备及传感器</w:t>
            </w:r>
          </w:p>
        </w:tc>
        <w:tc>
          <w:tcPr>
            <w:tcW w:w="985" w:type="pct"/>
            <w:gridSpan w:val="2"/>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机房环境</w:t>
            </w:r>
          </w:p>
        </w:tc>
      </w:tr>
      <w:tr>
        <w:tblPrEx>
          <w:tblCellMar>
            <w:top w:w="0" w:type="dxa"/>
            <w:left w:w="0" w:type="dxa"/>
            <w:bottom w:w="0" w:type="dxa"/>
            <w:right w:w="0" w:type="dxa"/>
          </w:tblCellMar>
        </w:tblPrEx>
        <w:trPr>
          <w:trHeight w:val="90" w:hRule="atLeast"/>
        </w:trPr>
        <w:tc>
          <w:tcPr>
            <w:tcW w:w="254"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rPr>
                <w:rFonts w:ascii="宋体" w:hAnsi="宋体" w:eastAsia="宋体" w:cs="宋体"/>
                <w:color w:val="000000"/>
                <w:sz w:val="18"/>
                <w:szCs w:val="18"/>
              </w:rPr>
            </w:pPr>
          </w:p>
        </w:tc>
        <w:tc>
          <w:tcPr>
            <w:tcW w:w="256"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rPr>
                <w:rFonts w:ascii="宋体" w:hAnsi="宋体" w:eastAsia="宋体" w:cs="宋体"/>
                <w:color w:val="000000"/>
                <w:sz w:val="18"/>
                <w:szCs w:val="18"/>
              </w:rPr>
            </w:pPr>
          </w:p>
        </w:tc>
        <w:tc>
          <w:tcPr>
            <w:tcW w:w="59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rPr>
                <w:rFonts w:ascii="宋体" w:hAnsi="宋体" w:eastAsia="宋体" w:cs="宋体"/>
                <w:color w:val="000000"/>
                <w:sz w:val="18"/>
                <w:szCs w:val="18"/>
              </w:rPr>
            </w:pPr>
          </w:p>
        </w:tc>
        <w:tc>
          <w:tcPr>
            <w:tcW w:w="204"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rPr>
                <w:rFonts w:ascii="宋体" w:hAnsi="宋体" w:eastAsia="宋体" w:cs="宋体"/>
                <w:color w:val="000000"/>
                <w:sz w:val="18"/>
                <w:szCs w:val="18"/>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rPr>
                <w:rFonts w:ascii="宋体" w:hAnsi="宋体" w:eastAsia="宋体" w:cs="宋体"/>
                <w:color w:val="000000"/>
                <w:sz w:val="18"/>
                <w:szCs w:val="18"/>
              </w:rPr>
            </w:pPr>
          </w:p>
        </w:tc>
        <w:tc>
          <w:tcPr>
            <w:tcW w:w="515"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压力传感器 （液体）</w:t>
            </w:r>
          </w:p>
        </w:tc>
        <w:tc>
          <w:tcPr>
            <w:tcW w:w="427"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液位 传感器</w:t>
            </w:r>
          </w:p>
        </w:tc>
        <w:tc>
          <w:tcPr>
            <w:tcW w:w="1026"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8路开关量模块（交流电）/电表对接</w:t>
            </w:r>
          </w:p>
        </w:tc>
        <w:tc>
          <w:tcPr>
            <w:tcW w:w="5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温湿度传感器</w:t>
            </w:r>
          </w:p>
        </w:tc>
        <w:tc>
          <w:tcPr>
            <w:tcW w:w="473"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人脸识别</w:t>
            </w:r>
          </w:p>
        </w:tc>
      </w:tr>
      <w:tr>
        <w:tblPrEx>
          <w:tblCellMar>
            <w:top w:w="0" w:type="dxa"/>
            <w:left w:w="0" w:type="dxa"/>
            <w:bottom w:w="0" w:type="dxa"/>
            <w:right w:w="0" w:type="dxa"/>
          </w:tblCellMar>
        </w:tblPrEx>
        <w:trPr>
          <w:trHeight w:val="300" w:hRule="atLeast"/>
        </w:trPr>
        <w:tc>
          <w:tcPr>
            <w:tcW w:w="254"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三墩院区</w:t>
            </w:r>
          </w:p>
        </w:tc>
        <w:tc>
          <w:tcPr>
            <w:tcW w:w="256"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B1F</w:t>
            </w:r>
          </w:p>
        </w:tc>
        <w:tc>
          <w:tcPr>
            <w:tcW w:w="597"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水箱</w:t>
            </w:r>
          </w:p>
        </w:tc>
        <w:tc>
          <w:tcPr>
            <w:tcW w:w="204"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1</w:t>
            </w:r>
          </w:p>
        </w:tc>
        <w:tc>
          <w:tcPr>
            <w:tcW w:w="736"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液位</w:t>
            </w:r>
          </w:p>
        </w:tc>
        <w:tc>
          <w:tcPr>
            <w:tcW w:w="515"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2</w:t>
            </w:r>
          </w:p>
        </w:tc>
        <w:tc>
          <w:tcPr>
            <w:tcW w:w="427"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2</w:t>
            </w:r>
          </w:p>
        </w:tc>
        <w:tc>
          <w:tcPr>
            <w:tcW w:w="1026"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2</w:t>
            </w:r>
          </w:p>
        </w:tc>
        <w:tc>
          <w:tcPr>
            <w:tcW w:w="512"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1</w:t>
            </w:r>
          </w:p>
        </w:tc>
        <w:tc>
          <w:tcPr>
            <w:tcW w:w="473"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2</w:t>
            </w:r>
          </w:p>
        </w:tc>
      </w:tr>
      <w:tr>
        <w:tblPrEx>
          <w:tblCellMar>
            <w:top w:w="0" w:type="dxa"/>
            <w:left w:w="0" w:type="dxa"/>
            <w:bottom w:w="0" w:type="dxa"/>
            <w:right w:w="0" w:type="dxa"/>
          </w:tblCellMar>
        </w:tblPrEx>
        <w:trPr>
          <w:trHeight w:val="90" w:hRule="atLeast"/>
        </w:trPr>
        <w:tc>
          <w:tcPr>
            <w:tcW w:w="254"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rPr>
                <w:rFonts w:ascii="宋体" w:hAnsi="宋体" w:eastAsia="宋体" w:cs="宋体"/>
                <w:color w:val="000000"/>
                <w:sz w:val="18"/>
                <w:szCs w:val="18"/>
              </w:rPr>
            </w:pPr>
          </w:p>
        </w:tc>
        <w:tc>
          <w:tcPr>
            <w:tcW w:w="256"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rPr>
                <w:rFonts w:ascii="宋体" w:hAnsi="宋体" w:eastAsia="宋体" w:cs="宋体"/>
                <w:color w:val="000000"/>
                <w:sz w:val="18"/>
                <w:szCs w:val="18"/>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生活水泵</w:t>
            </w:r>
          </w:p>
        </w:tc>
        <w:tc>
          <w:tcPr>
            <w:tcW w:w="204"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15</w:t>
            </w:r>
          </w:p>
        </w:tc>
        <w:tc>
          <w:tcPr>
            <w:tcW w:w="736"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设备运行状态</w:t>
            </w:r>
          </w:p>
        </w:tc>
        <w:tc>
          <w:tcPr>
            <w:tcW w:w="515"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center"/>
              <w:rPr>
                <w:rFonts w:ascii="宋体" w:hAnsi="宋体" w:eastAsia="宋体" w:cs="宋体"/>
                <w:color w:val="000000"/>
                <w:sz w:val="18"/>
                <w:szCs w:val="18"/>
              </w:rPr>
            </w:pPr>
          </w:p>
        </w:tc>
        <w:tc>
          <w:tcPr>
            <w:tcW w:w="4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center"/>
              <w:rPr>
                <w:rFonts w:ascii="宋体" w:hAnsi="宋体" w:eastAsia="宋体" w:cs="宋体"/>
                <w:color w:val="000000"/>
                <w:sz w:val="18"/>
                <w:szCs w:val="18"/>
              </w:rPr>
            </w:pPr>
          </w:p>
        </w:tc>
        <w:tc>
          <w:tcPr>
            <w:tcW w:w="1026"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center"/>
              <w:rPr>
                <w:rFonts w:ascii="宋体" w:hAnsi="宋体" w:eastAsia="宋体" w:cs="宋体"/>
                <w:color w:val="000000"/>
                <w:sz w:val="18"/>
                <w:szCs w:val="18"/>
              </w:rPr>
            </w:pPr>
          </w:p>
        </w:tc>
        <w:tc>
          <w:tcPr>
            <w:tcW w:w="512"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right"/>
              <w:rPr>
                <w:rFonts w:ascii="宋体" w:hAnsi="宋体" w:eastAsia="宋体" w:cs="宋体"/>
                <w:color w:val="000000"/>
                <w:sz w:val="18"/>
                <w:szCs w:val="18"/>
              </w:rPr>
            </w:pPr>
          </w:p>
        </w:tc>
        <w:tc>
          <w:tcPr>
            <w:tcW w:w="473"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right"/>
              <w:rPr>
                <w:rFonts w:ascii="宋体" w:hAnsi="宋体" w:eastAsia="宋体" w:cs="宋体"/>
                <w:color w:val="000000"/>
                <w:sz w:val="18"/>
                <w:szCs w:val="18"/>
              </w:rPr>
            </w:pPr>
          </w:p>
        </w:tc>
      </w:tr>
      <w:tr>
        <w:tblPrEx>
          <w:tblCellMar>
            <w:top w:w="0" w:type="dxa"/>
            <w:left w:w="0" w:type="dxa"/>
            <w:bottom w:w="0" w:type="dxa"/>
            <w:right w:w="0" w:type="dxa"/>
          </w:tblCellMar>
        </w:tblPrEx>
        <w:trPr>
          <w:trHeight w:val="600" w:hRule="atLeast"/>
        </w:trPr>
        <w:tc>
          <w:tcPr>
            <w:tcW w:w="254"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rPr>
                <w:rFonts w:ascii="宋体" w:hAnsi="宋体" w:eastAsia="宋体" w:cs="宋体"/>
                <w:color w:val="000000"/>
                <w:sz w:val="18"/>
                <w:szCs w:val="18"/>
              </w:rPr>
            </w:pPr>
          </w:p>
        </w:tc>
        <w:tc>
          <w:tcPr>
            <w:tcW w:w="256"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rPr>
                <w:rFonts w:ascii="宋体" w:hAnsi="宋体" w:eastAsia="宋体" w:cs="宋体"/>
                <w:color w:val="000000"/>
                <w:sz w:val="18"/>
                <w:szCs w:val="18"/>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水泵控制柜</w:t>
            </w:r>
          </w:p>
        </w:tc>
        <w:tc>
          <w:tcPr>
            <w:tcW w:w="204"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2</w:t>
            </w:r>
          </w:p>
        </w:tc>
        <w:tc>
          <w:tcPr>
            <w:tcW w:w="736"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设备运行状态</w:t>
            </w:r>
          </w:p>
        </w:tc>
        <w:tc>
          <w:tcPr>
            <w:tcW w:w="515"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center"/>
              <w:rPr>
                <w:rFonts w:ascii="宋体" w:hAnsi="宋体" w:eastAsia="宋体" w:cs="宋体"/>
                <w:color w:val="000000"/>
                <w:sz w:val="18"/>
                <w:szCs w:val="18"/>
              </w:rPr>
            </w:pPr>
          </w:p>
        </w:tc>
        <w:tc>
          <w:tcPr>
            <w:tcW w:w="4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center"/>
              <w:rPr>
                <w:rFonts w:ascii="宋体" w:hAnsi="宋体" w:eastAsia="宋体" w:cs="宋体"/>
                <w:color w:val="000000"/>
                <w:sz w:val="18"/>
                <w:szCs w:val="18"/>
              </w:rPr>
            </w:pPr>
          </w:p>
        </w:tc>
        <w:tc>
          <w:tcPr>
            <w:tcW w:w="1026"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center"/>
              <w:rPr>
                <w:rFonts w:ascii="宋体" w:hAnsi="宋体" w:eastAsia="宋体" w:cs="宋体"/>
                <w:color w:val="000000"/>
                <w:sz w:val="18"/>
                <w:szCs w:val="18"/>
              </w:rPr>
            </w:pPr>
          </w:p>
        </w:tc>
        <w:tc>
          <w:tcPr>
            <w:tcW w:w="512"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right"/>
              <w:rPr>
                <w:rFonts w:ascii="宋体" w:hAnsi="宋体" w:eastAsia="宋体" w:cs="宋体"/>
                <w:color w:val="000000"/>
                <w:sz w:val="18"/>
                <w:szCs w:val="18"/>
              </w:rPr>
            </w:pPr>
          </w:p>
        </w:tc>
        <w:tc>
          <w:tcPr>
            <w:tcW w:w="473"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right"/>
              <w:rPr>
                <w:rFonts w:ascii="宋体" w:hAnsi="宋体" w:eastAsia="宋体" w:cs="宋体"/>
                <w:color w:val="000000"/>
                <w:sz w:val="18"/>
                <w:szCs w:val="18"/>
              </w:rPr>
            </w:pPr>
          </w:p>
        </w:tc>
      </w:tr>
      <w:tr>
        <w:tblPrEx>
          <w:tblCellMar>
            <w:top w:w="0" w:type="dxa"/>
            <w:left w:w="0" w:type="dxa"/>
            <w:bottom w:w="0" w:type="dxa"/>
            <w:right w:w="0" w:type="dxa"/>
          </w:tblCellMar>
        </w:tblPrEx>
        <w:trPr>
          <w:trHeight w:val="300" w:hRule="atLeast"/>
        </w:trPr>
        <w:tc>
          <w:tcPr>
            <w:tcW w:w="254"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sz w:val="18"/>
                <w:szCs w:val="18"/>
              </w:rPr>
              <w:t>灵隐院区</w:t>
            </w:r>
          </w:p>
        </w:tc>
        <w:tc>
          <w:tcPr>
            <w:tcW w:w="256"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B1F</w:t>
            </w:r>
          </w:p>
        </w:tc>
        <w:tc>
          <w:tcPr>
            <w:tcW w:w="597"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水箱</w:t>
            </w:r>
          </w:p>
        </w:tc>
        <w:tc>
          <w:tcPr>
            <w:tcW w:w="204"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1</w:t>
            </w:r>
          </w:p>
        </w:tc>
        <w:tc>
          <w:tcPr>
            <w:tcW w:w="736"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液位</w:t>
            </w:r>
          </w:p>
        </w:tc>
        <w:tc>
          <w:tcPr>
            <w:tcW w:w="515"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2</w:t>
            </w:r>
          </w:p>
        </w:tc>
        <w:tc>
          <w:tcPr>
            <w:tcW w:w="427"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1</w:t>
            </w:r>
          </w:p>
        </w:tc>
        <w:tc>
          <w:tcPr>
            <w:tcW w:w="1026"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1</w:t>
            </w:r>
          </w:p>
        </w:tc>
        <w:tc>
          <w:tcPr>
            <w:tcW w:w="512"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1</w:t>
            </w:r>
          </w:p>
        </w:tc>
        <w:tc>
          <w:tcPr>
            <w:tcW w:w="473"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2</w:t>
            </w:r>
          </w:p>
        </w:tc>
      </w:tr>
      <w:tr>
        <w:tblPrEx>
          <w:tblCellMar>
            <w:top w:w="0" w:type="dxa"/>
            <w:left w:w="0" w:type="dxa"/>
            <w:bottom w:w="0" w:type="dxa"/>
            <w:right w:w="0" w:type="dxa"/>
          </w:tblCellMar>
        </w:tblPrEx>
        <w:trPr>
          <w:trHeight w:val="162" w:hRule="atLeast"/>
        </w:trPr>
        <w:tc>
          <w:tcPr>
            <w:tcW w:w="254"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rPr>
                <w:rFonts w:ascii="宋体" w:hAnsi="宋体" w:eastAsia="宋体" w:cs="宋体"/>
                <w:color w:val="000000"/>
                <w:sz w:val="18"/>
                <w:szCs w:val="18"/>
              </w:rPr>
            </w:pPr>
          </w:p>
        </w:tc>
        <w:tc>
          <w:tcPr>
            <w:tcW w:w="256"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rPr>
                <w:rFonts w:ascii="宋体" w:hAnsi="宋体" w:eastAsia="宋体" w:cs="宋体"/>
                <w:color w:val="000000"/>
                <w:sz w:val="18"/>
                <w:szCs w:val="18"/>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生活水泵</w:t>
            </w:r>
          </w:p>
        </w:tc>
        <w:tc>
          <w:tcPr>
            <w:tcW w:w="204"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5</w:t>
            </w:r>
          </w:p>
        </w:tc>
        <w:tc>
          <w:tcPr>
            <w:tcW w:w="736"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设备运行状态</w:t>
            </w:r>
          </w:p>
        </w:tc>
        <w:tc>
          <w:tcPr>
            <w:tcW w:w="515"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center"/>
              <w:rPr>
                <w:rFonts w:ascii="宋体" w:hAnsi="宋体" w:eastAsia="宋体" w:cs="宋体"/>
                <w:color w:val="000000"/>
                <w:sz w:val="18"/>
                <w:szCs w:val="18"/>
              </w:rPr>
            </w:pPr>
          </w:p>
        </w:tc>
        <w:tc>
          <w:tcPr>
            <w:tcW w:w="4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center"/>
              <w:rPr>
                <w:rFonts w:ascii="宋体" w:hAnsi="宋体" w:eastAsia="宋体" w:cs="宋体"/>
                <w:color w:val="000000"/>
                <w:sz w:val="18"/>
                <w:szCs w:val="18"/>
              </w:rPr>
            </w:pPr>
          </w:p>
        </w:tc>
        <w:tc>
          <w:tcPr>
            <w:tcW w:w="1026"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center"/>
              <w:rPr>
                <w:rFonts w:ascii="宋体" w:hAnsi="宋体" w:eastAsia="宋体" w:cs="宋体"/>
                <w:color w:val="000000"/>
                <w:sz w:val="18"/>
                <w:szCs w:val="18"/>
              </w:rPr>
            </w:pPr>
          </w:p>
        </w:tc>
        <w:tc>
          <w:tcPr>
            <w:tcW w:w="512"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right"/>
              <w:rPr>
                <w:rFonts w:ascii="宋体" w:hAnsi="宋体" w:eastAsia="宋体" w:cs="宋体"/>
                <w:color w:val="000000"/>
                <w:sz w:val="18"/>
                <w:szCs w:val="18"/>
              </w:rPr>
            </w:pPr>
          </w:p>
        </w:tc>
        <w:tc>
          <w:tcPr>
            <w:tcW w:w="473"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right"/>
              <w:rPr>
                <w:rFonts w:ascii="宋体" w:hAnsi="宋体" w:eastAsia="宋体" w:cs="宋体"/>
                <w:color w:val="000000"/>
                <w:sz w:val="18"/>
                <w:szCs w:val="18"/>
              </w:rPr>
            </w:pPr>
          </w:p>
        </w:tc>
      </w:tr>
      <w:tr>
        <w:tblPrEx>
          <w:tblCellMar>
            <w:top w:w="0" w:type="dxa"/>
            <w:left w:w="0" w:type="dxa"/>
            <w:bottom w:w="0" w:type="dxa"/>
            <w:right w:w="0" w:type="dxa"/>
          </w:tblCellMar>
        </w:tblPrEx>
        <w:trPr>
          <w:trHeight w:val="459" w:hRule="atLeast"/>
        </w:trPr>
        <w:tc>
          <w:tcPr>
            <w:tcW w:w="254"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rPr>
                <w:rFonts w:ascii="宋体" w:hAnsi="宋体" w:eastAsia="宋体" w:cs="宋体"/>
                <w:color w:val="000000"/>
                <w:sz w:val="18"/>
                <w:szCs w:val="18"/>
              </w:rPr>
            </w:pPr>
          </w:p>
        </w:tc>
        <w:tc>
          <w:tcPr>
            <w:tcW w:w="256"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rPr>
                <w:rFonts w:ascii="宋体" w:hAnsi="宋体" w:eastAsia="宋体" w:cs="宋体"/>
                <w:color w:val="000000"/>
                <w:sz w:val="18"/>
                <w:szCs w:val="18"/>
              </w:rPr>
            </w:pPr>
          </w:p>
        </w:tc>
        <w:tc>
          <w:tcPr>
            <w:tcW w:w="597"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水泵控制柜</w:t>
            </w:r>
          </w:p>
        </w:tc>
        <w:tc>
          <w:tcPr>
            <w:tcW w:w="204"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2</w:t>
            </w:r>
          </w:p>
        </w:tc>
        <w:tc>
          <w:tcPr>
            <w:tcW w:w="736"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设备运行状态</w:t>
            </w:r>
          </w:p>
        </w:tc>
        <w:tc>
          <w:tcPr>
            <w:tcW w:w="515"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center"/>
              <w:rPr>
                <w:rFonts w:ascii="宋体" w:hAnsi="宋体" w:eastAsia="宋体" w:cs="宋体"/>
                <w:color w:val="000000"/>
                <w:sz w:val="18"/>
                <w:szCs w:val="18"/>
              </w:rPr>
            </w:pPr>
          </w:p>
        </w:tc>
        <w:tc>
          <w:tcPr>
            <w:tcW w:w="4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center"/>
              <w:rPr>
                <w:rFonts w:ascii="宋体" w:hAnsi="宋体" w:eastAsia="宋体" w:cs="宋体"/>
                <w:color w:val="000000"/>
                <w:sz w:val="18"/>
                <w:szCs w:val="18"/>
              </w:rPr>
            </w:pPr>
          </w:p>
        </w:tc>
        <w:tc>
          <w:tcPr>
            <w:tcW w:w="1026"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center"/>
              <w:rPr>
                <w:rFonts w:ascii="宋体" w:hAnsi="宋体" w:eastAsia="宋体" w:cs="宋体"/>
                <w:color w:val="000000"/>
                <w:sz w:val="18"/>
                <w:szCs w:val="18"/>
              </w:rPr>
            </w:pPr>
          </w:p>
        </w:tc>
        <w:tc>
          <w:tcPr>
            <w:tcW w:w="512"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right"/>
              <w:rPr>
                <w:rFonts w:ascii="宋体" w:hAnsi="宋体" w:eastAsia="宋体" w:cs="宋体"/>
                <w:color w:val="000000"/>
                <w:sz w:val="18"/>
                <w:szCs w:val="18"/>
              </w:rPr>
            </w:pPr>
          </w:p>
        </w:tc>
        <w:tc>
          <w:tcPr>
            <w:tcW w:w="473"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right"/>
              <w:rPr>
                <w:rFonts w:ascii="宋体" w:hAnsi="宋体" w:eastAsia="宋体" w:cs="宋体"/>
                <w:color w:val="000000"/>
                <w:sz w:val="18"/>
                <w:szCs w:val="18"/>
              </w:rPr>
            </w:pPr>
          </w:p>
        </w:tc>
      </w:tr>
      <w:tr>
        <w:tblPrEx>
          <w:tblCellMar>
            <w:top w:w="0" w:type="dxa"/>
            <w:left w:w="0" w:type="dxa"/>
            <w:bottom w:w="0" w:type="dxa"/>
            <w:right w:w="0" w:type="dxa"/>
          </w:tblCellMar>
        </w:tblPrEx>
        <w:trPr>
          <w:trHeight w:val="90" w:hRule="atLeast"/>
        </w:trPr>
        <w:tc>
          <w:tcPr>
            <w:tcW w:w="2047" w:type="pct"/>
            <w:gridSpan w:val="5"/>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合计</w:t>
            </w:r>
          </w:p>
        </w:tc>
        <w:tc>
          <w:tcPr>
            <w:tcW w:w="515"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4</w:t>
            </w:r>
          </w:p>
        </w:tc>
        <w:tc>
          <w:tcPr>
            <w:tcW w:w="427"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3</w:t>
            </w:r>
          </w:p>
        </w:tc>
        <w:tc>
          <w:tcPr>
            <w:tcW w:w="1026"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3</w:t>
            </w:r>
          </w:p>
        </w:tc>
        <w:tc>
          <w:tcPr>
            <w:tcW w:w="5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2</w:t>
            </w:r>
          </w:p>
        </w:tc>
        <w:tc>
          <w:tcPr>
            <w:tcW w:w="473"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4</w:t>
            </w:r>
          </w:p>
        </w:tc>
      </w:tr>
    </w:tbl>
    <w:p>
      <w:pPr>
        <w:pStyle w:val="16"/>
        <w:jc w:val="center"/>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t>5</w:t>
      </w:r>
      <w:r>
        <w:fldChar w:fldCharType="end"/>
      </w:r>
      <w:r>
        <w:t xml:space="preserve"> </w:t>
      </w:r>
      <w:r>
        <w:rPr>
          <w:rFonts w:hint="eastAsia"/>
        </w:rPr>
        <w:t>水泵房综合监控点表</w:t>
      </w:r>
    </w:p>
    <w:p>
      <w:pPr>
        <w:pStyle w:val="5"/>
        <w:ind w:firstLine="0" w:firstLineChars="0"/>
        <w:rPr>
          <w:b/>
          <w:bCs/>
        </w:rPr>
      </w:pPr>
    </w:p>
    <w:p>
      <w:pPr>
        <w:pStyle w:val="8"/>
      </w:pPr>
      <w:r>
        <w:rPr>
          <w:rFonts w:hint="eastAsia"/>
        </w:rPr>
        <w:t>医用气体设备综合监控（加装表计）</w:t>
      </w:r>
    </w:p>
    <w:p>
      <w:pPr>
        <w:ind w:firstLine="420" w:firstLineChars="200"/>
      </w:pPr>
      <w:r>
        <w:rPr>
          <w:rFonts w:hint="eastAsia"/>
        </w:rPr>
        <w:t>医院医用气体设备目前已有信息化工具，不过功能单一，需通过对接接入天溯系统。通过铺设物联网点位监测压力等核心参数，同时加装环境监测及人脸视频视频监控，监控机房环境状态及安全状态，以集中监管医院的医用气体系统，减少运维人员工作压力，保障医院安全，并有效降低给医用气体系统综合运营成本；</w:t>
      </w:r>
    </w:p>
    <w:p>
      <w:pPr>
        <w:ind w:firstLine="420" w:firstLineChars="200"/>
      </w:pPr>
      <w:r>
        <w:rPr>
          <w:rFonts w:hint="eastAsia"/>
        </w:rPr>
        <w:t>点位表如下：</w:t>
      </w:r>
    </w:p>
    <w:tbl>
      <w:tblPr>
        <w:tblStyle w:val="29"/>
        <w:tblW w:w="5000" w:type="pct"/>
        <w:tblInd w:w="0" w:type="dxa"/>
        <w:tblLayout w:type="autofit"/>
        <w:tblCellMar>
          <w:top w:w="0" w:type="dxa"/>
          <w:left w:w="0" w:type="dxa"/>
          <w:bottom w:w="0" w:type="dxa"/>
          <w:right w:w="0" w:type="dxa"/>
        </w:tblCellMar>
      </w:tblPr>
      <w:tblGrid>
        <w:gridCol w:w="1364"/>
        <w:gridCol w:w="1274"/>
        <w:gridCol w:w="1768"/>
        <w:gridCol w:w="1910"/>
        <w:gridCol w:w="2010"/>
      </w:tblGrid>
      <w:tr>
        <w:tblPrEx>
          <w:tblCellMar>
            <w:top w:w="0" w:type="dxa"/>
            <w:left w:w="0" w:type="dxa"/>
            <w:bottom w:w="0" w:type="dxa"/>
            <w:right w:w="0" w:type="dxa"/>
          </w:tblCellMar>
        </w:tblPrEx>
        <w:trPr>
          <w:trHeight w:val="155" w:hRule="atLeast"/>
        </w:trPr>
        <w:tc>
          <w:tcPr>
            <w:tcW w:w="5000" w:type="pct"/>
            <w:gridSpan w:val="5"/>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氧气综合监控</w:t>
            </w:r>
          </w:p>
        </w:tc>
      </w:tr>
      <w:tr>
        <w:tblPrEx>
          <w:tblCellMar>
            <w:top w:w="0" w:type="dxa"/>
            <w:left w:w="0" w:type="dxa"/>
            <w:bottom w:w="0" w:type="dxa"/>
            <w:right w:w="0" w:type="dxa"/>
          </w:tblCellMar>
        </w:tblPrEx>
        <w:trPr>
          <w:trHeight w:val="90" w:hRule="atLeast"/>
        </w:trPr>
        <w:tc>
          <w:tcPr>
            <w:tcW w:w="819"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位置</w:t>
            </w:r>
          </w:p>
        </w:tc>
        <w:tc>
          <w:tcPr>
            <w:tcW w:w="765"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楼层</w:t>
            </w:r>
          </w:p>
        </w:tc>
        <w:tc>
          <w:tcPr>
            <w:tcW w:w="106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相关设备及传感器</w:t>
            </w:r>
          </w:p>
        </w:tc>
        <w:tc>
          <w:tcPr>
            <w:tcW w:w="2354" w:type="pct"/>
            <w:gridSpan w:val="2"/>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机房环境</w:t>
            </w:r>
          </w:p>
        </w:tc>
      </w:tr>
      <w:tr>
        <w:tblPrEx>
          <w:tblCellMar>
            <w:top w:w="0" w:type="dxa"/>
            <w:left w:w="0" w:type="dxa"/>
            <w:bottom w:w="0" w:type="dxa"/>
            <w:right w:w="0" w:type="dxa"/>
          </w:tblCellMar>
        </w:tblPrEx>
        <w:trPr>
          <w:trHeight w:val="90" w:hRule="atLeast"/>
        </w:trPr>
        <w:tc>
          <w:tcPr>
            <w:tcW w:w="819"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rPr>
                <w:rFonts w:ascii="宋体" w:hAnsi="宋体" w:eastAsia="宋体" w:cs="宋体"/>
                <w:color w:val="000000"/>
                <w:sz w:val="18"/>
                <w:szCs w:val="18"/>
              </w:rPr>
            </w:pPr>
          </w:p>
        </w:tc>
        <w:tc>
          <w:tcPr>
            <w:tcW w:w="765"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rPr>
                <w:rFonts w:ascii="宋体" w:hAnsi="宋体" w:eastAsia="宋体" w:cs="宋体"/>
                <w:color w:val="000000"/>
                <w:sz w:val="18"/>
                <w:szCs w:val="18"/>
              </w:rPr>
            </w:pPr>
          </w:p>
        </w:tc>
        <w:tc>
          <w:tcPr>
            <w:tcW w:w="106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压力传感器</w:t>
            </w:r>
          </w:p>
        </w:tc>
        <w:tc>
          <w:tcPr>
            <w:tcW w:w="1147"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人脸识别</w:t>
            </w:r>
          </w:p>
        </w:tc>
        <w:tc>
          <w:tcPr>
            <w:tcW w:w="1207"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温湿度 传感器</w:t>
            </w:r>
          </w:p>
        </w:tc>
      </w:tr>
      <w:tr>
        <w:tblPrEx>
          <w:tblCellMar>
            <w:top w:w="0" w:type="dxa"/>
            <w:left w:w="0" w:type="dxa"/>
            <w:bottom w:w="0" w:type="dxa"/>
            <w:right w:w="0" w:type="dxa"/>
          </w:tblCellMar>
        </w:tblPrEx>
        <w:trPr>
          <w:trHeight w:val="90" w:hRule="atLeast"/>
        </w:trPr>
        <w:tc>
          <w:tcPr>
            <w:tcW w:w="819"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三墩院区</w:t>
            </w:r>
          </w:p>
        </w:tc>
        <w:tc>
          <w:tcPr>
            <w:tcW w:w="765"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1F</w:t>
            </w:r>
          </w:p>
        </w:tc>
        <w:tc>
          <w:tcPr>
            <w:tcW w:w="106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2</w:t>
            </w:r>
          </w:p>
        </w:tc>
        <w:tc>
          <w:tcPr>
            <w:tcW w:w="1147"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2</w:t>
            </w:r>
          </w:p>
        </w:tc>
        <w:tc>
          <w:tcPr>
            <w:tcW w:w="1207"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1</w:t>
            </w:r>
          </w:p>
        </w:tc>
      </w:tr>
      <w:tr>
        <w:tblPrEx>
          <w:tblCellMar>
            <w:top w:w="0" w:type="dxa"/>
            <w:left w:w="0" w:type="dxa"/>
            <w:bottom w:w="0" w:type="dxa"/>
            <w:right w:w="0" w:type="dxa"/>
          </w:tblCellMar>
        </w:tblPrEx>
        <w:trPr>
          <w:trHeight w:val="90" w:hRule="atLeast"/>
        </w:trPr>
        <w:tc>
          <w:tcPr>
            <w:tcW w:w="819"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灵隐院区</w:t>
            </w:r>
          </w:p>
        </w:tc>
        <w:tc>
          <w:tcPr>
            <w:tcW w:w="765"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1</w:t>
            </w:r>
            <w:r>
              <w:rPr>
                <w:rFonts w:hint="eastAsia" w:ascii="宋体" w:hAnsi="宋体" w:eastAsia="宋体" w:cs="宋体"/>
                <w:color w:val="000000"/>
                <w:kern w:val="0"/>
                <w:sz w:val="18"/>
                <w:szCs w:val="18"/>
                <w:lang w:bidi="ar"/>
              </w:rPr>
              <w:t>F</w:t>
            </w:r>
          </w:p>
        </w:tc>
        <w:tc>
          <w:tcPr>
            <w:tcW w:w="106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ascii="宋体" w:hAnsi="宋体" w:eastAsia="宋体" w:cs="宋体"/>
                <w:color w:val="000000"/>
                <w:sz w:val="18"/>
                <w:szCs w:val="18"/>
              </w:rPr>
              <w:t>4</w:t>
            </w:r>
          </w:p>
        </w:tc>
        <w:tc>
          <w:tcPr>
            <w:tcW w:w="1147"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ascii="宋体" w:hAnsi="宋体" w:eastAsia="宋体" w:cs="宋体"/>
                <w:color w:val="000000"/>
                <w:sz w:val="18"/>
                <w:szCs w:val="18"/>
              </w:rPr>
              <w:t>4</w:t>
            </w:r>
          </w:p>
        </w:tc>
        <w:tc>
          <w:tcPr>
            <w:tcW w:w="1207"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ascii="宋体" w:hAnsi="宋体" w:eastAsia="宋体" w:cs="宋体"/>
                <w:color w:val="000000"/>
                <w:sz w:val="18"/>
                <w:szCs w:val="18"/>
              </w:rPr>
              <w:t>2</w:t>
            </w:r>
          </w:p>
        </w:tc>
      </w:tr>
      <w:tr>
        <w:tblPrEx>
          <w:tblCellMar>
            <w:top w:w="0" w:type="dxa"/>
            <w:left w:w="0" w:type="dxa"/>
            <w:bottom w:w="0" w:type="dxa"/>
            <w:right w:w="0" w:type="dxa"/>
          </w:tblCellMar>
        </w:tblPrEx>
        <w:trPr>
          <w:trHeight w:val="90" w:hRule="atLeast"/>
        </w:trPr>
        <w:tc>
          <w:tcPr>
            <w:tcW w:w="1584" w:type="pct"/>
            <w:gridSpan w:val="2"/>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合计</w:t>
            </w:r>
          </w:p>
        </w:tc>
        <w:tc>
          <w:tcPr>
            <w:tcW w:w="106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ascii="宋体" w:hAnsi="宋体" w:eastAsia="宋体" w:cs="宋体"/>
                <w:color w:val="000000"/>
                <w:sz w:val="18"/>
                <w:szCs w:val="18"/>
              </w:rPr>
              <w:t>6</w:t>
            </w:r>
          </w:p>
        </w:tc>
        <w:tc>
          <w:tcPr>
            <w:tcW w:w="1147"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ascii="宋体" w:hAnsi="宋体" w:eastAsia="宋体" w:cs="宋体"/>
                <w:color w:val="000000"/>
                <w:sz w:val="18"/>
                <w:szCs w:val="18"/>
              </w:rPr>
              <w:t>6</w:t>
            </w:r>
          </w:p>
        </w:tc>
        <w:tc>
          <w:tcPr>
            <w:tcW w:w="1207"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ascii="宋体" w:hAnsi="宋体" w:eastAsia="宋体" w:cs="宋体"/>
                <w:color w:val="000000"/>
                <w:sz w:val="18"/>
                <w:szCs w:val="18"/>
              </w:rPr>
              <w:t>3</w:t>
            </w:r>
          </w:p>
        </w:tc>
      </w:tr>
    </w:tbl>
    <w:p>
      <w:pPr>
        <w:pStyle w:val="16"/>
        <w:jc w:val="center"/>
      </w:pPr>
      <w:r>
        <w:rPr>
          <w:rFonts w:hint="eastAsia"/>
        </w:rPr>
        <w:t>表格 6氧气机房综合监控点表</w:t>
      </w:r>
    </w:p>
    <w:p/>
    <w:tbl>
      <w:tblPr>
        <w:tblStyle w:val="29"/>
        <w:tblW w:w="5000" w:type="pct"/>
        <w:tblInd w:w="0" w:type="dxa"/>
        <w:tblLayout w:type="autofit"/>
        <w:tblCellMar>
          <w:top w:w="0" w:type="dxa"/>
          <w:left w:w="0" w:type="dxa"/>
          <w:bottom w:w="0" w:type="dxa"/>
          <w:right w:w="0" w:type="dxa"/>
        </w:tblCellMar>
      </w:tblPr>
      <w:tblGrid>
        <w:gridCol w:w="885"/>
        <w:gridCol w:w="888"/>
        <w:gridCol w:w="1997"/>
        <w:gridCol w:w="1832"/>
        <w:gridCol w:w="886"/>
        <w:gridCol w:w="1838"/>
      </w:tblGrid>
      <w:tr>
        <w:tblPrEx>
          <w:tblCellMar>
            <w:top w:w="0" w:type="dxa"/>
            <w:left w:w="0" w:type="dxa"/>
            <w:bottom w:w="0" w:type="dxa"/>
            <w:right w:w="0" w:type="dxa"/>
          </w:tblCellMar>
        </w:tblPrEx>
        <w:trPr>
          <w:trHeight w:val="9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正负压机房综合监控</w:t>
            </w:r>
          </w:p>
        </w:tc>
      </w:tr>
      <w:tr>
        <w:tblPrEx>
          <w:tblCellMar>
            <w:top w:w="0" w:type="dxa"/>
            <w:left w:w="0" w:type="dxa"/>
            <w:bottom w:w="0" w:type="dxa"/>
            <w:right w:w="0" w:type="dxa"/>
          </w:tblCellMar>
        </w:tblPrEx>
        <w:trPr>
          <w:trHeight w:val="360" w:hRule="atLeast"/>
        </w:trPr>
        <w:tc>
          <w:tcPr>
            <w:tcW w:w="532"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位置</w:t>
            </w:r>
          </w:p>
        </w:tc>
        <w:tc>
          <w:tcPr>
            <w:tcW w:w="533"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楼层</w:t>
            </w:r>
          </w:p>
        </w:tc>
        <w:tc>
          <w:tcPr>
            <w:tcW w:w="2299" w:type="pct"/>
            <w:gridSpan w:val="2"/>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相关设备及传感器</w:t>
            </w:r>
          </w:p>
        </w:tc>
        <w:tc>
          <w:tcPr>
            <w:tcW w:w="1636" w:type="pct"/>
            <w:gridSpan w:val="2"/>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机房环境</w:t>
            </w:r>
          </w:p>
        </w:tc>
      </w:tr>
      <w:tr>
        <w:tblPrEx>
          <w:tblCellMar>
            <w:top w:w="0" w:type="dxa"/>
            <w:left w:w="0" w:type="dxa"/>
            <w:bottom w:w="0" w:type="dxa"/>
            <w:right w:w="0" w:type="dxa"/>
          </w:tblCellMar>
        </w:tblPrEx>
        <w:trPr>
          <w:trHeight w:val="375" w:hRule="atLeast"/>
        </w:trPr>
        <w:tc>
          <w:tcPr>
            <w:tcW w:w="532"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rPr>
                <w:rFonts w:ascii="宋体" w:hAnsi="宋体" w:eastAsia="宋体" w:cs="宋体"/>
                <w:color w:val="000000"/>
                <w:sz w:val="18"/>
                <w:szCs w:val="18"/>
              </w:rPr>
            </w:pPr>
          </w:p>
        </w:tc>
        <w:tc>
          <w:tcPr>
            <w:tcW w:w="533"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rPr>
                <w:rFonts w:ascii="宋体" w:hAnsi="宋体" w:eastAsia="宋体" w:cs="宋体"/>
                <w:color w:val="000000"/>
                <w:sz w:val="18"/>
                <w:szCs w:val="18"/>
              </w:rPr>
            </w:pPr>
          </w:p>
        </w:tc>
        <w:tc>
          <w:tcPr>
            <w:tcW w:w="1199"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8路开关 量模块</w:t>
            </w:r>
          </w:p>
        </w:tc>
        <w:tc>
          <w:tcPr>
            <w:tcW w:w="110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压力传感器</w:t>
            </w:r>
          </w:p>
        </w:tc>
        <w:tc>
          <w:tcPr>
            <w:tcW w:w="53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人脸识别</w:t>
            </w:r>
          </w:p>
        </w:tc>
        <w:tc>
          <w:tcPr>
            <w:tcW w:w="1104"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温湿度 传感器</w:t>
            </w:r>
          </w:p>
        </w:tc>
      </w:tr>
      <w:tr>
        <w:tblPrEx>
          <w:tblCellMar>
            <w:top w:w="0" w:type="dxa"/>
            <w:left w:w="0" w:type="dxa"/>
            <w:bottom w:w="0" w:type="dxa"/>
            <w:right w:w="0" w:type="dxa"/>
          </w:tblCellMar>
        </w:tblPrEx>
        <w:trPr>
          <w:trHeight w:val="90" w:hRule="atLeast"/>
        </w:trPr>
        <w:tc>
          <w:tcPr>
            <w:tcW w:w="53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三墩院区</w:t>
            </w:r>
          </w:p>
        </w:tc>
        <w:tc>
          <w:tcPr>
            <w:tcW w:w="533"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B1F</w:t>
            </w:r>
          </w:p>
        </w:tc>
        <w:tc>
          <w:tcPr>
            <w:tcW w:w="1199"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3</w:t>
            </w:r>
          </w:p>
        </w:tc>
        <w:tc>
          <w:tcPr>
            <w:tcW w:w="110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6</w:t>
            </w:r>
          </w:p>
        </w:tc>
        <w:tc>
          <w:tcPr>
            <w:tcW w:w="53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5</w:t>
            </w:r>
          </w:p>
        </w:tc>
        <w:tc>
          <w:tcPr>
            <w:tcW w:w="1104"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3</w:t>
            </w:r>
          </w:p>
        </w:tc>
      </w:tr>
      <w:tr>
        <w:tblPrEx>
          <w:tblCellMar>
            <w:top w:w="0" w:type="dxa"/>
            <w:left w:w="0" w:type="dxa"/>
            <w:bottom w:w="0" w:type="dxa"/>
            <w:right w:w="0" w:type="dxa"/>
          </w:tblCellMar>
        </w:tblPrEx>
        <w:trPr>
          <w:trHeight w:val="90" w:hRule="atLeast"/>
        </w:trPr>
        <w:tc>
          <w:tcPr>
            <w:tcW w:w="53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灵隐院区</w:t>
            </w:r>
          </w:p>
        </w:tc>
        <w:tc>
          <w:tcPr>
            <w:tcW w:w="533"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B1F</w:t>
            </w:r>
            <w:r>
              <w:rPr>
                <w:rFonts w:hint="eastAsia" w:ascii="宋体" w:hAnsi="宋体" w:eastAsia="宋体" w:cs="宋体"/>
                <w:color w:val="000000"/>
                <w:kern w:val="0"/>
                <w:sz w:val="18"/>
                <w:szCs w:val="18"/>
                <w:lang w:bidi="ar"/>
              </w:rPr>
              <w:t>、1F</w:t>
            </w:r>
          </w:p>
        </w:tc>
        <w:tc>
          <w:tcPr>
            <w:tcW w:w="1199"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5</w:t>
            </w:r>
          </w:p>
        </w:tc>
        <w:tc>
          <w:tcPr>
            <w:tcW w:w="110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hint="eastAsia" w:ascii="宋体" w:hAnsi="宋体" w:eastAsia="宋体" w:cs="宋体"/>
                <w:color w:val="000000"/>
                <w:sz w:val="18"/>
                <w:szCs w:val="18"/>
              </w:rPr>
              <w:t>1</w:t>
            </w:r>
            <w:r>
              <w:rPr>
                <w:rFonts w:ascii="宋体" w:hAnsi="宋体" w:eastAsia="宋体" w:cs="宋体"/>
                <w:color w:val="000000"/>
                <w:sz w:val="18"/>
                <w:szCs w:val="18"/>
              </w:rPr>
              <w:t>0</w:t>
            </w:r>
          </w:p>
        </w:tc>
        <w:tc>
          <w:tcPr>
            <w:tcW w:w="53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hint="eastAsia" w:ascii="宋体" w:hAnsi="宋体" w:eastAsia="宋体" w:cs="宋体"/>
                <w:color w:val="000000"/>
                <w:sz w:val="18"/>
                <w:szCs w:val="18"/>
              </w:rPr>
              <w:t>1</w:t>
            </w:r>
            <w:r>
              <w:rPr>
                <w:rFonts w:ascii="宋体" w:hAnsi="宋体" w:eastAsia="宋体" w:cs="宋体"/>
                <w:color w:val="000000"/>
                <w:sz w:val="18"/>
                <w:szCs w:val="18"/>
              </w:rPr>
              <w:t>0</w:t>
            </w:r>
          </w:p>
        </w:tc>
        <w:tc>
          <w:tcPr>
            <w:tcW w:w="1104"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hint="eastAsia" w:ascii="宋体" w:hAnsi="宋体" w:eastAsia="宋体" w:cs="宋体"/>
                <w:color w:val="000000"/>
                <w:sz w:val="18"/>
                <w:szCs w:val="18"/>
              </w:rPr>
              <w:t>5</w:t>
            </w:r>
          </w:p>
        </w:tc>
      </w:tr>
      <w:tr>
        <w:tblPrEx>
          <w:tblCellMar>
            <w:top w:w="0" w:type="dxa"/>
            <w:left w:w="0" w:type="dxa"/>
            <w:bottom w:w="0" w:type="dxa"/>
            <w:right w:w="0" w:type="dxa"/>
          </w:tblCellMar>
        </w:tblPrEx>
        <w:trPr>
          <w:trHeight w:val="90" w:hRule="atLeast"/>
        </w:trPr>
        <w:tc>
          <w:tcPr>
            <w:tcW w:w="1065" w:type="pct"/>
            <w:gridSpan w:val="2"/>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left"/>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合计</w:t>
            </w:r>
          </w:p>
        </w:tc>
        <w:tc>
          <w:tcPr>
            <w:tcW w:w="1199"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8</w:t>
            </w:r>
          </w:p>
        </w:tc>
        <w:tc>
          <w:tcPr>
            <w:tcW w:w="110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16</w:t>
            </w:r>
          </w:p>
        </w:tc>
        <w:tc>
          <w:tcPr>
            <w:tcW w:w="53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15</w:t>
            </w:r>
          </w:p>
        </w:tc>
        <w:tc>
          <w:tcPr>
            <w:tcW w:w="1104"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right"/>
              <w:textAlignment w:val="center"/>
              <w:rPr>
                <w:rFonts w:ascii="宋体" w:hAnsi="宋体" w:eastAsia="宋体" w:cs="宋体"/>
                <w:color w:val="000000"/>
                <w:sz w:val="18"/>
                <w:szCs w:val="18"/>
              </w:rPr>
            </w:pPr>
            <w:r>
              <w:rPr>
                <w:rFonts w:ascii="宋体" w:hAnsi="宋体" w:eastAsia="宋体" w:cs="宋体"/>
                <w:color w:val="000000"/>
                <w:kern w:val="0"/>
                <w:sz w:val="18"/>
                <w:szCs w:val="18"/>
                <w:lang w:bidi="ar"/>
              </w:rPr>
              <w:t>8</w:t>
            </w:r>
          </w:p>
        </w:tc>
      </w:tr>
    </w:tbl>
    <w:p>
      <w:pPr>
        <w:pStyle w:val="16"/>
        <w:jc w:val="center"/>
      </w:pPr>
    </w:p>
    <w:p>
      <w:pPr>
        <w:pStyle w:val="16"/>
        <w:jc w:val="center"/>
      </w:pPr>
      <w:r>
        <w:rPr>
          <w:rFonts w:hint="eastAsia"/>
        </w:rPr>
        <w:t>表格 7</w:t>
      </w:r>
      <w:r>
        <w:t xml:space="preserve"> </w:t>
      </w:r>
      <w:r>
        <w:rPr>
          <w:rFonts w:hint="eastAsia"/>
        </w:rPr>
        <w:t>正负压机房综合监控点表</w:t>
      </w:r>
    </w:p>
    <w:p>
      <w:pPr>
        <w:pStyle w:val="5"/>
        <w:keepNext/>
        <w:ind w:left="782" w:firstLine="0" w:firstLineChars="0"/>
      </w:pPr>
      <w:r>
        <w:rPr>
          <w:rFonts w:hint="eastAsia"/>
        </w:rPr>
        <w:t>建成效果如图（部分）：</w:t>
      </w:r>
    </w:p>
    <w:p>
      <w:pPr>
        <w:ind w:firstLine="420" w:firstLineChars="200"/>
      </w:pPr>
    </w:p>
    <w:p>
      <w:pPr>
        <w:pStyle w:val="5"/>
        <w:keepNext/>
        <w:ind w:left="780" w:firstLine="0" w:firstLineChars="0"/>
      </w:pPr>
      <w:r>
        <w:rPr>
          <w:sz w:val="18"/>
          <w:szCs w:val="18"/>
        </w:rPr>
        <w:drawing>
          <wp:inline distT="0" distB="0" distL="0" distR="0">
            <wp:extent cx="4082415" cy="2352675"/>
            <wp:effectExtent l="0" t="0" r="0" b="0"/>
            <wp:docPr id="5" name="图片 5" descr="F:\项目文件\浙江大学医学院附属第一医院\截屏\氧气站.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项目文件\浙江大学医学院附属第一医院\截屏\氧气站.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091279" cy="2357436"/>
                    </a:xfrm>
                    <a:prstGeom prst="rect">
                      <a:avLst/>
                    </a:prstGeom>
                    <a:noFill/>
                    <a:ln>
                      <a:noFill/>
                    </a:ln>
                  </pic:spPr>
                </pic:pic>
              </a:graphicData>
            </a:graphic>
          </wp:inline>
        </w:drawing>
      </w:r>
    </w:p>
    <w:p>
      <w:pPr>
        <w:pStyle w:val="1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13</w:t>
      </w:r>
      <w:r>
        <w:fldChar w:fldCharType="end"/>
      </w:r>
      <w:r>
        <w:t xml:space="preserve"> </w:t>
      </w:r>
      <w:r>
        <w:rPr>
          <w:rFonts w:hint="eastAsia"/>
        </w:rPr>
        <w:t>氧气站综合监控组态图（平台端）</w:t>
      </w:r>
    </w:p>
    <w:p>
      <w:pPr>
        <w:pStyle w:val="5"/>
        <w:ind w:left="780" w:firstLine="0" w:firstLineChars="0"/>
      </w:pPr>
    </w:p>
    <w:p>
      <w:pPr>
        <w:pStyle w:val="8"/>
      </w:pPr>
      <w:r>
        <w:rPr>
          <w:rFonts w:hint="eastAsia"/>
        </w:rPr>
        <w:t>排污系统综合监控（加装表计）</w:t>
      </w:r>
    </w:p>
    <w:p>
      <w:pPr>
        <w:ind w:firstLine="420" w:firstLineChars="200"/>
        <w:rPr>
          <w:b/>
          <w:bCs/>
        </w:rPr>
      </w:pPr>
      <w:r>
        <w:rPr>
          <w:rFonts w:hint="eastAsia"/>
        </w:rPr>
        <w:t>医院排污系统目前缺乏有效的信息化工具，通过加装环境监控，人脸识别视频监控等设备，提升系统监控能力。</w:t>
      </w:r>
    </w:p>
    <w:tbl>
      <w:tblPr>
        <w:tblStyle w:val="29"/>
        <w:tblW w:w="5000" w:type="pct"/>
        <w:tblInd w:w="0" w:type="dxa"/>
        <w:tblLayout w:type="autofit"/>
        <w:tblCellMar>
          <w:top w:w="0" w:type="dxa"/>
          <w:left w:w="0" w:type="dxa"/>
          <w:bottom w:w="0" w:type="dxa"/>
          <w:right w:w="0" w:type="dxa"/>
        </w:tblCellMar>
      </w:tblPr>
      <w:tblGrid>
        <w:gridCol w:w="774"/>
        <w:gridCol w:w="230"/>
        <w:gridCol w:w="1077"/>
        <w:gridCol w:w="320"/>
        <w:gridCol w:w="1239"/>
        <w:gridCol w:w="1647"/>
        <w:gridCol w:w="2175"/>
        <w:gridCol w:w="864"/>
      </w:tblGrid>
      <w:tr>
        <w:tblPrEx>
          <w:tblCellMar>
            <w:top w:w="0" w:type="dxa"/>
            <w:left w:w="0" w:type="dxa"/>
            <w:bottom w:w="0" w:type="dxa"/>
            <w:right w:w="0" w:type="dxa"/>
          </w:tblCellMar>
        </w:tblPrEx>
        <w:trPr>
          <w:trHeight w:val="365" w:hRule="atLeast"/>
        </w:trPr>
        <w:tc>
          <w:tcPr>
            <w:tcW w:w="5000" w:type="pct"/>
            <w:gridSpan w:val="8"/>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污水处理综合监控</w:t>
            </w:r>
          </w:p>
        </w:tc>
      </w:tr>
      <w:tr>
        <w:tblPrEx>
          <w:tblCellMar>
            <w:top w:w="0" w:type="dxa"/>
            <w:left w:w="0" w:type="dxa"/>
            <w:bottom w:w="0" w:type="dxa"/>
            <w:right w:w="0" w:type="dxa"/>
          </w:tblCellMar>
        </w:tblPrEx>
        <w:trPr>
          <w:trHeight w:val="295" w:hRule="atLeast"/>
        </w:trPr>
        <w:tc>
          <w:tcPr>
            <w:tcW w:w="465"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位置</w:t>
            </w:r>
          </w:p>
        </w:tc>
        <w:tc>
          <w:tcPr>
            <w:tcW w:w="138"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楼层</w:t>
            </w:r>
          </w:p>
        </w:tc>
        <w:tc>
          <w:tcPr>
            <w:tcW w:w="647"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监测位置</w:t>
            </w:r>
          </w:p>
        </w:tc>
        <w:tc>
          <w:tcPr>
            <w:tcW w:w="19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数量</w:t>
            </w:r>
          </w:p>
        </w:tc>
        <w:tc>
          <w:tcPr>
            <w:tcW w:w="744"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监测内容</w:t>
            </w:r>
          </w:p>
        </w:tc>
        <w:tc>
          <w:tcPr>
            <w:tcW w:w="989"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环境监控</w:t>
            </w:r>
          </w:p>
        </w:tc>
        <w:tc>
          <w:tcPr>
            <w:tcW w:w="1306"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设备状态</w:t>
            </w:r>
          </w:p>
        </w:tc>
        <w:tc>
          <w:tcPr>
            <w:tcW w:w="519"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人脸监控</w:t>
            </w:r>
          </w:p>
        </w:tc>
      </w:tr>
      <w:tr>
        <w:tblPrEx>
          <w:tblCellMar>
            <w:top w:w="0" w:type="dxa"/>
            <w:left w:w="0" w:type="dxa"/>
            <w:bottom w:w="0" w:type="dxa"/>
            <w:right w:w="0" w:type="dxa"/>
          </w:tblCellMar>
        </w:tblPrEx>
        <w:trPr>
          <w:trHeight w:val="295" w:hRule="atLeast"/>
        </w:trPr>
        <w:tc>
          <w:tcPr>
            <w:tcW w:w="465"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三墩院区</w:t>
            </w:r>
          </w:p>
        </w:tc>
        <w:tc>
          <w:tcPr>
            <w:tcW w:w="138"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1F</w:t>
            </w:r>
          </w:p>
        </w:tc>
        <w:tc>
          <w:tcPr>
            <w:tcW w:w="647"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主要设备控制柜</w:t>
            </w:r>
          </w:p>
        </w:tc>
        <w:tc>
          <w:tcPr>
            <w:tcW w:w="19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w:t>
            </w:r>
          </w:p>
        </w:tc>
        <w:tc>
          <w:tcPr>
            <w:tcW w:w="744"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设备运行状态，环境监控，安全监控</w:t>
            </w:r>
          </w:p>
        </w:tc>
        <w:tc>
          <w:tcPr>
            <w:tcW w:w="989"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w:t>
            </w:r>
          </w:p>
        </w:tc>
        <w:tc>
          <w:tcPr>
            <w:tcW w:w="1306"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w:t>
            </w:r>
          </w:p>
        </w:tc>
        <w:tc>
          <w:tcPr>
            <w:tcW w:w="519"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w:t>
            </w:r>
          </w:p>
        </w:tc>
      </w:tr>
      <w:tr>
        <w:tblPrEx>
          <w:tblCellMar>
            <w:top w:w="0" w:type="dxa"/>
            <w:left w:w="0" w:type="dxa"/>
            <w:bottom w:w="0" w:type="dxa"/>
            <w:right w:w="0" w:type="dxa"/>
          </w:tblCellMar>
        </w:tblPrEx>
        <w:trPr>
          <w:trHeight w:val="312" w:hRule="atLeast"/>
        </w:trPr>
        <w:tc>
          <w:tcPr>
            <w:tcW w:w="465"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灵隐院区</w:t>
            </w:r>
          </w:p>
        </w:tc>
        <w:tc>
          <w:tcPr>
            <w:tcW w:w="138"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1F</w:t>
            </w:r>
          </w:p>
        </w:tc>
        <w:tc>
          <w:tcPr>
            <w:tcW w:w="647"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主要设备控制柜</w:t>
            </w:r>
          </w:p>
        </w:tc>
        <w:tc>
          <w:tcPr>
            <w:tcW w:w="192"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1</w:t>
            </w:r>
          </w:p>
        </w:tc>
        <w:tc>
          <w:tcPr>
            <w:tcW w:w="744"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设备运行状态，环境监控，安全监控</w:t>
            </w:r>
          </w:p>
        </w:tc>
        <w:tc>
          <w:tcPr>
            <w:tcW w:w="989"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1</w:t>
            </w:r>
          </w:p>
        </w:tc>
        <w:tc>
          <w:tcPr>
            <w:tcW w:w="1306"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1</w:t>
            </w:r>
          </w:p>
        </w:tc>
        <w:tc>
          <w:tcPr>
            <w:tcW w:w="519"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1</w:t>
            </w:r>
          </w:p>
        </w:tc>
      </w:tr>
      <w:tr>
        <w:tblPrEx>
          <w:tblCellMar>
            <w:top w:w="0" w:type="dxa"/>
            <w:left w:w="0" w:type="dxa"/>
            <w:bottom w:w="0" w:type="dxa"/>
            <w:right w:w="0" w:type="dxa"/>
          </w:tblCellMar>
        </w:tblPrEx>
        <w:trPr>
          <w:trHeight w:val="575" w:hRule="atLeast"/>
        </w:trPr>
        <w:tc>
          <w:tcPr>
            <w:tcW w:w="465"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center"/>
              <w:rPr>
                <w:rFonts w:ascii="宋体" w:hAnsi="宋体" w:eastAsia="宋体" w:cs="宋体"/>
                <w:color w:val="000000"/>
                <w:sz w:val="18"/>
                <w:szCs w:val="18"/>
              </w:rPr>
            </w:pPr>
          </w:p>
        </w:tc>
        <w:tc>
          <w:tcPr>
            <w:tcW w:w="138"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center"/>
              <w:rPr>
                <w:rFonts w:ascii="宋体" w:hAnsi="宋体" w:eastAsia="宋体" w:cs="宋体"/>
                <w:color w:val="000000"/>
                <w:sz w:val="18"/>
                <w:szCs w:val="18"/>
              </w:rPr>
            </w:pPr>
          </w:p>
        </w:tc>
        <w:tc>
          <w:tcPr>
            <w:tcW w:w="64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center"/>
              <w:rPr>
                <w:rFonts w:ascii="宋体" w:hAnsi="宋体" w:eastAsia="宋体" w:cs="宋体"/>
                <w:color w:val="000000"/>
                <w:sz w:val="18"/>
                <w:szCs w:val="18"/>
              </w:rPr>
            </w:pPr>
          </w:p>
        </w:tc>
        <w:tc>
          <w:tcPr>
            <w:tcW w:w="192"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center"/>
              <w:rPr>
                <w:rFonts w:ascii="宋体" w:hAnsi="宋体" w:eastAsia="宋体" w:cs="宋体"/>
                <w:color w:val="000000"/>
                <w:sz w:val="18"/>
                <w:szCs w:val="18"/>
              </w:rPr>
            </w:pPr>
          </w:p>
        </w:tc>
        <w:tc>
          <w:tcPr>
            <w:tcW w:w="744"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center"/>
              <w:rPr>
                <w:rFonts w:ascii="宋体" w:hAnsi="宋体" w:eastAsia="宋体" w:cs="宋体"/>
                <w:color w:val="000000"/>
                <w:sz w:val="18"/>
                <w:szCs w:val="18"/>
              </w:rPr>
            </w:pPr>
          </w:p>
        </w:tc>
        <w:tc>
          <w:tcPr>
            <w:tcW w:w="989"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center"/>
              <w:rPr>
                <w:rFonts w:ascii="宋体" w:hAnsi="宋体" w:eastAsia="宋体" w:cs="宋体"/>
                <w:color w:val="000000"/>
                <w:sz w:val="18"/>
                <w:szCs w:val="18"/>
              </w:rPr>
            </w:pPr>
          </w:p>
        </w:tc>
        <w:tc>
          <w:tcPr>
            <w:tcW w:w="1306"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center"/>
              <w:rPr>
                <w:rFonts w:ascii="宋体" w:hAnsi="宋体" w:eastAsia="宋体" w:cs="宋体"/>
                <w:color w:val="000000"/>
                <w:sz w:val="18"/>
                <w:szCs w:val="18"/>
              </w:rPr>
            </w:pPr>
          </w:p>
        </w:tc>
        <w:tc>
          <w:tcPr>
            <w:tcW w:w="519"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spacing w:line="240" w:lineRule="auto"/>
              <w:jc w:val="center"/>
              <w:rPr>
                <w:rFonts w:ascii="宋体" w:hAnsi="宋体" w:eastAsia="宋体" w:cs="宋体"/>
                <w:color w:val="000000"/>
                <w:sz w:val="18"/>
                <w:szCs w:val="18"/>
              </w:rPr>
            </w:pPr>
          </w:p>
        </w:tc>
      </w:tr>
      <w:tr>
        <w:tblPrEx>
          <w:tblCellMar>
            <w:top w:w="0" w:type="dxa"/>
            <w:left w:w="0" w:type="dxa"/>
            <w:bottom w:w="0" w:type="dxa"/>
            <w:right w:w="0" w:type="dxa"/>
          </w:tblCellMar>
        </w:tblPrEx>
        <w:trPr>
          <w:trHeight w:val="295" w:hRule="atLeast"/>
        </w:trPr>
        <w:tc>
          <w:tcPr>
            <w:tcW w:w="2186" w:type="pct"/>
            <w:gridSpan w:val="5"/>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合计</w:t>
            </w:r>
          </w:p>
        </w:tc>
        <w:tc>
          <w:tcPr>
            <w:tcW w:w="989"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1</w:t>
            </w:r>
          </w:p>
        </w:tc>
        <w:tc>
          <w:tcPr>
            <w:tcW w:w="1306"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1</w:t>
            </w:r>
          </w:p>
        </w:tc>
        <w:tc>
          <w:tcPr>
            <w:tcW w:w="519"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widowControl/>
              <w:spacing w:line="240" w:lineRule="auto"/>
              <w:jc w:val="center"/>
              <w:textAlignment w:val="center"/>
              <w:rPr>
                <w:rFonts w:ascii="宋体" w:hAnsi="宋体" w:eastAsia="宋体" w:cs="宋体"/>
                <w:color w:val="000000"/>
                <w:sz w:val="18"/>
                <w:szCs w:val="18"/>
              </w:rPr>
            </w:pPr>
            <w:r>
              <w:rPr>
                <w:rFonts w:hint="eastAsia" w:ascii="宋体" w:hAnsi="宋体" w:eastAsia="宋体" w:cs="宋体"/>
                <w:color w:val="000000"/>
                <w:kern w:val="0"/>
                <w:sz w:val="18"/>
                <w:szCs w:val="18"/>
                <w:lang w:bidi="ar"/>
              </w:rPr>
              <w:t>1</w:t>
            </w:r>
          </w:p>
        </w:tc>
      </w:tr>
    </w:tbl>
    <w:p>
      <w:pPr>
        <w:pStyle w:val="16"/>
        <w:jc w:val="center"/>
      </w:pPr>
    </w:p>
    <w:p>
      <w:pPr>
        <w:pStyle w:val="16"/>
        <w:jc w:val="center"/>
        <w:rPr>
          <w:b/>
          <w:bCs/>
        </w:rPr>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fldChar w:fldCharType="end"/>
      </w:r>
      <w:r>
        <w:rPr>
          <w:rFonts w:hint="eastAsia"/>
        </w:rPr>
        <w:t>8</w:t>
      </w:r>
      <w:r>
        <w:t xml:space="preserve"> </w:t>
      </w:r>
      <w:r>
        <w:rPr>
          <w:rFonts w:hint="eastAsia"/>
        </w:rPr>
        <w:t>污水处理综合监控点表</w:t>
      </w:r>
    </w:p>
    <w:p>
      <w:pPr>
        <w:widowControl/>
        <w:spacing w:line="240" w:lineRule="auto"/>
        <w:jc w:val="left"/>
        <w:rPr>
          <w:rFonts w:ascii="宋体" w:hAnsi="Times New Roman" w:eastAsia="宋体" w:cs="Times New Roman"/>
          <w:b/>
          <w:kern w:val="0"/>
          <w:sz w:val="32"/>
          <w:szCs w:val="20"/>
        </w:rPr>
      </w:pPr>
      <w:r>
        <w:br w:type="page"/>
      </w:r>
    </w:p>
    <w:p>
      <w:pPr>
        <w:pStyle w:val="6"/>
      </w:pPr>
      <w:bookmarkStart w:id="11" w:name="_Toc83290254"/>
      <w:r>
        <w:rPr>
          <w:rFonts w:hint="eastAsia"/>
        </w:rPr>
        <w:t>智慧后勤一站式服务中心建设</w:t>
      </w:r>
      <w:bookmarkEnd w:id="11"/>
    </w:p>
    <w:p>
      <w:pPr>
        <w:pStyle w:val="52"/>
        <w:spacing w:line="360" w:lineRule="auto"/>
        <w:ind w:firstLine="420" w:firstLineChars="200"/>
        <w:rPr>
          <w:rFonts w:ascii="宋体" w:hAnsi="宋体"/>
          <w:szCs w:val="21"/>
        </w:rPr>
      </w:pPr>
      <w:r>
        <w:rPr>
          <w:rFonts w:hint="eastAsia" w:ascii="宋体" w:hAnsi="宋体"/>
          <w:szCs w:val="21"/>
        </w:rPr>
        <w:t>面向医院各个角色、层级，在平台上建立兼具系统监控、服务受理、集中调度、应急处置、综合指挥等多中心职能的</w:t>
      </w:r>
      <w:r>
        <w:rPr>
          <w:rFonts w:hint="eastAsia" w:ascii="宋体" w:hAnsi="宋体"/>
          <w:b/>
          <w:szCs w:val="21"/>
        </w:rPr>
        <w:t>一站式管理中心</w:t>
      </w:r>
      <w:r>
        <w:rPr>
          <w:rFonts w:hint="eastAsia" w:ascii="宋体" w:hAnsi="宋体"/>
          <w:szCs w:val="21"/>
        </w:rPr>
        <w:t>、</w:t>
      </w:r>
      <w:r>
        <w:rPr>
          <w:rFonts w:hint="eastAsia" w:ascii="宋体" w:hAnsi="宋体"/>
          <w:b/>
          <w:szCs w:val="21"/>
        </w:rPr>
        <w:t>一站式运维中心</w:t>
      </w:r>
      <w:r>
        <w:rPr>
          <w:rFonts w:hint="eastAsia" w:ascii="宋体" w:hAnsi="宋体"/>
          <w:szCs w:val="21"/>
        </w:rPr>
        <w:t>和</w:t>
      </w:r>
      <w:r>
        <w:rPr>
          <w:rFonts w:hint="eastAsia" w:ascii="宋体" w:hAnsi="宋体"/>
          <w:b/>
          <w:szCs w:val="21"/>
        </w:rPr>
        <w:t>一站式服务中心</w:t>
      </w:r>
      <w:r>
        <w:rPr>
          <w:rFonts w:hint="eastAsia" w:ascii="宋体" w:hAnsi="宋体"/>
          <w:szCs w:val="21"/>
        </w:rPr>
        <w:t>。并借助统一的平台、专业的管家团队，实现后勤多业务在内的统一闭环管理。</w:t>
      </w:r>
    </w:p>
    <w:p>
      <w:pPr>
        <w:pStyle w:val="52"/>
        <w:keepNext/>
        <w:spacing w:line="360" w:lineRule="auto"/>
      </w:pPr>
      <w:r>
        <w:drawing>
          <wp:inline distT="0" distB="0" distL="0" distR="0">
            <wp:extent cx="5181600" cy="2364105"/>
            <wp:effectExtent l="0" t="0" r="0" b="0"/>
            <wp:docPr id="2" name="图片 2" descr="C:\Users\byp20\AppData\Local\Temp\16121411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byp20\AppData\Local\Temp\1612141126(1).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218972" cy="2381738"/>
                    </a:xfrm>
                    <a:prstGeom prst="rect">
                      <a:avLst/>
                    </a:prstGeom>
                    <a:noFill/>
                    <a:ln>
                      <a:noFill/>
                    </a:ln>
                  </pic:spPr>
                </pic:pic>
              </a:graphicData>
            </a:graphic>
          </wp:inline>
        </w:drawing>
      </w:r>
    </w:p>
    <w:p>
      <w:pPr>
        <w:pStyle w:val="16"/>
        <w:jc w:val="center"/>
        <w:rPr>
          <w:rFonts w:ascii="宋体" w:hAnsi="宋体"/>
          <w:szCs w:val="21"/>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14</w:t>
      </w:r>
      <w:r>
        <w:fldChar w:fldCharType="end"/>
      </w:r>
      <w:r>
        <w:t xml:space="preserve"> </w:t>
      </w:r>
      <w:r>
        <w:rPr>
          <w:rFonts w:hint="eastAsia"/>
        </w:rPr>
        <w:t>一站式服务中心</w:t>
      </w:r>
      <w:r>
        <w:t>web</w:t>
      </w:r>
      <w:r>
        <w:rPr>
          <w:rFonts w:hint="eastAsia"/>
        </w:rPr>
        <w:t>界面</w:t>
      </w:r>
    </w:p>
    <w:p>
      <w:pPr>
        <w:pStyle w:val="52"/>
        <w:keepNext/>
        <w:spacing w:line="360" w:lineRule="auto"/>
      </w:pPr>
      <w:r>
        <w:drawing>
          <wp:inline distT="0" distB="0" distL="0" distR="0">
            <wp:extent cx="5274310" cy="257683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7"/>
                    <a:stretch>
                      <a:fillRect/>
                    </a:stretch>
                  </pic:blipFill>
                  <pic:spPr>
                    <a:xfrm>
                      <a:off x="0" y="0"/>
                      <a:ext cx="5274310" cy="2576830"/>
                    </a:xfrm>
                    <a:prstGeom prst="rect">
                      <a:avLst/>
                    </a:prstGeom>
                  </pic:spPr>
                </pic:pic>
              </a:graphicData>
            </a:graphic>
          </wp:inline>
        </w:drawing>
      </w:r>
    </w:p>
    <w:p>
      <w:pPr>
        <w:pStyle w:val="16"/>
        <w:jc w:val="center"/>
        <w:rPr>
          <w:rFonts w:ascii="宋体" w:hAnsi="宋体"/>
          <w:szCs w:val="21"/>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15</w:t>
      </w:r>
      <w:r>
        <w:fldChar w:fldCharType="end"/>
      </w:r>
      <w:r>
        <w:t xml:space="preserve"> </w:t>
      </w:r>
      <w:r>
        <w:rPr>
          <w:rFonts w:hint="eastAsia"/>
        </w:rPr>
        <w:t>后勤一站式服务模型</w:t>
      </w:r>
    </w:p>
    <w:p>
      <w:pPr>
        <w:pStyle w:val="8"/>
      </w:pPr>
      <w:r>
        <w:rPr>
          <w:rFonts w:hint="eastAsia"/>
        </w:rPr>
        <w:t>一站式服务中心构成</w:t>
      </w:r>
    </w:p>
    <w:p>
      <w:pPr>
        <w:pStyle w:val="52"/>
        <w:numPr>
          <w:ilvl w:val="0"/>
          <w:numId w:val="9"/>
        </w:numPr>
        <w:spacing w:line="360" w:lineRule="auto"/>
        <w:rPr>
          <w:rFonts w:ascii="宋体" w:hAnsi="宋体"/>
          <w:b/>
          <w:szCs w:val="21"/>
        </w:rPr>
      </w:pPr>
      <w:r>
        <w:rPr>
          <w:rFonts w:hint="eastAsia" w:ascii="宋体" w:hAnsi="宋体"/>
          <w:b/>
          <w:szCs w:val="21"/>
        </w:rPr>
        <w:t>一站式客服中心：</w:t>
      </w:r>
    </w:p>
    <w:p>
      <w:pPr>
        <w:pStyle w:val="52"/>
        <w:spacing w:line="360" w:lineRule="auto"/>
        <w:ind w:firstLine="420" w:firstLineChars="200"/>
        <w:rPr>
          <w:rFonts w:ascii="宋体" w:hAnsi="宋体"/>
          <w:szCs w:val="21"/>
        </w:rPr>
      </w:pPr>
      <w:r>
        <w:rPr>
          <w:rFonts w:hint="eastAsia" w:ascii="宋体" w:hAnsi="宋体"/>
          <w:szCs w:val="21"/>
        </w:rPr>
        <w:t>面向医护患的所有后勤业务需求，建立一套统一入口，统一接单，统一跟踪和反馈的服务机制，提供及时、全程、全面、周到、闭环的服务</w:t>
      </w:r>
    </w:p>
    <w:p>
      <w:pPr>
        <w:pStyle w:val="52"/>
        <w:keepNext/>
        <w:spacing w:line="360" w:lineRule="auto"/>
        <w:ind w:firstLine="420" w:firstLineChars="200"/>
      </w:pPr>
      <w:r>
        <w:drawing>
          <wp:inline distT="0" distB="0" distL="0" distR="0">
            <wp:extent cx="5274310" cy="2305685"/>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8"/>
                    <a:stretch>
                      <a:fillRect/>
                    </a:stretch>
                  </pic:blipFill>
                  <pic:spPr>
                    <a:xfrm>
                      <a:off x="0" y="0"/>
                      <a:ext cx="5274310" cy="2305685"/>
                    </a:xfrm>
                    <a:prstGeom prst="rect">
                      <a:avLst/>
                    </a:prstGeom>
                  </pic:spPr>
                </pic:pic>
              </a:graphicData>
            </a:graphic>
          </wp:inline>
        </w:drawing>
      </w:r>
    </w:p>
    <w:p>
      <w:pPr>
        <w:pStyle w:val="16"/>
        <w:jc w:val="center"/>
        <w:rPr>
          <w:rFonts w:ascii="宋体" w:hAnsi="宋体"/>
          <w:szCs w:val="21"/>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16</w:t>
      </w:r>
      <w:r>
        <w:fldChar w:fldCharType="end"/>
      </w:r>
      <w:r>
        <w:t xml:space="preserve"> </w:t>
      </w:r>
      <w:r>
        <w:rPr>
          <w:rFonts w:hint="eastAsia"/>
        </w:rPr>
        <w:t>一站式客服中心模型</w:t>
      </w:r>
    </w:p>
    <w:p>
      <w:pPr>
        <w:pStyle w:val="52"/>
        <w:numPr>
          <w:ilvl w:val="0"/>
          <w:numId w:val="9"/>
        </w:numPr>
        <w:spacing w:line="360" w:lineRule="auto"/>
        <w:rPr>
          <w:rFonts w:ascii="宋体" w:hAnsi="宋体"/>
          <w:b/>
          <w:szCs w:val="21"/>
        </w:rPr>
      </w:pPr>
      <w:r>
        <w:rPr>
          <w:rFonts w:hint="eastAsia" w:ascii="宋体" w:hAnsi="宋体"/>
          <w:b/>
          <w:szCs w:val="21"/>
        </w:rPr>
        <w:t>一站式运维中心：</w:t>
      </w:r>
    </w:p>
    <w:p>
      <w:pPr>
        <w:pStyle w:val="52"/>
        <w:spacing w:line="360" w:lineRule="auto"/>
        <w:ind w:firstLine="420" w:firstLineChars="200"/>
        <w:rPr>
          <w:rFonts w:ascii="宋体" w:hAnsi="宋体"/>
          <w:szCs w:val="21"/>
        </w:rPr>
      </w:pPr>
      <w:r>
        <w:rPr>
          <w:rFonts w:hint="eastAsia" w:ascii="宋体" w:hAnsi="宋体"/>
          <w:szCs w:val="21"/>
        </w:rPr>
        <w:t>连通智慧数据平台综合监控子系统，通过可视化组态图呈现的实时指标能让运维管家对一次设备的实时运行数据进行盯盘查看，及时发现异常情况并进行处理，提高运维管家的运维及时率和有效性，以及运维效率。</w:t>
      </w:r>
    </w:p>
    <w:p>
      <w:pPr>
        <w:pStyle w:val="52"/>
        <w:keepNext/>
        <w:spacing w:line="360" w:lineRule="auto"/>
        <w:ind w:firstLine="420" w:firstLineChars="200"/>
      </w:pPr>
      <w:r>
        <w:drawing>
          <wp:inline distT="0" distB="0" distL="0" distR="0">
            <wp:extent cx="5274310" cy="2191385"/>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9"/>
                    <a:stretch>
                      <a:fillRect/>
                    </a:stretch>
                  </pic:blipFill>
                  <pic:spPr>
                    <a:xfrm>
                      <a:off x="0" y="0"/>
                      <a:ext cx="5274310" cy="2191385"/>
                    </a:xfrm>
                    <a:prstGeom prst="rect">
                      <a:avLst/>
                    </a:prstGeom>
                  </pic:spPr>
                </pic:pic>
              </a:graphicData>
            </a:graphic>
          </wp:inline>
        </w:drawing>
      </w:r>
    </w:p>
    <w:p>
      <w:pPr>
        <w:pStyle w:val="16"/>
        <w:jc w:val="center"/>
        <w:rPr>
          <w:rFonts w:ascii="宋体" w:hAnsi="宋体"/>
          <w:szCs w:val="21"/>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17</w:t>
      </w:r>
      <w:r>
        <w:fldChar w:fldCharType="end"/>
      </w:r>
      <w:r>
        <w:t xml:space="preserve"> </w:t>
      </w:r>
      <w:r>
        <w:rPr>
          <w:rFonts w:hint="eastAsia"/>
        </w:rPr>
        <w:t>一站式运维中心模型</w:t>
      </w:r>
    </w:p>
    <w:p>
      <w:pPr>
        <w:pStyle w:val="52"/>
        <w:numPr>
          <w:ilvl w:val="0"/>
          <w:numId w:val="9"/>
        </w:numPr>
        <w:spacing w:line="360" w:lineRule="auto"/>
        <w:rPr>
          <w:rFonts w:ascii="宋体" w:hAnsi="宋体"/>
          <w:b/>
          <w:szCs w:val="21"/>
        </w:rPr>
      </w:pPr>
      <w:r>
        <w:rPr>
          <w:rFonts w:hint="eastAsia" w:ascii="宋体" w:hAnsi="宋体"/>
          <w:b/>
          <w:szCs w:val="21"/>
        </w:rPr>
        <w:t>一站式管理中心：</w:t>
      </w:r>
    </w:p>
    <w:p>
      <w:pPr>
        <w:pStyle w:val="52"/>
        <w:spacing w:line="360" w:lineRule="auto"/>
        <w:ind w:firstLine="420" w:firstLineChars="200"/>
        <w:rPr>
          <w:rFonts w:ascii="宋体" w:hAnsi="宋体"/>
          <w:szCs w:val="21"/>
        </w:rPr>
      </w:pPr>
      <w:r>
        <w:rPr>
          <w:rFonts w:hint="eastAsia" w:ascii="宋体" w:hAnsi="宋体"/>
          <w:szCs w:val="21"/>
        </w:rPr>
        <w:t>通过可视化图表对医院后勤安全、服务、人员、财务、品质多个维度进行数据分析，可以提高院方管理人员对医院各个业务的掌控度，对于一些异常的指标也可以通过可视化和聚合的报告分析快速判断，并针对相关问题进行改进和跟踪。对于关键指标，如告警、功能、能耗等可以查看当天的实时数据，实时掌控数据的动态情况。对整个医院的运营可以做到一站式集中管理。</w:t>
      </w:r>
    </w:p>
    <w:p>
      <w:pPr>
        <w:pStyle w:val="52"/>
        <w:keepNext/>
        <w:spacing w:line="360" w:lineRule="auto"/>
        <w:ind w:firstLine="420" w:firstLineChars="200"/>
      </w:pPr>
      <w:r>
        <w:drawing>
          <wp:inline distT="0" distB="0" distL="0" distR="0">
            <wp:extent cx="5274310" cy="1945005"/>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0"/>
                    <a:stretch>
                      <a:fillRect/>
                    </a:stretch>
                  </pic:blipFill>
                  <pic:spPr>
                    <a:xfrm>
                      <a:off x="0" y="0"/>
                      <a:ext cx="5274310" cy="1945005"/>
                    </a:xfrm>
                    <a:prstGeom prst="rect">
                      <a:avLst/>
                    </a:prstGeom>
                  </pic:spPr>
                </pic:pic>
              </a:graphicData>
            </a:graphic>
          </wp:inline>
        </w:drawing>
      </w:r>
    </w:p>
    <w:p>
      <w:pPr>
        <w:pStyle w:val="16"/>
        <w:jc w:val="center"/>
        <w:rPr>
          <w:rFonts w:ascii="宋体" w:hAnsi="宋体"/>
          <w:szCs w:val="21"/>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18</w:t>
      </w:r>
      <w:r>
        <w:fldChar w:fldCharType="end"/>
      </w:r>
      <w:r>
        <w:t xml:space="preserve"> </w:t>
      </w:r>
      <w:r>
        <w:rPr>
          <w:rFonts w:hint="eastAsia"/>
        </w:rPr>
        <w:t>一站式管理中心交互</w:t>
      </w:r>
    </w:p>
    <w:p>
      <w:pPr>
        <w:pStyle w:val="52"/>
        <w:spacing w:line="360" w:lineRule="auto"/>
        <w:ind w:firstLine="420" w:firstLineChars="200"/>
        <w:rPr>
          <w:rFonts w:ascii="宋体" w:hAnsi="宋体"/>
          <w:szCs w:val="21"/>
        </w:rPr>
      </w:pPr>
      <w:r>
        <w:rPr>
          <w:rFonts w:hint="eastAsia" w:ascii="宋体" w:hAnsi="宋体"/>
          <w:szCs w:val="21"/>
        </w:rPr>
        <w:t>注：一站式服务中心基础构成见附件二</w:t>
      </w:r>
    </w:p>
    <w:p>
      <w:pPr>
        <w:pStyle w:val="8"/>
      </w:pPr>
      <w:r>
        <w:rPr>
          <w:rFonts w:hint="eastAsia"/>
        </w:rPr>
        <w:t>一站式服务中心运营管理体系建设</w:t>
      </w:r>
    </w:p>
    <w:p>
      <w:pPr>
        <w:ind w:firstLine="420" w:firstLineChars="200"/>
      </w:pPr>
      <w:r>
        <w:rPr>
          <w:rFonts w:hint="eastAsia"/>
        </w:rPr>
        <w:t>一站式服务中心将从四个维度构建医院运营管理体系：</w:t>
      </w:r>
    </w:p>
    <w:p>
      <w:pPr>
        <w:pStyle w:val="2"/>
        <w:numPr>
          <w:ilvl w:val="0"/>
          <w:numId w:val="8"/>
        </w:numPr>
        <w:ind w:leftChars="0" w:firstLineChars="0"/>
      </w:pPr>
      <w:r>
        <w:rPr>
          <w:rFonts w:hint="eastAsia"/>
          <w:b/>
          <w:bCs/>
        </w:rPr>
        <w:t>一站式服务中心运维</w:t>
      </w:r>
      <w:r>
        <w:rPr>
          <w:rFonts w:hint="eastAsia"/>
        </w:rPr>
        <w:t>：包括平台系统运用与传统流程增效人员、数据分析及岗位优化、能源数据分析及设备运行优化、材料数据分析及材料需量预测、满意度分析及服务改善等。</w:t>
      </w:r>
    </w:p>
    <w:p>
      <w:pPr>
        <w:pStyle w:val="2"/>
        <w:numPr>
          <w:ilvl w:val="0"/>
          <w:numId w:val="8"/>
        </w:numPr>
        <w:ind w:leftChars="0" w:firstLineChars="0"/>
      </w:pPr>
      <w:r>
        <w:rPr>
          <w:rFonts w:hint="eastAsia"/>
          <w:b/>
          <w:bCs/>
        </w:rPr>
        <w:t>制度优化及岗位增效</w:t>
      </w:r>
      <w:r>
        <w:rPr>
          <w:rFonts w:hint="eastAsia"/>
        </w:rPr>
        <w:t>：包括优化服务标准与制度、工作计划优化、预算与资金控制、能源控制、设备安全管控等。</w:t>
      </w:r>
    </w:p>
    <w:p>
      <w:pPr>
        <w:pStyle w:val="2"/>
        <w:numPr>
          <w:ilvl w:val="0"/>
          <w:numId w:val="8"/>
        </w:numPr>
        <w:ind w:leftChars="0" w:firstLineChars="0"/>
      </w:pPr>
      <w:r>
        <w:rPr>
          <w:rFonts w:hint="eastAsia"/>
          <w:b/>
          <w:bCs/>
        </w:rPr>
        <w:t>服务品质管理</w:t>
      </w:r>
      <w:r>
        <w:rPr>
          <w:rFonts w:hint="eastAsia"/>
        </w:rPr>
        <w:t>：包括输出月度质量报告、综合质量检查、满意度调查、职能部门检查等。</w:t>
      </w:r>
    </w:p>
    <w:p>
      <w:pPr>
        <w:pStyle w:val="2"/>
        <w:numPr>
          <w:ilvl w:val="0"/>
          <w:numId w:val="8"/>
        </w:numPr>
        <w:ind w:leftChars="0" w:firstLineChars="0"/>
      </w:pPr>
      <w:r>
        <w:rPr>
          <w:rFonts w:hint="eastAsia"/>
          <w:b/>
          <w:bCs/>
        </w:rPr>
        <w:t>培训赋能</w:t>
      </w:r>
      <w:r>
        <w:rPr>
          <w:rFonts w:hint="eastAsia"/>
        </w:rPr>
        <w:t>：包括机电技能补充培训、年度技能再培训、岗位工作技能培训、风险预防与控制培训等。</w:t>
      </w:r>
    </w:p>
    <w:p>
      <w:pPr>
        <w:pStyle w:val="2"/>
      </w:pPr>
      <w:r>
        <w:rPr>
          <w:rFonts w:hint="eastAsia"/>
        </w:rPr>
        <w:t>通过这四个维度的管理体系建设，对医院后勤常见服务进行流程优化及再造，如：</w:t>
      </w:r>
    </w:p>
    <w:p>
      <w:pPr>
        <w:pStyle w:val="2"/>
        <w:numPr>
          <w:ilvl w:val="0"/>
          <w:numId w:val="10"/>
        </w:numPr>
        <w:ind w:leftChars="0" w:firstLineChars="0"/>
      </w:pPr>
      <w:r>
        <w:rPr>
          <w:rFonts w:hint="eastAsia"/>
        </w:rPr>
        <w:t>一站式服务流程优化—工单报修</w:t>
      </w:r>
    </w:p>
    <w:p>
      <w:pPr>
        <w:pStyle w:val="2"/>
        <w:keepNext/>
        <w:ind w:left="840" w:leftChars="0" w:firstLine="0" w:firstLineChars="0"/>
      </w:pPr>
      <w:r>
        <w:drawing>
          <wp:inline distT="0" distB="0" distL="0" distR="0">
            <wp:extent cx="5274310" cy="3653790"/>
            <wp:effectExtent l="0" t="0" r="2540" b="381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1"/>
                    <a:stretch>
                      <a:fillRect/>
                    </a:stretch>
                  </pic:blipFill>
                  <pic:spPr>
                    <a:xfrm>
                      <a:off x="0" y="0"/>
                      <a:ext cx="5274310" cy="3653790"/>
                    </a:xfrm>
                    <a:prstGeom prst="rect">
                      <a:avLst/>
                    </a:prstGeom>
                  </pic:spPr>
                </pic:pic>
              </a:graphicData>
            </a:graphic>
          </wp:inline>
        </w:drawing>
      </w:r>
    </w:p>
    <w:p>
      <w:pPr>
        <w:pStyle w:val="1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19</w:t>
      </w:r>
      <w:r>
        <w:fldChar w:fldCharType="end"/>
      </w:r>
      <w:r>
        <w:t xml:space="preserve"> </w:t>
      </w:r>
      <w:r>
        <w:rPr>
          <w:rFonts w:hint="eastAsia"/>
        </w:rPr>
        <w:t>报修流程优化</w:t>
      </w:r>
    </w:p>
    <w:p>
      <w:pPr>
        <w:pStyle w:val="2"/>
        <w:numPr>
          <w:ilvl w:val="0"/>
          <w:numId w:val="10"/>
        </w:numPr>
        <w:ind w:leftChars="0" w:firstLineChars="0"/>
      </w:pPr>
      <w:r>
        <w:rPr>
          <w:rFonts w:hint="eastAsia"/>
        </w:rPr>
        <w:t>一站式服务流程优化—巡检保养任务</w:t>
      </w:r>
    </w:p>
    <w:p>
      <w:pPr>
        <w:pStyle w:val="2"/>
        <w:keepNext/>
        <w:ind w:left="840" w:leftChars="0" w:firstLine="0" w:firstLineChars="0"/>
      </w:pPr>
      <w:r>
        <w:drawing>
          <wp:inline distT="0" distB="0" distL="0" distR="0">
            <wp:extent cx="5274310" cy="2571115"/>
            <wp:effectExtent l="0" t="0" r="2540" b="63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32"/>
                    <a:stretch>
                      <a:fillRect/>
                    </a:stretch>
                  </pic:blipFill>
                  <pic:spPr>
                    <a:xfrm>
                      <a:off x="0" y="0"/>
                      <a:ext cx="5274310" cy="2571115"/>
                    </a:xfrm>
                    <a:prstGeom prst="rect">
                      <a:avLst/>
                    </a:prstGeom>
                  </pic:spPr>
                </pic:pic>
              </a:graphicData>
            </a:graphic>
          </wp:inline>
        </w:drawing>
      </w:r>
    </w:p>
    <w:p>
      <w:pPr>
        <w:pStyle w:val="1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20</w:t>
      </w:r>
      <w:r>
        <w:fldChar w:fldCharType="end"/>
      </w:r>
      <w:r>
        <w:t xml:space="preserve"> </w:t>
      </w:r>
      <w:r>
        <w:rPr>
          <w:rFonts w:hint="eastAsia"/>
        </w:rPr>
        <w:t>巡检保养流程优化</w:t>
      </w:r>
    </w:p>
    <w:p>
      <w:pPr>
        <w:pStyle w:val="2"/>
        <w:numPr>
          <w:ilvl w:val="0"/>
          <w:numId w:val="10"/>
        </w:numPr>
        <w:ind w:leftChars="0" w:firstLineChars="0"/>
      </w:pPr>
      <w:r>
        <w:rPr>
          <w:rFonts w:hint="eastAsia"/>
        </w:rPr>
        <w:t>一站式服务流程优化—应急指挥系统</w:t>
      </w:r>
    </w:p>
    <w:p>
      <w:pPr>
        <w:pStyle w:val="2"/>
        <w:keepNext/>
      </w:pPr>
      <w:r>
        <w:drawing>
          <wp:inline distT="0" distB="0" distL="114300" distR="114300">
            <wp:extent cx="5410835" cy="2495550"/>
            <wp:effectExtent l="0" t="0" r="12065" b="635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33"/>
                    <a:stretch>
                      <a:fillRect/>
                    </a:stretch>
                  </pic:blipFill>
                  <pic:spPr>
                    <a:xfrm>
                      <a:off x="0" y="0"/>
                      <a:ext cx="5410835" cy="2495550"/>
                    </a:xfrm>
                    <a:prstGeom prst="rect">
                      <a:avLst/>
                    </a:prstGeom>
                    <a:noFill/>
                    <a:ln>
                      <a:noFill/>
                    </a:ln>
                  </pic:spPr>
                </pic:pic>
              </a:graphicData>
            </a:graphic>
          </wp:inline>
        </w:drawing>
      </w:r>
    </w:p>
    <w:p>
      <w:pPr>
        <w:pStyle w:val="16"/>
        <w:jc w:val="center"/>
      </w:pPr>
      <w:bookmarkStart w:id="12" w:name="_Toc6360888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rPr>
          <w:rFonts w:hint="eastAsia"/>
        </w:rPr>
        <w:t>22应急指挥系统</w:t>
      </w:r>
    </w:p>
    <w:p>
      <w:pPr>
        <w:pStyle w:val="2"/>
        <w:rPr>
          <w:lang w:val="zh-TW"/>
        </w:rPr>
      </w:pPr>
    </w:p>
    <w:p>
      <w:pPr>
        <w:pStyle w:val="6"/>
        <w:rPr>
          <w:rFonts w:eastAsia="PMingLiU"/>
          <w:lang w:val="zh-TW" w:eastAsia="zh-TW"/>
        </w:rPr>
      </w:pPr>
      <w:bookmarkStart w:id="13" w:name="_Toc83290255"/>
      <w:r>
        <w:rPr>
          <w:rFonts w:hint="eastAsia"/>
          <w:lang w:val="zh-TW"/>
        </w:rPr>
        <w:t>基于平台的设备与能源管理系统</w:t>
      </w:r>
      <w:r>
        <w:rPr>
          <w:rFonts w:hint="eastAsia"/>
          <w:lang w:val="zh-TW" w:eastAsia="zh-TW"/>
        </w:rPr>
        <w:t>建设</w:t>
      </w:r>
      <w:bookmarkEnd w:id="12"/>
      <w:bookmarkEnd w:id="13"/>
    </w:p>
    <w:p>
      <w:pPr>
        <w:pStyle w:val="8"/>
        <w:rPr>
          <w:rFonts w:eastAsia="PMingLiU"/>
          <w:lang w:val="zh-TW" w:eastAsia="zh-TW"/>
        </w:rPr>
      </w:pPr>
      <w:r>
        <w:rPr>
          <w:rFonts w:hint="eastAsia" w:eastAsiaTheme="minorEastAsia"/>
          <w:lang w:val="zh-TW" w:eastAsia="zh-TW"/>
        </w:rPr>
        <w:t>设备</w:t>
      </w:r>
      <w:r>
        <w:rPr>
          <w:rFonts w:hint="eastAsia"/>
          <w:lang w:val="zh-TW" w:eastAsia="zh-TW"/>
        </w:rPr>
        <w:t>全生命周期管理</w:t>
      </w:r>
    </w:p>
    <w:p>
      <w:pPr>
        <w:ind w:firstLine="420" w:firstLineChars="200"/>
        <w:rPr>
          <w:rFonts w:ascii="宋体" w:hAnsi="宋体" w:eastAsia="宋体" w:cs="Arial Unicode MS"/>
          <w:color w:val="000000"/>
          <w:kern w:val="0"/>
          <w:szCs w:val="21"/>
        </w:rPr>
      </w:pPr>
      <w:r>
        <w:rPr>
          <w:rFonts w:hint="eastAsia" w:ascii="宋体" w:hAnsi="宋体" w:eastAsia="宋体" w:cs="Arial Unicode MS"/>
          <w:color w:val="000000"/>
          <w:kern w:val="0"/>
          <w:szCs w:val="21"/>
        </w:rPr>
        <w:t>根据智慧数据平台数据字典，梳理医院后勤设备设施台账，实现设备从入库到平稳运行的闭环跟踪，实现设备基于静态及动态两个维度的全生命周期在线管理，。</w:t>
      </w:r>
    </w:p>
    <w:p>
      <w:pPr>
        <w:pStyle w:val="5"/>
        <w:numPr>
          <w:ilvl w:val="0"/>
          <w:numId w:val="8"/>
        </w:numPr>
        <w:ind w:firstLineChars="0"/>
        <w:rPr>
          <w:rFonts w:ascii="宋体" w:hAnsi="宋体" w:cs="Arial Unicode MS"/>
          <w:color w:val="000000"/>
          <w:kern w:val="0"/>
          <w:szCs w:val="21"/>
        </w:rPr>
      </w:pPr>
      <w:r>
        <w:rPr>
          <w:rFonts w:hint="eastAsia" w:ascii="宋体" w:hAnsi="宋体" w:cs="Arial Unicode MS"/>
          <w:color w:val="000000"/>
          <w:kern w:val="0"/>
          <w:szCs w:val="21"/>
        </w:rPr>
        <w:t>静态管理包括：设备台账息建立，设备维修时间、维修次数、维修费用、维修质量、维修评价等明细记录，设备保养周期、保养次数、保养合同、保养费用、保养结算等记录明细，设备折旧/ 报废等；</w:t>
      </w:r>
    </w:p>
    <w:p>
      <w:pPr>
        <w:pStyle w:val="5"/>
        <w:numPr>
          <w:ilvl w:val="0"/>
          <w:numId w:val="8"/>
        </w:numPr>
        <w:ind w:firstLineChars="0"/>
        <w:rPr>
          <w:rFonts w:ascii="宋体" w:hAnsi="宋体" w:cs="Arial Unicode MS"/>
          <w:color w:val="000000"/>
          <w:kern w:val="0"/>
          <w:szCs w:val="21"/>
        </w:rPr>
      </w:pPr>
      <w:r>
        <w:rPr>
          <w:rFonts w:hint="eastAsia" w:ascii="宋体" w:hAnsi="宋体" w:cs="Arial Unicode MS"/>
          <w:color w:val="000000"/>
          <w:kern w:val="0"/>
          <w:szCs w:val="21"/>
        </w:rPr>
        <w:t>动态管理包括：对设备运行状态及环境进行实时数据采集及指标监测，联动一站式服务中心进行精准预警，分级告警，自动派工，工单验收，绩效评价管理。</w:t>
      </w:r>
    </w:p>
    <w:p>
      <w:pPr>
        <w:keepNext/>
        <w:jc w:val="center"/>
      </w:pPr>
      <w:r>
        <w:rPr>
          <w:rFonts w:ascii="宋体" w:hAnsi="宋体" w:cs="Arial Unicode MS"/>
          <w:color w:val="000000"/>
          <w:kern w:val="0"/>
          <w:szCs w:val="21"/>
        </w:rPr>
        <w:drawing>
          <wp:inline distT="0" distB="0" distL="0" distR="0">
            <wp:extent cx="4914265" cy="2497455"/>
            <wp:effectExtent l="0" t="0" r="635" b="0"/>
            <wp:docPr id="10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3"/>
                    <pic:cNvPicPr>
                      <a:picLocks noChangeAspect="1"/>
                    </pic:cNvPicPr>
                  </pic:nvPicPr>
                  <pic:blipFill>
                    <a:blip r:embed="rId34"/>
                    <a:stretch>
                      <a:fillRect/>
                    </a:stretch>
                  </pic:blipFill>
                  <pic:spPr>
                    <a:xfrm>
                      <a:off x="0" y="0"/>
                      <a:ext cx="4918451" cy="2499493"/>
                    </a:xfrm>
                    <a:prstGeom prst="rect">
                      <a:avLst/>
                    </a:prstGeom>
                  </pic:spPr>
                </pic:pic>
              </a:graphicData>
            </a:graphic>
          </wp:inline>
        </w:drawing>
      </w:r>
    </w:p>
    <w:p>
      <w:pPr>
        <w:pStyle w:val="1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22</w:t>
      </w:r>
      <w:r>
        <w:fldChar w:fldCharType="end"/>
      </w:r>
      <w:r>
        <w:t xml:space="preserve"> </w:t>
      </w:r>
      <w:r>
        <w:rPr>
          <w:rFonts w:hint="eastAsia"/>
        </w:rPr>
        <w:t>设备台账示例</w:t>
      </w:r>
    </w:p>
    <w:p>
      <w:pPr>
        <w:keepNext/>
        <w:jc w:val="center"/>
      </w:pPr>
      <w:r>
        <w:drawing>
          <wp:inline distT="0" distB="0" distL="0" distR="0">
            <wp:extent cx="4805680" cy="2641600"/>
            <wp:effectExtent l="0" t="0" r="0"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5"/>
                    <a:stretch>
                      <a:fillRect/>
                    </a:stretch>
                  </pic:blipFill>
                  <pic:spPr>
                    <a:xfrm>
                      <a:off x="0" y="0"/>
                      <a:ext cx="4808864" cy="2643544"/>
                    </a:xfrm>
                    <a:prstGeom prst="rect">
                      <a:avLst/>
                    </a:prstGeom>
                  </pic:spPr>
                </pic:pic>
              </a:graphicData>
            </a:graphic>
          </wp:inline>
        </w:drawing>
      </w:r>
    </w:p>
    <w:p>
      <w:pPr>
        <w:pStyle w:val="1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23</w:t>
      </w:r>
      <w:r>
        <w:fldChar w:fldCharType="end"/>
      </w:r>
      <w:r>
        <w:t xml:space="preserve"> </w:t>
      </w:r>
      <w:r>
        <w:rPr>
          <w:rFonts w:hint="eastAsia"/>
        </w:rPr>
        <w:t>设备实时定位、监控</w:t>
      </w:r>
    </w:p>
    <w:p>
      <w:pPr>
        <w:keepNext/>
        <w:jc w:val="center"/>
      </w:pPr>
      <w:r>
        <w:rPr>
          <w:rFonts w:ascii="宋体" w:hAnsi="宋体" w:cs="Arial Unicode MS"/>
          <w:color w:val="000000"/>
          <w:kern w:val="0"/>
          <w:szCs w:val="21"/>
        </w:rPr>
        <w:drawing>
          <wp:inline distT="0" distB="0" distL="0" distR="0">
            <wp:extent cx="4966970" cy="3837305"/>
            <wp:effectExtent l="133350" t="114300" r="138430" b="163195"/>
            <wp:docPr id="102"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0"/>
                    <pic:cNvPicPr>
                      <a:picLocks noChangeAspect="1"/>
                    </pic:cNvPicPr>
                  </pic:nvPicPr>
                  <pic:blipFill>
                    <a:blip r:embed="rId36">
                      <a:duotone>
                        <a:prstClr val="black"/>
                        <a:schemeClr val="tx2">
                          <a:tint val="45000"/>
                          <a:satMod val="400000"/>
                        </a:schemeClr>
                      </a:duotone>
                    </a:blip>
                    <a:stretch>
                      <a:fillRect/>
                    </a:stretch>
                  </pic:blipFill>
                  <pic:spPr>
                    <a:xfrm>
                      <a:off x="0" y="0"/>
                      <a:ext cx="4980001" cy="3847420"/>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pPr>
        <w:pStyle w:val="1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24</w:t>
      </w:r>
      <w:r>
        <w:fldChar w:fldCharType="end"/>
      </w:r>
      <w:r>
        <w:t xml:space="preserve"> </w:t>
      </w:r>
      <w:r>
        <w:rPr>
          <w:rFonts w:hint="eastAsia"/>
        </w:rPr>
        <w:t>设备全生命周期管理设计</w:t>
      </w:r>
    </w:p>
    <w:p>
      <w:pPr>
        <w:rPr>
          <w:rFonts w:eastAsia="PMingLiU"/>
          <w:lang w:val="zh-TW" w:eastAsia="zh-TW"/>
        </w:rPr>
      </w:pPr>
    </w:p>
    <w:p>
      <w:pPr>
        <w:pStyle w:val="8"/>
      </w:pPr>
      <w:bookmarkStart w:id="14" w:name="_Toc63608881"/>
      <w:r>
        <w:rPr>
          <w:rFonts w:hint="eastAsia"/>
        </w:rPr>
        <w:t>能源精细化管理建设</w:t>
      </w:r>
      <w:bookmarkEnd w:id="14"/>
    </w:p>
    <w:p>
      <w:pPr>
        <w:keepNext/>
        <w:jc w:val="center"/>
      </w:pPr>
      <w:r>
        <w:drawing>
          <wp:inline distT="0" distB="0" distL="114300" distR="114300">
            <wp:extent cx="5155565" cy="2781300"/>
            <wp:effectExtent l="0" t="0" r="6985" b="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37"/>
                    <a:stretch>
                      <a:fillRect/>
                    </a:stretch>
                  </pic:blipFill>
                  <pic:spPr>
                    <a:xfrm>
                      <a:off x="0" y="0"/>
                      <a:ext cx="5159479" cy="2783403"/>
                    </a:xfrm>
                    <a:prstGeom prst="rect">
                      <a:avLst/>
                    </a:prstGeom>
                    <a:noFill/>
                    <a:ln w="9525">
                      <a:noFill/>
                    </a:ln>
                  </pic:spPr>
                </pic:pic>
              </a:graphicData>
            </a:graphic>
          </wp:inline>
        </w:drawing>
      </w:r>
    </w:p>
    <w:p>
      <w:pPr>
        <w:pStyle w:val="1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25</w:t>
      </w:r>
      <w:r>
        <w:fldChar w:fldCharType="end"/>
      </w:r>
      <w:r>
        <w:t xml:space="preserve"> </w:t>
      </w:r>
      <w:r>
        <w:rPr>
          <w:rFonts w:hint="eastAsia"/>
        </w:rPr>
        <w:t>能耗分析示例</w:t>
      </w:r>
    </w:p>
    <w:p>
      <w:pPr>
        <w:pStyle w:val="2"/>
        <w:ind w:left="0" w:leftChars="0" w:firstLineChars="0"/>
        <w:rPr>
          <w:rFonts w:ascii="宋体" w:hAnsi="宋体" w:eastAsia="宋体"/>
          <w:szCs w:val="21"/>
        </w:rPr>
      </w:pPr>
      <w:r>
        <w:rPr>
          <w:rFonts w:hint="eastAsia" w:ascii="宋体" w:hAnsi="宋体" w:eastAsia="宋体"/>
          <w:szCs w:val="21"/>
        </w:rPr>
        <w:t>对医院现有的能源管理信息化工具以及整体用能情况进行信息收集和评估，通过完备的能源管理点位设计与科学先进的能源管理系统上线，实现全院水、电等能耗在线</w:t>
      </w:r>
      <w:r>
        <w:rPr>
          <w:rFonts w:hint="eastAsia" w:ascii="宋体" w:hAnsi="宋体" w:eastAsia="宋体"/>
          <w:b/>
          <w:bCs/>
          <w:szCs w:val="21"/>
        </w:rPr>
        <w:t>监测与分析</w:t>
      </w:r>
      <w:r>
        <w:rPr>
          <w:rFonts w:hint="eastAsia" w:ascii="宋体" w:hAnsi="宋体" w:eastAsia="宋体"/>
          <w:szCs w:val="21"/>
        </w:rPr>
        <w:t>，提供有力的数据支撑，帮助医院实现科室、病区等不同维度的能源绩效考核。与此同时，为医院提供相应的管理节能手段，进一步帮助医院实现节能降耗，打造绿色节能医院。</w:t>
      </w:r>
    </w:p>
    <w:p>
      <w:pPr>
        <w:pStyle w:val="2"/>
        <w:keepNext/>
        <w:ind w:left="0" w:leftChars="0" w:firstLine="0" w:firstLineChars="0"/>
        <w:jc w:val="center"/>
      </w:pPr>
      <w:r>
        <w:drawing>
          <wp:inline distT="0" distB="0" distL="0" distR="0">
            <wp:extent cx="5378450" cy="2660650"/>
            <wp:effectExtent l="0" t="0" r="0" b="6350"/>
            <wp:docPr id="11291" name="图片 1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 name="图片 11291"/>
                    <pic:cNvPicPr>
                      <a:picLocks noChangeAspect="1"/>
                    </pic:cNvPicPr>
                  </pic:nvPicPr>
                  <pic:blipFill>
                    <a:blip r:embed="rId38"/>
                    <a:stretch>
                      <a:fillRect/>
                    </a:stretch>
                  </pic:blipFill>
                  <pic:spPr>
                    <a:xfrm>
                      <a:off x="0" y="0"/>
                      <a:ext cx="5397091" cy="2669955"/>
                    </a:xfrm>
                    <a:prstGeom prst="rect">
                      <a:avLst/>
                    </a:prstGeom>
                  </pic:spPr>
                </pic:pic>
              </a:graphicData>
            </a:graphic>
          </wp:inline>
        </w:drawing>
      </w:r>
    </w:p>
    <w:p>
      <w:pPr>
        <w:pStyle w:val="16"/>
        <w:jc w:val="center"/>
        <w:rPr>
          <w:rFonts w:ascii="宋体" w:hAnsi="宋体" w:eastAsia="宋体"/>
          <w:szCs w:val="21"/>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26</w:t>
      </w:r>
      <w:r>
        <w:fldChar w:fldCharType="end"/>
      </w:r>
      <w:r>
        <w:rPr>
          <w:rFonts w:hint="eastAsia"/>
        </w:rPr>
        <w:t>能源精细化管理分解</w:t>
      </w:r>
    </w:p>
    <w:p>
      <w:pPr>
        <w:pStyle w:val="2"/>
        <w:numPr>
          <w:ilvl w:val="0"/>
          <w:numId w:val="11"/>
        </w:numPr>
        <w:ind w:leftChars="0" w:firstLineChars="0"/>
        <w:rPr>
          <w:rFonts w:ascii="宋体" w:hAnsi="宋体" w:eastAsia="宋体"/>
          <w:b/>
          <w:szCs w:val="21"/>
        </w:rPr>
      </w:pPr>
      <w:r>
        <w:rPr>
          <w:rFonts w:hint="eastAsia" w:ascii="宋体" w:hAnsi="宋体" w:eastAsia="宋体"/>
          <w:b/>
          <w:szCs w:val="21"/>
        </w:rPr>
        <w:t>能源管理点位设计：</w:t>
      </w:r>
    </w:p>
    <w:p>
      <w:pPr>
        <w:pStyle w:val="2"/>
        <w:numPr>
          <w:ilvl w:val="0"/>
          <w:numId w:val="8"/>
        </w:numPr>
        <w:ind w:leftChars="0" w:firstLineChars="0"/>
        <w:rPr>
          <w:rFonts w:ascii="宋体" w:hAnsi="宋体" w:eastAsia="宋体"/>
          <w:bCs/>
          <w:szCs w:val="21"/>
        </w:rPr>
      </w:pPr>
      <w:r>
        <w:rPr>
          <w:rFonts w:hint="eastAsia" w:ascii="宋体" w:hAnsi="宋体" w:eastAsia="宋体"/>
          <w:bCs/>
          <w:szCs w:val="21"/>
        </w:rPr>
        <w:t>电能采集：各建筑、楼层电能消耗进行数据对接采集（（已有表计或第三方系统对接），共计140点位</w:t>
      </w:r>
    </w:p>
    <w:p>
      <w:pPr>
        <w:pStyle w:val="2"/>
        <w:numPr>
          <w:ilvl w:val="0"/>
          <w:numId w:val="11"/>
        </w:numPr>
        <w:ind w:leftChars="0" w:firstLineChars="0"/>
        <w:rPr>
          <w:rFonts w:ascii="宋体" w:hAnsi="宋体" w:eastAsia="宋体"/>
          <w:b/>
          <w:szCs w:val="21"/>
        </w:rPr>
      </w:pPr>
      <w:r>
        <w:rPr>
          <w:rFonts w:hint="eastAsia" w:ascii="宋体" w:hAnsi="宋体" w:eastAsia="宋体"/>
          <w:b/>
          <w:szCs w:val="21"/>
        </w:rPr>
        <w:t>能源管理系统构成</w:t>
      </w:r>
    </w:p>
    <w:p>
      <w:pPr>
        <w:pStyle w:val="2"/>
        <w:numPr>
          <w:ilvl w:val="0"/>
          <w:numId w:val="8"/>
        </w:numPr>
        <w:ind w:leftChars="0" w:firstLineChars="0"/>
        <w:rPr>
          <w:rFonts w:ascii="宋体" w:hAnsi="宋体" w:eastAsia="宋体"/>
          <w:bCs/>
          <w:szCs w:val="21"/>
        </w:rPr>
      </w:pPr>
      <w:r>
        <w:rPr>
          <w:rFonts w:hint="eastAsia" w:ascii="宋体" w:hAnsi="宋体" w:eastAsia="宋体"/>
          <w:bCs/>
          <w:szCs w:val="21"/>
        </w:rPr>
        <w:t>能耗模型</w:t>
      </w:r>
    </w:p>
    <w:p>
      <w:pPr>
        <w:pStyle w:val="2"/>
        <w:numPr>
          <w:ilvl w:val="0"/>
          <w:numId w:val="8"/>
        </w:numPr>
        <w:ind w:leftChars="0" w:firstLineChars="0"/>
        <w:rPr>
          <w:rFonts w:ascii="宋体" w:hAnsi="宋体" w:eastAsia="宋体"/>
          <w:bCs/>
          <w:szCs w:val="21"/>
        </w:rPr>
      </w:pPr>
      <w:r>
        <w:rPr>
          <w:rFonts w:hint="eastAsia" w:ascii="宋体" w:hAnsi="宋体" w:eastAsia="宋体"/>
          <w:bCs/>
          <w:szCs w:val="21"/>
        </w:rPr>
        <w:t>能耗分析</w:t>
      </w:r>
    </w:p>
    <w:p>
      <w:pPr>
        <w:pStyle w:val="2"/>
        <w:numPr>
          <w:ilvl w:val="0"/>
          <w:numId w:val="8"/>
        </w:numPr>
        <w:ind w:leftChars="0" w:firstLineChars="0"/>
        <w:rPr>
          <w:rFonts w:ascii="宋体" w:hAnsi="宋体" w:eastAsia="宋体"/>
          <w:bCs/>
          <w:szCs w:val="21"/>
        </w:rPr>
      </w:pPr>
      <w:r>
        <w:rPr>
          <w:rFonts w:hint="eastAsia" w:ascii="宋体" w:hAnsi="宋体" w:eastAsia="宋体"/>
          <w:bCs/>
          <w:szCs w:val="21"/>
        </w:rPr>
        <w:t>能耗对标及排名</w:t>
      </w:r>
    </w:p>
    <w:p>
      <w:pPr>
        <w:pStyle w:val="2"/>
        <w:numPr>
          <w:ilvl w:val="0"/>
          <w:numId w:val="8"/>
        </w:numPr>
        <w:ind w:leftChars="0" w:firstLineChars="0"/>
        <w:rPr>
          <w:rFonts w:ascii="宋体" w:hAnsi="宋体" w:eastAsia="宋体"/>
          <w:bCs/>
          <w:szCs w:val="21"/>
        </w:rPr>
      </w:pPr>
      <w:r>
        <w:rPr>
          <w:rFonts w:hint="eastAsia" w:ascii="宋体" w:hAnsi="宋体" w:eastAsia="宋体"/>
          <w:bCs/>
          <w:szCs w:val="21"/>
        </w:rPr>
        <w:t>能耗K</w:t>
      </w:r>
      <w:r>
        <w:rPr>
          <w:rFonts w:ascii="宋体" w:hAnsi="宋体" w:eastAsia="宋体"/>
          <w:bCs/>
          <w:szCs w:val="21"/>
        </w:rPr>
        <w:t>PI</w:t>
      </w:r>
      <w:r>
        <w:rPr>
          <w:rFonts w:hint="eastAsia" w:ascii="宋体" w:hAnsi="宋体" w:eastAsia="宋体"/>
          <w:bCs/>
          <w:szCs w:val="21"/>
        </w:rPr>
        <w:t>管理</w:t>
      </w:r>
    </w:p>
    <w:p>
      <w:pPr>
        <w:pStyle w:val="2"/>
        <w:numPr>
          <w:ilvl w:val="0"/>
          <w:numId w:val="8"/>
        </w:numPr>
        <w:ind w:leftChars="0" w:firstLineChars="0"/>
        <w:rPr>
          <w:rFonts w:ascii="宋体" w:hAnsi="宋体" w:eastAsia="宋体"/>
          <w:bCs/>
          <w:szCs w:val="21"/>
        </w:rPr>
      </w:pPr>
      <w:r>
        <w:rPr>
          <w:rFonts w:hint="eastAsia" w:ascii="宋体" w:hAnsi="宋体" w:eastAsia="宋体"/>
          <w:bCs/>
          <w:szCs w:val="21"/>
        </w:rPr>
        <w:t>负荷预测</w:t>
      </w:r>
    </w:p>
    <w:p>
      <w:pPr>
        <w:pStyle w:val="2"/>
        <w:numPr>
          <w:ilvl w:val="0"/>
          <w:numId w:val="8"/>
        </w:numPr>
        <w:ind w:leftChars="0" w:firstLineChars="0"/>
        <w:rPr>
          <w:rFonts w:ascii="宋体" w:hAnsi="宋体" w:eastAsia="宋体"/>
          <w:bCs/>
          <w:szCs w:val="21"/>
        </w:rPr>
      </w:pPr>
      <w:r>
        <w:rPr>
          <w:rFonts w:hint="eastAsia" w:ascii="宋体" w:hAnsi="宋体" w:eastAsia="宋体"/>
          <w:bCs/>
          <w:szCs w:val="21"/>
        </w:rPr>
        <w:t>能耗大脑及报表</w:t>
      </w:r>
    </w:p>
    <w:p>
      <w:pPr>
        <w:pStyle w:val="2"/>
        <w:ind w:left="780" w:leftChars="0" w:firstLine="0" w:firstLineChars="0"/>
        <w:rPr>
          <w:rFonts w:ascii="宋体" w:hAnsi="宋体" w:eastAsia="宋体"/>
          <w:bCs/>
          <w:szCs w:val="21"/>
        </w:rPr>
      </w:pPr>
      <w:r>
        <w:rPr>
          <w:rFonts w:hint="eastAsia" w:ascii="宋体" w:hAnsi="宋体" w:eastAsia="宋体"/>
          <w:bCs/>
          <w:szCs w:val="21"/>
        </w:rPr>
        <w:t>注：具体能源系统功能见附件三</w:t>
      </w:r>
    </w:p>
    <w:p>
      <w:pPr>
        <w:pStyle w:val="2"/>
        <w:numPr>
          <w:ilvl w:val="0"/>
          <w:numId w:val="11"/>
        </w:numPr>
        <w:ind w:leftChars="0" w:firstLineChars="0"/>
        <w:rPr>
          <w:rFonts w:ascii="宋体" w:hAnsi="宋体" w:eastAsia="宋体"/>
          <w:b/>
          <w:bCs/>
          <w:szCs w:val="21"/>
        </w:rPr>
      </w:pPr>
      <w:r>
        <w:rPr>
          <w:rFonts w:hint="eastAsia" w:ascii="宋体" w:hAnsi="宋体" w:eastAsia="宋体"/>
          <w:b/>
          <w:bCs/>
          <w:szCs w:val="21"/>
        </w:rPr>
        <w:t>管理节能措施</w:t>
      </w:r>
    </w:p>
    <w:p>
      <w:pPr>
        <w:pStyle w:val="2"/>
        <w:ind w:left="842" w:leftChars="0" w:firstLine="0" w:firstLineChars="0"/>
        <w:rPr>
          <w:rFonts w:ascii="宋体" w:hAnsi="宋体" w:eastAsia="宋体"/>
          <w:bCs/>
          <w:szCs w:val="21"/>
        </w:rPr>
      </w:pPr>
      <w:r>
        <w:rPr>
          <w:rFonts w:hint="eastAsia" w:ascii="宋体" w:hAnsi="宋体" w:eastAsia="宋体"/>
          <w:bCs/>
          <w:szCs w:val="21"/>
        </w:rPr>
        <w:t>天溯结合国家标准及众多同类医院能耗管理制度，制订了一套标准的管理节能措施，帮助医院从管理入手节能降耗。</w:t>
      </w:r>
    </w:p>
    <w:p>
      <w:pPr>
        <w:pStyle w:val="2"/>
        <w:ind w:left="842" w:leftChars="0" w:firstLine="0" w:firstLineChars="0"/>
        <w:jc w:val="center"/>
        <w:rPr>
          <w:rFonts w:ascii="宋体" w:hAnsi="宋体" w:eastAsia="宋体"/>
          <w:bCs/>
          <w:szCs w:val="21"/>
        </w:rPr>
      </w:pPr>
      <w:r>
        <w:drawing>
          <wp:inline distT="0" distB="0" distL="0" distR="0">
            <wp:extent cx="5274310" cy="2821305"/>
            <wp:effectExtent l="0" t="0" r="2540" b="0"/>
            <wp:docPr id="11295" name="图片 1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 name="图片 11295"/>
                    <pic:cNvPicPr>
                      <a:picLocks noChangeAspect="1"/>
                    </pic:cNvPicPr>
                  </pic:nvPicPr>
                  <pic:blipFill>
                    <a:blip r:embed="rId39"/>
                    <a:stretch>
                      <a:fillRect/>
                    </a:stretch>
                  </pic:blipFill>
                  <pic:spPr>
                    <a:xfrm>
                      <a:off x="0" y="0"/>
                      <a:ext cx="5274310" cy="2821305"/>
                    </a:xfrm>
                    <a:prstGeom prst="rect">
                      <a:avLst/>
                    </a:prstGeom>
                  </pic:spPr>
                </pic:pic>
              </a:graphicData>
            </a:graphic>
          </wp:inline>
        </w:drawing>
      </w:r>
    </w:p>
    <w:p>
      <w:pPr>
        <w:pStyle w:val="2"/>
        <w:keepNext/>
        <w:ind w:left="842" w:leftChars="0" w:firstLine="0" w:firstLineChars="0"/>
      </w:pPr>
      <w:r>
        <w:drawing>
          <wp:inline distT="0" distB="0" distL="0" distR="0">
            <wp:extent cx="5274310" cy="3025140"/>
            <wp:effectExtent l="0" t="0" r="2540" b="3810"/>
            <wp:docPr id="11297" name="图片 1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 name="图片 11297"/>
                    <pic:cNvPicPr>
                      <a:picLocks noChangeAspect="1"/>
                    </pic:cNvPicPr>
                  </pic:nvPicPr>
                  <pic:blipFill>
                    <a:blip r:embed="rId40"/>
                    <a:stretch>
                      <a:fillRect/>
                    </a:stretch>
                  </pic:blipFill>
                  <pic:spPr>
                    <a:xfrm>
                      <a:off x="0" y="0"/>
                      <a:ext cx="5274310" cy="3025140"/>
                    </a:xfrm>
                    <a:prstGeom prst="rect">
                      <a:avLst/>
                    </a:prstGeom>
                  </pic:spPr>
                </pic:pic>
              </a:graphicData>
            </a:graphic>
          </wp:inline>
        </w:drawing>
      </w:r>
    </w:p>
    <w:p>
      <w:pPr>
        <w:pStyle w:val="16"/>
        <w:jc w:val="center"/>
        <w:rPr>
          <w:rFonts w:ascii="宋体" w:hAnsi="宋体" w:eastAsia="宋体"/>
          <w:bCs/>
          <w:szCs w:val="21"/>
        </w:rPr>
      </w:pPr>
      <w:r>
        <w:rPr>
          <w:rFonts w:hint="eastAsia"/>
        </w:rPr>
        <w:t>表格 9</w:t>
      </w:r>
      <w:r>
        <w:t xml:space="preserve"> </w:t>
      </w:r>
      <w:r>
        <w:rPr>
          <w:rFonts w:hint="eastAsia"/>
        </w:rPr>
        <w:t>管理节能措施表（举例）</w:t>
      </w:r>
    </w:p>
    <w:p>
      <w:pPr>
        <w:pStyle w:val="2"/>
        <w:numPr>
          <w:ilvl w:val="0"/>
          <w:numId w:val="11"/>
        </w:numPr>
        <w:ind w:leftChars="0" w:firstLineChars="0"/>
        <w:rPr>
          <w:rFonts w:ascii="宋体" w:hAnsi="宋体" w:eastAsia="宋体"/>
          <w:b/>
          <w:bCs/>
          <w:szCs w:val="21"/>
        </w:rPr>
      </w:pPr>
      <w:r>
        <w:rPr>
          <w:rFonts w:hint="eastAsia" w:ascii="宋体" w:hAnsi="宋体" w:eastAsia="宋体"/>
          <w:b/>
          <w:bCs/>
          <w:szCs w:val="21"/>
        </w:rPr>
        <w:t>现勘发现的节能空间</w:t>
      </w:r>
    </w:p>
    <w:p>
      <w:pPr>
        <w:pStyle w:val="2"/>
        <w:ind w:left="842" w:leftChars="0" w:firstLine="0" w:firstLineChars="0"/>
        <w:rPr>
          <w:rFonts w:ascii="宋体" w:hAnsi="宋体" w:eastAsia="宋体"/>
          <w:szCs w:val="21"/>
        </w:rPr>
      </w:pPr>
      <w:r>
        <w:rPr>
          <w:rFonts w:hint="eastAsia" w:ascii="宋体" w:hAnsi="宋体" w:eastAsia="宋体"/>
          <w:szCs w:val="21"/>
        </w:rPr>
        <w:t>三墩院区制冷机房里有余热回收设备，目前没有使用，存在节能空间。两个院区制冷系统所用的水泵均配备了变频器，但是没有有效的使用，存在节能空间。目前，制冷、锅炉设备都是人工进行加减机操作，存在节能空间。医院的空调末端没有群控系统，存在节能空间。</w:t>
      </w:r>
    </w:p>
    <w:p>
      <w:pPr>
        <w:widowControl/>
        <w:spacing w:line="240" w:lineRule="auto"/>
        <w:jc w:val="left"/>
        <w:rPr>
          <w:rFonts w:ascii="Times New Roman" w:hAnsi="Times New Roman"/>
          <w:szCs w:val="24"/>
        </w:rPr>
        <w:sectPr>
          <w:footerReference r:id="rId6" w:type="default"/>
          <w:pgSz w:w="11906" w:h="16838"/>
          <w:pgMar w:top="1440" w:right="1800" w:bottom="1440" w:left="1800" w:header="851" w:footer="992" w:gutter="0"/>
          <w:pgNumType w:start="1"/>
          <w:cols w:space="720" w:num="1"/>
          <w:docGrid w:type="lines" w:linePitch="312" w:charSpace="0"/>
        </w:sectPr>
      </w:pPr>
    </w:p>
    <w:p>
      <w:pPr>
        <w:pStyle w:val="4"/>
        <w:jc w:val="center"/>
      </w:pPr>
      <w:bookmarkStart w:id="15" w:name="_Toc83290256"/>
      <w:r>
        <w:rPr>
          <w:rFonts w:hint="eastAsia"/>
        </w:rPr>
        <w:t>医院智慧后勤价值呈现</w:t>
      </w:r>
      <w:bookmarkEnd w:id="15"/>
    </w:p>
    <w:p>
      <w:pPr>
        <w:spacing w:before="312" w:beforeLines="100"/>
        <w:ind w:firstLine="482"/>
        <w:rPr>
          <w:rFonts w:ascii="宋体" w:hAnsi="宋体"/>
          <w:sz w:val="24"/>
        </w:rPr>
      </w:pPr>
      <w:r>
        <w:rPr>
          <w:rFonts w:hint="eastAsia" w:ascii="宋体" w:hAnsi="宋体" w:eastAsia="宋体"/>
          <w:szCs w:val="21"/>
        </w:rPr>
        <w:t>借助后勤指挥中心的建设，可以形成医院后勤统一的综合指挥中心、服务受理中心、集中调度中心、应急处置中心、系统监控中心等多中心职能的多维度综合管理机构，极大的方便医院的后勤管理和提升后勤管理效率。主要有如下亮点：</w:t>
      </w:r>
    </w:p>
    <w:p>
      <w:pPr>
        <w:ind w:firstLine="480"/>
        <w:rPr>
          <w:rFonts w:ascii="宋体" w:hAnsi="宋体"/>
          <w:b/>
          <w:bCs/>
          <w:sz w:val="24"/>
        </w:rPr>
      </w:pPr>
      <w:r>
        <w:rPr>
          <w:rFonts w:hint="eastAsia" w:ascii="宋体" w:hAnsi="宋体"/>
          <w:b/>
          <w:bCs/>
          <w:sz w:val="24"/>
        </w:rPr>
        <w:t>（1）提升后勤信息化管理水平</w:t>
      </w:r>
    </w:p>
    <w:p>
      <w:pPr>
        <w:spacing w:before="312" w:beforeLines="100"/>
        <w:ind w:firstLine="482"/>
        <w:rPr>
          <w:rFonts w:ascii="宋体" w:hAnsi="宋体" w:eastAsia="宋体"/>
          <w:szCs w:val="21"/>
        </w:rPr>
      </w:pPr>
      <w:r>
        <w:rPr>
          <w:rFonts w:hint="eastAsia" w:ascii="宋体" w:hAnsi="宋体" w:eastAsia="宋体"/>
          <w:szCs w:val="21"/>
        </w:rPr>
        <w:t>后勤信息化管理平台是采用智能化、信息化的手段将与后勤相关的机电设备安全管理、能源管理、设备运维管理、前端服务需求响应等实现真正的融合打通，站在医院全生命周期运营的角度提供这样一套完整的能够真正注重于后勤运维的强大的管理工具，真正实现以人为本，安全第一；保障优先，兼顾效能；预防为主，延长寿命；信息共享，智能优化。</w:t>
      </w:r>
    </w:p>
    <w:p>
      <w:pPr>
        <w:ind w:firstLine="480"/>
        <w:rPr>
          <w:rFonts w:ascii="宋体" w:hAnsi="宋体"/>
          <w:b/>
          <w:bCs/>
          <w:sz w:val="24"/>
        </w:rPr>
      </w:pPr>
      <w:bookmarkStart w:id="16" w:name="_Toc14804378"/>
      <w:bookmarkStart w:id="17" w:name="_Toc14810791"/>
      <w:bookmarkStart w:id="18" w:name="_Toc11403776"/>
      <w:bookmarkStart w:id="19" w:name="_Toc38271859"/>
      <w:bookmarkStart w:id="20" w:name="_Toc17494"/>
      <w:bookmarkStart w:id="21" w:name="_Toc14944603"/>
      <w:bookmarkStart w:id="22" w:name="_Toc14624361"/>
      <w:r>
        <w:rPr>
          <w:rFonts w:hint="eastAsia" w:ascii="宋体" w:hAnsi="宋体"/>
          <w:b/>
          <w:bCs/>
          <w:sz w:val="24"/>
        </w:rPr>
        <w:t>（2）打造后勤一站式服务</w:t>
      </w:r>
      <w:bookmarkEnd w:id="16"/>
      <w:bookmarkEnd w:id="17"/>
      <w:bookmarkEnd w:id="18"/>
      <w:bookmarkEnd w:id="19"/>
      <w:bookmarkEnd w:id="20"/>
      <w:bookmarkEnd w:id="21"/>
      <w:bookmarkEnd w:id="22"/>
      <w:r>
        <w:rPr>
          <w:rFonts w:hint="eastAsia" w:ascii="宋体" w:hAnsi="宋体"/>
          <w:b/>
          <w:bCs/>
          <w:sz w:val="24"/>
        </w:rPr>
        <w:t>体系</w:t>
      </w:r>
    </w:p>
    <w:p>
      <w:pPr>
        <w:spacing w:before="312" w:beforeLines="100"/>
        <w:ind w:firstLine="482"/>
        <w:rPr>
          <w:rFonts w:ascii="宋体" w:hAnsi="宋体" w:eastAsia="宋体"/>
          <w:szCs w:val="21"/>
        </w:rPr>
      </w:pPr>
      <w:r>
        <w:rPr>
          <w:rFonts w:hint="eastAsia" w:ascii="宋体" w:hAnsi="宋体" w:eastAsia="宋体"/>
          <w:szCs w:val="21"/>
        </w:rPr>
        <w:t>后勤信息化管理平台打造了以工单为驱动的后勤一站式服务平台并设立指挥中心，后勤一站式服务中心是将医院内各后勤部门所提供的服务集中到一个统一的对外联系“窗口”，最终实现一个中心解决所有后勤相关问题的目标。通过一站式服务平台能够将临床科室人员与后勤运维人员通过信息化手段的打通，实现包含报修、综合维修服务、医废管理等多个服务内容的高效响应。</w:t>
      </w:r>
    </w:p>
    <w:p>
      <w:pPr>
        <w:ind w:firstLine="482"/>
        <w:rPr>
          <w:rFonts w:ascii="宋体" w:hAnsi="宋体"/>
          <w:b/>
          <w:bCs/>
          <w:sz w:val="24"/>
        </w:rPr>
      </w:pPr>
      <w:r>
        <w:rPr>
          <w:rFonts w:hint="eastAsia" w:ascii="宋体" w:hAnsi="宋体"/>
          <w:b/>
          <w:bCs/>
          <w:sz w:val="24"/>
        </w:rPr>
        <w:t>（</w:t>
      </w:r>
      <w:r>
        <w:rPr>
          <w:rFonts w:ascii="宋体" w:hAnsi="宋体"/>
          <w:b/>
          <w:bCs/>
          <w:sz w:val="24"/>
        </w:rPr>
        <w:t>3</w:t>
      </w:r>
      <w:r>
        <w:rPr>
          <w:rFonts w:hint="eastAsia" w:ascii="宋体" w:hAnsi="宋体"/>
          <w:b/>
          <w:bCs/>
          <w:sz w:val="24"/>
        </w:rPr>
        <w:t>）社会及经济价值</w:t>
      </w:r>
    </w:p>
    <w:p>
      <w:pPr>
        <w:pStyle w:val="2"/>
      </w:pPr>
      <w:r>
        <w:rPr>
          <w:rFonts w:hint="eastAsia"/>
        </w:rPr>
        <w:t>1）能源精细化管理</w:t>
      </w:r>
    </w:p>
    <w:tbl>
      <w:tblPr>
        <w:tblStyle w:val="29"/>
        <w:tblW w:w="5000" w:type="pct"/>
        <w:tblInd w:w="0" w:type="dxa"/>
        <w:tblLayout w:type="fixed"/>
        <w:tblCellMar>
          <w:top w:w="0" w:type="dxa"/>
          <w:left w:w="0" w:type="dxa"/>
          <w:bottom w:w="0" w:type="dxa"/>
          <w:right w:w="0" w:type="dxa"/>
        </w:tblCellMar>
      </w:tblPr>
      <w:tblGrid>
        <w:gridCol w:w="2131"/>
        <w:gridCol w:w="6199"/>
      </w:tblGrid>
      <w:tr>
        <w:tblPrEx>
          <w:tblCellMar>
            <w:top w:w="0" w:type="dxa"/>
            <w:left w:w="0" w:type="dxa"/>
            <w:bottom w:w="0" w:type="dxa"/>
            <w:right w:w="0" w:type="dxa"/>
          </w:tblCellMar>
        </w:tblPrEx>
        <w:trPr>
          <w:trHeight w:val="288" w:hRule="atLeast"/>
        </w:trPr>
        <w:tc>
          <w:tcPr>
            <w:tcW w:w="1279" w:type="pct"/>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spacing w:line="240" w:lineRule="auto"/>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价值呈现</w:t>
            </w:r>
          </w:p>
        </w:tc>
        <w:tc>
          <w:tcPr>
            <w:tcW w:w="3721" w:type="pct"/>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spacing w:line="240" w:lineRule="auto"/>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详情</w:t>
            </w:r>
          </w:p>
        </w:tc>
      </w:tr>
      <w:tr>
        <w:tblPrEx>
          <w:tblCellMar>
            <w:top w:w="0" w:type="dxa"/>
            <w:left w:w="0" w:type="dxa"/>
            <w:bottom w:w="0" w:type="dxa"/>
            <w:right w:w="0" w:type="dxa"/>
          </w:tblCellMar>
        </w:tblPrEx>
        <w:trPr>
          <w:trHeight w:val="1453" w:hRule="atLeast"/>
        </w:trPr>
        <w:tc>
          <w:tcPr>
            <w:tcW w:w="1279" w:type="pct"/>
            <w:vMerge w:val="restart"/>
            <w:tcBorders>
              <w:top w:val="single" w:color="000000" w:sz="4" w:space="0"/>
              <w:left w:val="single" w:color="000000" w:sz="4" w:space="0"/>
              <w:right w:val="single" w:color="000000" w:sz="4" w:space="0"/>
            </w:tcBorders>
            <w:shd w:val="clear" w:color="auto" w:fill="auto"/>
            <w:tcMar>
              <w:top w:w="12" w:type="dxa"/>
              <w:left w:w="12" w:type="dxa"/>
              <w:right w:w="12" w:type="dxa"/>
            </w:tcMar>
            <w:vAlign w:val="center"/>
          </w:tcPr>
          <w:p>
            <w:pPr>
              <w:widowControl/>
              <w:jc w:val="center"/>
              <w:textAlignment w:val="center"/>
              <w:rPr>
                <w:rFonts w:ascii="宋体" w:hAnsi="宋体" w:eastAsia="宋体" w:cs="宋体"/>
                <w:bCs/>
                <w:color w:val="000000"/>
                <w:sz w:val="18"/>
                <w:szCs w:val="18"/>
              </w:rPr>
            </w:pPr>
            <w:r>
              <w:rPr>
                <w:rFonts w:hint="eastAsia" w:ascii="宋体" w:hAnsi="宋体" w:eastAsia="宋体" w:cs="宋体"/>
                <w:bCs/>
                <w:color w:val="000000"/>
                <w:kern w:val="0"/>
                <w:sz w:val="18"/>
                <w:szCs w:val="18"/>
                <w:lang w:bidi="ar"/>
              </w:rPr>
              <w:t>能源精细化管理</w:t>
            </w:r>
            <w:r>
              <w:rPr>
                <w:rFonts w:hint="eastAsia" w:ascii="宋体" w:hAnsi="宋体" w:eastAsia="宋体" w:cs="宋体"/>
                <w:bCs/>
                <w:color w:val="000000"/>
                <w:kern w:val="0"/>
                <w:sz w:val="18"/>
                <w:szCs w:val="18"/>
                <w:lang w:bidi="ar"/>
              </w:rPr>
              <w:br w:type="textWrapping"/>
            </w:r>
            <w:r>
              <w:rPr>
                <w:rFonts w:hint="eastAsia" w:ascii="宋体" w:hAnsi="宋体" w:eastAsia="宋体" w:cs="宋体"/>
                <w:bCs/>
                <w:color w:val="000000"/>
                <w:kern w:val="0"/>
                <w:sz w:val="18"/>
                <w:szCs w:val="18"/>
                <w:lang w:bidi="ar"/>
              </w:rPr>
              <w:t>（综合节能率↑10%）</w:t>
            </w:r>
          </w:p>
        </w:tc>
        <w:tc>
          <w:tcPr>
            <w:tcW w:w="3721" w:type="pct"/>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center"/>
          </w:tcPr>
          <w:p>
            <w:pPr>
              <w:widowControl/>
              <w:textAlignment w:val="center"/>
              <w:rPr>
                <w:rFonts w:ascii="宋体" w:hAnsi="宋体" w:eastAsia="宋体" w:cs="宋体"/>
                <w:bCs/>
                <w:color w:val="000000"/>
                <w:sz w:val="18"/>
                <w:szCs w:val="18"/>
              </w:rPr>
            </w:pPr>
            <w:r>
              <w:rPr>
                <w:rFonts w:hint="eastAsia" w:ascii="宋体" w:hAnsi="宋体" w:eastAsia="宋体" w:cs="宋体"/>
                <w:bCs/>
                <w:color w:val="000000"/>
                <w:kern w:val="0"/>
                <w:sz w:val="18"/>
                <w:szCs w:val="18"/>
                <w:lang w:bidi="ar"/>
              </w:rPr>
              <w:t xml:space="preserve">1) </w:t>
            </w:r>
            <w:r>
              <w:rPr>
                <w:rStyle w:val="55"/>
                <w:rFonts w:hint="default"/>
                <w:bCs/>
                <w:sz w:val="18"/>
                <w:szCs w:val="18"/>
                <w:lang w:bidi="ar"/>
              </w:rPr>
              <w:t>满足国务院办公厅下发《建立现代医院管理制度的指导意见》中健全后勤管理制度，建设后勤一站式服务及降低万元收入能耗费用支出的要求；实现全院能耗计量，科室用能考核，对标其他同类型医院管理，降低万元收入能耗支出，打造绿色医院。</w:t>
            </w:r>
          </w:p>
        </w:tc>
      </w:tr>
      <w:tr>
        <w:tblPrEx>
          <w:tblCellMar>
            <w:top w:w="0" w:type="dxa"/>
            <w:left w:w="0" w:type="dxa"/>
            <w:bottom w:w="0" w:type="dxa"/>
            <w:right w:w="0" w:type="dxa"/>
          </w:tblCellMar>
        </w:tblPrEx>
        <w:trPr>
          <w:trHeight w:val="1248" w:hRule="atLeast"/>
        </w:trPr>
        <w:tc>
          <w:tcPr>
            <w:tcW w:w="1279" w:type="pct"/>
            <w:vMerge w:val="continue"/>
            <w:tcBorders>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ascii="宋体" w:hAnsi="宋体" w:eastAsia="宋体" w:cs="宋体"/>
                <w:bCs/>
                <w:color w:val="000000"/>
                <w:sz w:val="18"/>
                <w:szCs w:val="18"/>
              </w:rPr>
            </w:pPr>
          </w:p>
        </w:tc>
        <w:tc>
          <w:tcPr>
            <w:tcW w:w="3721" w:type="pct"/>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center"/>
          </w:tcPr>
          <w:p>
            <w:pPr>
              <w:widowControl/>
              <w:textAlignment w:val="center"/>
              <w:rPr>
                <w:rFonts w:ascii="宋体" w:hAnsi="宋体" w:eastAsia="宋体" w:cs="宋体"/>
                <w:bCs/>
                <w:color w:val="000000"/>
                <w:kern w:val="0"/>
                <w:sz w:val="18"/>
                <w:szCs w:val="18"/>
                <w:lang w:bidi="ar"/>
              </w:rPr>
            </w:pPr>
            <w:r>
              <w:rPr>
                <w:rFonts w:hint="eastAsia" w:ascii="宋体" w:hAnsi="宋体" w:eastAsia="宋体" w:cs="宋体"/>
                <w:bCs/>
                <w:color w:val="000000"/>
                <w:kern w:val="0"/>
                <w:sz w:val="18"/>
                <w:szCs w:val="18"/>
                <w:lang w:bidi="ar"/>
              </w:rPr>
              <w:t>2) 通过管理节能，优化设备不合理的配置，通过有效的管理提高设备的运行效率，降低了设备的能耗，延长了设备使用寿命</w:t>
            </w:r>
          </w:p>
        </w:tc>
      </w:tr>
      <w:tr>
        <w:tblPrEx>
          <w:tblCellMar>
            <w:top w:w="0" w:type="dxa"/>
            <w:left w:w="0" w:type="dxa"/>
            <w:bottom w:w="0" w:type="dxa"/>
            <w:right w:w="0" w:type="dxa"/>
          </w:tblCellMar>
        </w:tblPrEx>
        <w:trPr>
          <w:trHeight w:val="90" w:hRule="atLeast"/>
        </w:trPr>
        <w:tc>
          <w:tcPr>
            <w:tcW w:w="1279" w:type="pct"/>
            <w:vMerge w:val="continue"/>
            <w:tcBorders>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ascii="宋体" w:hAnsi="宋体" w:eastAsia="宋体" w:cs="宋体"/>
                <w:bCs/>
                <w:color w:val="000000"/>
                <w:sz w:val="18"/>
                <w:szCs w:val="18"/>
              </w:rPr>
            </w:pPr>
          </w:p>
        </w:tc>
        <w:tc>
          <w:tcPr>
            <w:tcW w:w="3721" w:type="pct"/>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center"/>
          </w:tcPr>
          <w:p>
            <w:pPr>
              <w:widowControl/>
              <w:textAlignment w:val="center"/>
              <w:rPr>
                <w:rFonts w:ascii="宋体" w:hAnsi="宋体" w:eastAsia="宋体" w:cs="宋体"/>
                <w:bCs/>
                <w:color w:val="000000"/>
                <w:kern w:val="0"/>
                <w:sz w:val="18"/>
                <w:szCs w:val="18"/>
                <w:lang w:bidi="ar"/>
              </w:rPr>
            </w:pPr>
            <w:r>
              <w:rPr>
                <w:rFonts w:hint="eastAsia" w:ascii="宋体" w:hAnsi="宋体" w:eastAsia="宋体" w:cs="宋体"/>
                <w:bCs/>
                <w:color w:val="000000"/>
                <w:kern w:val="0"/>
                <w:sz w:val="18"/>
                <w:szCs w:val="18"/>
                <w:lang w:bidi="ar"/>
              </w:rPr>
              <w:t>3) 提升医院安全用能、高效用能水平</w:t>
            </w:r>
          </w:p>
        </w:tc>
      </w:tr>
    </w:tbl>
    <w:p>
      <w:pPr>
        <w:pStyle w:val="2"/>
      </w:pPr>
      <w:r>
        <w:rPr>
          <w:rFonts w:hint="eastAsia"/>
        </w:rPr>
        <w:t>2）支撑保障后勤服务的安全运行</w:t>
      </w:r>
    </w:p>
    <w:tbl>
      <w:tblPr>
        <w:tblStyle w:val="29"/>
        <w:tblW w:w="5000" w:type="pct"/>
        <w:tblInd w:w="0" w:type="dxa"/>
        <w:tblLayout w:type="fixed"/>
        <w:tblCellMar>
          <w:top w:w="0" w:type="dxa"/>
          <w:left w:w="0" w:type="dxa"/>
          <w:bottom w:w="0" w:type="dxa"/>
          <w:right w:w="0" w:type="dxa"/>
        </w:tblCellMar>
      </w:tblPr>
      <w:tblGrid>
        <w:gridCol w:w="2154"/>
        <w:gridCol w:w="6266"/>
      </w:tblGrid>
      <w:tr>
        <w:tblPrEx>
          <w:tblCellMar>
            <w:top w:w="0" w:type="dxa"/>
            <w:left w:w="0" w:type="dxa"/>
            <w:bottom w:w="0" w:type="dxa"/>
            <w:right w:w="0" w:type="dxa"/>
          </w:tblCellMar>
        </w:tblPrEx>
        <w:trPr>
          <w:trHeight w:val="288" w:hRule="atLeast"/>
        </w:trPr>
        <w:tc>
          <w:tcPr>
            <w:tcW w:w="1279" w:type="pct"/>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center"/>
          </w:tcPr>
          <w:p>
            <w:pPr>
              <w:widowControl/>
              <w:spacing w:line="240" w:lineRule="auto"/>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价值呈现</w:t>
            </w:r>
          </w:p>
        </w:tc>
        <w:tc>
          <w:tcPr>
            <w:tcW w:w="3720" w:type="pct"/>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center"/>
          </w:tcPr>
          <w:p>
            <w:pPr>
              <w:widowControl/>
              <w:spacing w:line="240" w:lineRule="auto"/>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详情</w:t>
            </w:r>
          </w:p>
        </w:tc>
      </w:tr>
      <w:tr>
        <w:tblPrEx>
          <w:tblCellMar>
            <w:top w:w="0" w:type="dxa"/>
            <w:left w:w="0" w:type="dxa"/>
            <w:bottom w:w="0" w:type="dxa"/>
            <w:right w:w="0" w:type="dxa"/>
          </w:tblCellMar>
        </w:tblPrEx>
        <w:trPr>
          <w:trHeight w:val="624" w:hRule="atLeast"/>
        </w:trPr>
        <w:tc>
          <w:tcPr>
            <w:tcW w:w="1279" w:type="pct"/>
            <w:vMerge w:val="restart"/>
            <w:tcBorders>
              <w:top w:val="single" w:color="000000" w:sz="4" w:space="0"/>
              <w:left w:val="single" w:color="000000" w:sz="4" w:space="0"/>
              <w:bottom w:val="single" w:color="000000" w:sz="4" w:space="0"/>
              <w:right w:val="single" w:color="000000" w:sz="4" w:space="0"/>
            </w:tcBorders>
            <w:shd w:val="clear" w:color="auto" w:fill="auto"/>
            <w:tcMar>
              <w:top w:w="57" w:type="dxa"/>
              <w:left w:w="57" w:type="dxa"/>
              <w:bottom w:w="57" w:type="dxa"/>
              <w:right w:w="57" w:type="dxa"/>
            </w:tcMar>
            <w:vAlign w:val="center"/>
          </w:tcPr>
          <w:p>
            <w:pPr>
              <w:widowControl/>
              <w:jc w:val="center"/>
              <w:textAlignment w:val="center"/>
              <w:rPr>
                <w:rFonts w:ascii="宋体" w:hAnsi="宋体" w:eastAsia="宋体" w:cs="宋体"/>
                <w:bCs/>
                <w:color w:val="000000"/>
                <w:sz w:val="18"/>
                <w:szCs w:val="18"/>
              </w:rPr>
            </w:pPr>
            <w:r>
              <w:rPr>
                <w:rFonts w:hint="eastAsia" w:ascii="宋体" w:hAnsi="宋体" w:eastAsia="宋体" w:cs="宋体"/>
                <w:bCs/>
                <w:color w:val="000000"/>
                <w:kern w:val="0"/>
                <w:sz w:val="18"/>
                <w:szCs w:val="18"/>
                <w:lang w:bidi="ar"/>
              </w:rPr>
              <w:t>设备安全保障</w:t>
            </w:r>
            <w:r>
              <w:rPr>
                <w:rFonts w:hint="eastAsia" w:ascii="宋体" w:hAnsi="宋体" w:eastAsia="宋体" w:cs="宋体"/>
                <w:bCs/>
                <w:color w:val="000000"/>
                <w:kern w:val="0"/>
                <w:sz w:val="18"/>
                <w:szCs w:val="18"/>
                <w:lang w:bidi="ar"/>
              </w:rPr>
              <w:br w:type="textWrapping"/>
            </w:r>
            <w:r>
              <w:rPr>
                <w:rFonts w:hint="eastAsia" w:ascii="宋体" w:hAnsi="宋体" w:eastAsia="宋体" w:cs="宋体"/>
                <w:bCs/>
                <w:color w:val="000000"/>
                <w:kern w:val="0"/>
                <w:sz w:val="18"/>
                <w:szCs w:val="18"/>
                <w:lang w:bidi="ar"/>
              </w:rPr>
              <w:t>（设备故障率↓40%）</w:t>
            </w:r>
          </w:p>
        </w:tc>
        <w:tc>
          <w:tcPr>
            <w:tcW w:w="3720" w:type="pct"/>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center"/>
          </w:tcPr>
          <w:p>
            <w:pPr>
              <w:widowControl/>
              <w:textAlignment w:val="center"/>
              <w:rPr>
                <w:rFonts w:ascii="宋体" w:hAnsi="宋体" w:eastAsia="宋体" w:cs="宋体"/>
                <w:bCs/>
                <w:color w:val="000000"/>
                <w:sz w:val="18"/>
                <w:szCs w:val="18"/>
              </w:rPr>
            </w:pPr>
            <w:r>
              <w:rPr>
                <w:rFonts w:hint="eastAsia" w:ascii="宋体" w:hAnsi="宋体" w:eastAsia="宋体" w:cs="宋体"/>
                <w:bCs/>
                <w:color w:val="000000"/>
                <w:kern w:val="0"/>
                <w:sz w:val="18"/>
                <w:szCs w:val="18"/>
                <w:lang w:bidi="ar"/>
              </w:rPr>
              <w:t>1)</w:t>
            </w:r>
            <w:r>
              <w:rPr>
                <w:rFonts w:hint="eastAsia" w:ascii="宋体" w:hAnsi="宋体" w:eastAsia="宋体" w:cs="宋体"/>
                <w:sz w:val="18"/>
                <w:szCs w:val="18"/>
              </w:rPr>
              <w:t xml:space="preserve"> </w:t>
            </w:r>
            <w:r>
              <w:rPr>
                <w:rFonts w:hint="eastAsia" w:ascii="宋体" w:hAnsi="宋体" w:eastAsia="宋体" w:cs="宋体"/>
                <w:bCs/>
                <w:color w:val="000000"/>
                <w:kern w:val="0"/>
                <w:sz w:val="18"/>
                <w:szCs w:val="18"/>
                <w:lang w:bidi="ar"/>
              </w:rPr>
              <w:t>多机房统一监控，统一告警，快速定位，通过建设现场设备监测点位，实现设备设施的在线实时监控，提升设备的安全运行保障，降低40%设备故障率。</w:t>
            </w:r>
          </w:p>
        </w:tc>
      </w:tr>
      <w:tr>
        <w:tblPrEx>
          <w:tblCellMar>
            <w:top w:w="0" w:type="dxa"/>
            <w:left w:w="0" w:type="dxa"/>
            <w:bottom w:w="0" w:type="dxa"/>
            <w:right w:w="0" w:type="dxa"/>
          </w:tblCellMar>
        </w:tblPrEx>
        <w:trPr>
          <w:trHeight w:val="624" w:hRule="atLeast"/>
        </w:trPr>
        <w:tc>
          <w:tcPr>
            <w:tcW w:w="1279" w:type="pct"/>
            <w:vMerge w:val="continue"/>
            <w:tcBorders>
              <w:top w:val="single" w:color="000000" w:sz="4" w:space="0"/>
              <w:left w:val="single" w:color="000000" w:sz="4" w:space="0"/>
              <w:bottom w:val="single" w:color="000000" w:sz="4" w:space="0"/>
              <w:right w:val="single" w:color="000000" w:sz="4" w:space="0"/>
            </w:tcBorders>
            <w:shd w:val="clear" w:color="auto" w:fill="auto"/>
            <w:tcMar>
              <w:top w:w="57" w:type="dxa"/>
              <w:left w:w="57" w:type="dxa"/>
              <w:bottom w:w="57" w:type="dxa"/>
              <w:right w:w="57" w:type="dxa"/>
            </w:tcMar>
            <w:vAlign w:val="center"/>
          </w:tcPr>
          <w:p>
            <w:pPr>
              <w:jc w:val="center"/>
              <w:rPr>
                <w:rFonts w:ascii="宋体" w:hAnsi="宋体" w:eastAsia="宋体" w:cs="宋体"/>
                <w:bCs/>
                <w:color w:val="000000"/>
                <w:sz w:val="18"/>
                <w:szCs w:val="18"/>
              </w:rPr>
            </w:pPr>
          </w:p>
        </w:tc>
        <w:tc>
          <w:tcPr>
            <w:tcW w:w="3720" w:type="pct"/>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center"/>
          </w:tcPr>
          <w:p>
            <w:pPr>
              <w:widowControl/>
              <w:textAlignment w:val="center"/>
              <w:rPr>
                <w:rFonts w:ascii="宋体" w:hAnsi="宋体" w:eastAsia="宋体" w:cs="宋体"/>
                <w:bCs/>
                <w:color w:val="000000"/>
                <w:sz w:val="18"/>
                <w:szCs w:val="18"/>
              </w:rPr>
            </w:pPr>
            <w:r>
              <w:rPr>
                <w:rFonts w:hint="eastAsia" w:ascii="宋体" w:hAnsi="宋体" w:eastAsia="宋体" w:cs="宋体"/>
                <w:bCs/>
                <w:color w:val="000000"/>
                <w:kern w:val="0"/>
                <w:sz w:val="18"/>
                <w:szCs w:val="18"/>
                <w:lang w:bidi="ar"/>
              </w:rPr>
              <w:t>2) 建立机电标准服务体系，保障机电系统运行安全</w:t>
            </w:r>
          </w:p>
        </w:tc>
      </w:tr>
      <w:tr>
        <w:tblPrEx>
          <w:tblCellMar>
            <w:top w:w="0" w:type="dxa"/>
            <w:left w:w="0" w:type="dxa"/>
            <w:bottom w:w="0" w:type="dxa"/>
            <w:right w:w="0" w:type="dxa"/>
          </w:tblCellMar>
        </w:tblPrEx>
        <w:trPr>
          <w:trHeight w:val="936" w:hRule="atLeast"/>
        </w:trPr>
        <w:tc>
          <w:tcPr>
            <w:tcW w:w="1279" w:type="pct"/>
            <w:vMerge w:val="continue"/>
            <w:tcBorders>
              <w:top w:val="single" w:color="000000" w:sz="4" w:space="0"/>
              <w:left w:val="single" w:color="000000" w:sz="4" w:space="0"/>
              <w:bottom w:val="single" w:color="000000" w:sz="4" w:space="0"/>
              <w:right w:val="single" w:color="000000" w:sz="4" w:space="0"/>
            </w:tcBorders>
            <w:shd w:val="clear" w:color="auto" w:fill="auto"/>
            <w:tcMar>
              <w:top w:w="57" w:type="dxa"/>
              <w:left w:w="57" w:type="dxa"/>
              <w:bottom w:w="57" w:type="dxa"/>
              <w:right w:w="57" w:type="dxa"/>
            </w:tcMar>
            <w:vAlign w:val="center"/>
          </w:tcPr>
          <w:p>
            <w:pPr>
              <w:jc w:val="center"/>
              <w:rPr>
                <w:rFonts w:ascii="宋体" w:hAnsi="宋体" w:eastAsia="宋体" w:cs="宋体"/>
                <w:bCs/>
                <w:color w:val="000000"/>
                <w:sz w:val="18"/>
                <w:szCs w:val="18"/>
              </w:rPr>
            </w:pPr>
          </w:p>
        </w:tc>
        <w:tc>
          <w:tcPr>
            <w:tcW w:w="3720" w:type="pct"/>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center"/>
          </w:tcPr>
          <w:p>
            <w:pPr>
              <w:widowControl/>
              <w:textAlignment w:val="center"/>
              <w:rPr>
                <w:rFonts w:ascii="宋体" w:hAnsi="宋体" w:eastAsia="宋体" w:cs="宋体"/>
                <w:bCs/>
                <w:color w:val="000000"/>
                <w:sz w:val="18"/>
                <w:szCs w:val="18"/>
              </w:rPr>
            </w:pPr>
            <w:r>
              <w:rPr>
                <w:rFonts w:hint="eastAsia" w:ascii="宋体" w:hAnsi="宋体" w:eastAsia="宋体" w:cs="宋体"/>
                <w:bCs/>
                <w:color w:val="000000"/>
                <w:kern w:val="0"/>
                <w:sz w:val="18"/>
                <w:szCs w:val="18"/>
                <w:lang w:bidi="ar"/>
              </w:rPr>
              <w:t>3) 管理方面，平台结合工单系统为驱动，实现事前维护保养/预防巡检、事中实时报警快速处理、事后故障分析制定策略，设备安全性能有质的提升,建设预防性维护体系，保障医院用能安全;</w:t>
            </w:r>
          </w:p>
        </w:tc>
      </w:tr>
    </w:tbl>
    <w:p>
      <w:pPr>
        <w:ind w:firstLine="840" w:firstLineChars="400"/>
      </w:pPr>
      <w:r>
        <w:rPr>
          <w:rFonts w:hint="eastAsia"/>
        </w:rPr>
        <w:t>3）满足医院后勤服务需求侧、运行侧与管理侧的核心需求</w:t>
      </w:r>
    </w:p>
    <w:tbl>
      <w:tblPr>
        <w:tblStyle w:val="29"/>
        <w:tblW w:w="5000" w:type="pct"/>
        <w:tblInd w:w="0" w:type="dxa"/>
        <w:tblLayout w:type="fixed"/>
        <w:tblCellMar>
          <w:top w:w="0" w:type="dxa"/>
          <w:left w:w="0" w:type="dxa"/>
          <w:bottom w:w="0" w:type="dxa"/>
          <w:right w:w="0" w:type="dxa"/>
        </w:tblCellMar>
      </w:tblPr>
      <w:tblGrid>
        <w:gridCol w:w="2414"/>
        <w:gridCol w:w="5916"/>
      </w:tblGrid>
      <w:tr>
        <w:tblPrEx>
          <w:tblCellMar>
            <w:top w:w="0" w:type="dxa"/>
            <w:left w:w="0" w:type="dxa"/>
            <w:bottom w:w="0" w:type="dxa"/>
            <w:right w:w="0" w:type="dxa"/>
          </w:tblCellMar>
        </w:tblPrEx>
        <w:trPr>
          <w:trHeight w:val="344" w:hRule="atLeast"/>
        </w:trPr>
        <w:tc>
          <w:tcPr>
            <w:tcW w:w="1449" w:type="pct"/>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spacing w:line="240" w:lineRule="auto"/>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价值呈现</w:t>
            </w:r>
          </w:p>
        </w:tc>
        <w:tc>
          <w:tcPr>
            <w:tcW w:w="3551" w:type="pct"/>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spacing w:line="240" w:lineRule="auto"/>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详情</w:t>
            </w:r>
          </w:p>
        </w:tc>
      </w:tr>
      <w:tr>
        <w:tblPrEx>
          <w:tblCellMar>
            <w:top w:w="0" w:type="dxa"/>
            <w:left w:w="0" w:type="dxa"/>
            <w:bottom w:w="0" w:type="dxa"/>
            <w:right w:w="0" w:type="dxa"/>
          </w:tblCellMar>
        </w:tblPrEx>
        <w:trPr>
          <w:trHeight w:val="1248" w:hRule="atLeast"/>
        </w:trPr>
        <w:tc>
          <w:tcPr>
            <w:tcW w:w="1449" w:type="pct"/>
            <w:vMerge w:val="restart"/>
            <w:tcBorders>
              <w:top w:val="single" w:color="000000" w:sz="4" w:space="0"/>
              <w:left w:val="single" w:color="000000" w:sz="4" w:space="0"/>
              <w:bottom w:val="single" w:color="000000" w:sz="4" w:space="0"/>
              <w:right w:val="single" w:color="000000" w:sz="4" w:space="0"/>
            </w:tcBorders>
            <w:shd w:val="clear" w:color="auto" w:fill="auto"/>
            <w:tcMar>
              <w:top w:w="57" w:type="dxa"/>
              <w:left w:w="57" w:type="dxa"/>
              <w:bottom w:w="57" w:type="dxa"/>
              <w:right w:w="57" w:type="dxa"/>
            </w:tcMar>
            <w:vAlign w:val="center"/>
          </w:tcPr>
          <w:p>
            <w:pPr>
              <w:widowControl/>
              <w:jc w:val="center"/>
              <w:textAlignment w:val="center"/>
              <w:rPr>
                <w:rFonts w:ascii="宋体" w:hAnsi="宋体" w:eastAsia="宋体" w:cs="宋体"/>
                <w:bCs/>
                <w:color w:val="000000"/>
                <w:sz w:val="18"/>
                <w:szCs w:val="18"/>
              </w:rPr>
            </w:pPr>
            <w:r>
              <w:rPr>
                <w:rFonts w:hint="eastAsia" w:ascii="宋体" w:hAnsi="宋体" w:eastAsia="宋体" w:cs="宋体"/>
                <w:bCs/>
                <w:color w:val="000000"/>
                <w:kern w:val="0"/>
                <w:sz w:val="18"/>
                <w:szCs w:val="18"/>
                <w:lang w:bidi="ar"/>
              </w:rPr>
              <w:t>高运维效管理</w:t>
            </w:r>
            <w:r>
              <w:rPr>
                <w:rFonts w:hint="eastAsia" w:ascii="宋体" w:hAnsi="宋体" w:eastAsia="宋体" w:cs="宋体"/>
                <w:bCs/>
                <w:color w:val="000000"/>
                <w:kern w:val="0"/>
                <w:sz w:val="18"/>
                <w:szCs w:val="18"/>
                <w:lang w:bidi="ar"/>
              </w:rPr>
              <w:br w:type="textWrapping"/>
            </w:r>
            <w:r>
              <w:rPr>
                <w:rFonts w:hint="eastAsia" w:ascii="宋体" w:hAnsi="宋体" w:eastAsia="宋体" w:cs="宋体"/>
                <w:bCs/>
                <w:color w:val="000000"/>
                <w:kern w:val="0"/>
                <w:sz w:val="18"/>
                <w:szCs w:val="18"/>
                <w:lang w:bidi="ar"/>
              </w:rPr>
              <w:t>（综合运行成本↓25%）</w:t>
            </w:r>
          </w:p>
        </w:tc>
        <w:tc>
          <w:tcPr>
            <w:tcW w:w="3551" w:type="pct"/>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center"/>
          </w:tcPr>
          <w:p>
            <w:pPr>
              <w:widowControl/>
              <w:textAlignment w:val="center"/>
              <w:rPr>
                <w:rFonts w:ascii="宋体" w:hAnsi="宋体" w:eastAsia="宋体" w:cs="宋体"/>
                <w:bCs/>
                <w:color w:val="000000"/>
                <w:sz w:val="18"/>
                <w:szCs w:val="18"/>
              </w:rPr>
            </w:pPr>
            <w:r>
              <w:rPr>
                <w:rFonts w:hint="eastAsia" w:ascii="宋体" w:hAnsi="宋体" w:eastAsia="宋体" w:cs="宋体"/>
                <w:bCs/>
                <w:color w:val="000000"/>
                <w:kern w:val="0"/>
                <w:sz w:val="18"/>
                <w:szCs w:val="18"/>
                <w:lang w:bidi="ar"/>
              </w:rPr>
              <w:t>1) 为医院临床医护人员、病患家属提供方便易得、快速响应、专业高效的“一站式”服务。以患者为中心，以临床一线医护人员为根本，实现事件接报、任务分派、进度追踪、质量把控、结果评价的闭环式管理，保证服务及时响应，保证服务品质和安全执行。</w:t>
            </w:r>
          </w:p>
        </w:tc>
      </w:tr>
      <w:tr>
        <w:tblPrEx>
          <w:tblCellMar>
            <w:top w:w="0" w:type="dxa"/>
            <w:left w:w="0" w:type="dxa"/>
            <w:bottom w:w="0" w:type="dxa"/>
            <w:right w:w="0" w:type="dxa"/>
          </w:tblCellMar>
        </w:tblPrEx>
        <w:trPr>
          <w:trHeight w:val="936" w:hRule="atLeast"/>
        </w:trPr>
        <w:tc>
          <w:tcPr>
            <w:tcW w:w="1449" w:type="pct"/>
            <w:vMerge w:val="continue"/>
            <w:tcBorders>
              <w:top w:val="single" w:color="000000" w:sz="4" w:space="0"/>
              <w:left w:val="single" w:color="000000" w:sz="4" w:space="0"/>
              <w:bottom w:val="single" w:color="000000" w:sz="4" w:space="0"/>
              <w:right w:val="single" w:color="000000" w:sz="4" w:space="0"/>
            </w:tcBorders>
            <w:shd w:val="clear" w:color="auto" w:fill="auto"/>
            <w:tcMar>
              <w:top w:w="57" w:type="dxa"/>
              <w:left w:w="57" w:type="dxa"/>
              <w:bottom w:w="57" w:type="dxa"/>
              <w:right w:w="57" w:type="dxa"/>
            </w:tcMar>
            <w:vAlign w:val="center"/>
          </w:tcPr>
          <w:p>
            <w:pPr>
              <w:jc w:val="center"/>
              <w:rPr>
                <w:rFonts w:ascii="宋体" w:hAnsi="宋体" w:eastAsia="宋体" w:cs="宋体"/>
                <w:bCs/>
                <w:color w:val="000000"/>
                <w:sz w:val="18"/>
                <w:szCs w:val="18"/>
              </w:rPr>
            </w:pPr>
          </w:p>
        </w:tc>
        <w:tc>
          <w:tcPr>
            <w:tcW w:w="3551" w:type="pct"/>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center"/>
          </w:tcPr>
          <w:p>
            <w:pPr>
              <w:widowControl/>
              <w:textAlignment w:val="center"/>
              <w:rPr>
                <w:rFonts w:ascii="宋体" w:hAnsi="宋体" w:eastAsia="宋体" w:cs="宋体"/>
                <w:bCs/>
                <w:color w:val="000000"/>
                <w:sz w:val="18"/>
                <w:szCs w:val="18"/>
              </w:rPr>
            </w:pPr>
            <w:r>
              <w:rPr>
                <w:rFonts w:hint="eastAsia" w:ascii="宋体" w:hAnsi="宋体" w:eastAsia="宋体" w:cs="宋体"/>
                <w:bCs/>
                <w:color w:val="000000"/>
                <w:kern w:val="0"/>
                <w:sz w:val="18"/>
                <w:szCs w:val="18"/>
                <w:lang w:bidi="ar"/>
              </w:rPr>
              <w:t>2) 为医院管理者、后勤职能部门提供从社会化服务商选择、后勤运维体系建设到高品质、闭环的标准化后勤服务的“一站式”服务体验。以安全为中心，以保障医院运行为根本，实现后勤安全运行的集中监控与综合调度。</w:t>
            </w:r>
          </w:p>
        </w:tc>
      </w:tr>
      <w:tr>
        <w:tblPrEx>
          <w:tblCellMar>
            <w:top w:w="0" w:type="dxa"/>
            <w:left w:w="0" w:type="dxa"/>
            <w:bottom w:w="0" w:type="dxa"/>
            <w:right w:w="0" w:type="dxa"/>
          </w:tblCellMar>
        </w:tblPrEx>
        <w:trPr>
          <w:trHeight w:val="624" w:hRule="atLeast"/>
        </w:trPr>
        <w:tc>
          <w:tcPr>
            <w:tcW w:w="1449" w:type="pct"/>
            <w:vMerge w:val="continue"/>
            <w:tcBorders>
              <w:top w:val="single" w:color="000000" w:sz="4" w:space="0"/>
              <w:left w:val="single" w:color="000000" w:sz="4" w:space="0"/>
              <w:bottom w:val="single" w:color="000000" w:sz="4" w:space="0"/>
              <w:right w:val="single" w:color="000000" w:sz="4" w:space="0"/>
            </w:tcBorders>
            <w:shd w:val="clear" w:color="auto" w:fill="auto"/>
            <w:tcMar>
              <w:top w:w="57" w:type="dxa"/>
              <w:left w:w="57" w:type="dxa"/>
              <w:bottom w:w="57" w:type="dxa"/>
              <w:right w:w="57" w:type="dxa"/>
            </w:tcMar>
            <w:vAlign w:val="center"/>
          </w:tcPr>
          <w:p>
            <w:pPr>
              <w:jc w:val="center"/>
              <w:rPr>
                <w:rFonts w:ascii="宋体" w:hAnsi="宋体" w:eastAsia="宋体" w:cs="宋体"/>
                <w:bCs/>
                <w:color w:val="000000"/>
                <w:sz w:val="18"/>
                <w:szCs w:val="18"/>
              </w:rPr>
            </w:pPr>
          </w:p>
        </w:tc>
        <w:tc>
          <w:tcPr>
            <w:tcW w:w="3551" w:type="pct"/>
            <w:tcBorders>
              <w:top w:val="single" w:color="000000" w:sz="4" w:space="0"/>
              <w:left w:val="single" w:color="000000" w:sz="4" w:space="0"/>
              <w:bottom w:val="single" w:color="000000" w:sz="4" w:space="0"/>
              <w:right w:val="single" w:color="000000" w:sz="4" w:space="0"/>
            </w:tcBorders>
            <w:shd w:val="clear" w:color="auto" w:fill="auto"/>
            <w:noWrap/>
            <w:tcMar>
              <w:top w:w="57" w:type="dxa"/>
              <w:left w:w="57" w:type="dxa"/>
              <w:bottom w:w="57" w:type="dxa"/>
              <w:right w:w="57" w:type="dxa"/>
            </w:tcMar>
            <w:vAlign w:val="center"/>
          </w:tcPr>
          <w:p>
            <w:pPr>
              <w:widowControl/>
              <w:textAlignment w:val="center"/>
              <w:rPr>
                <w:rFonts w:ascii="宋体" w:hAnsi="宋体" w:eastAsia="宋体" w:cs="宋体"/>
                <w:bCs/>
                <w:color w:val="000000"/>
                <w:sz w:val="18"/>
                <w:szCs w:val="18"/>
              </w:rPr>
            </w:pPr>
            <w:r>
              <w:rPr>
                <w:rFonts w:hint="eastAsia" w:ascii="宋体" w:hAnsi="宋体" w:eastAsia="宋体" w:cs="宋体"/>
                <w:bCs/>
                <w:color w:val="000000"/>
                <w:kern w:val="0"/>
                <w:sz w:val="18"/>
                <w:szCs w:val="18"/>
                <w:lang w:bidi="ar"/>
              </w:rPr>
              <w:t>3) 针对多院区、医联体、医共体等多点互助的运营模式，提供统一运维标准、集约化人力资源池、信息化云端共享的协同管理服务。</w:t>
            </w:r>
          </w:p>
        </w:tc>
      </w:tr>
    </w:tbl>
    <w:p>
      <w:pPr>
        <w:pStyle w:val="2"/>
        <w:ind w:left="0" w:leftChars="0" w:firstLine="0" w:firstLineChars="0"/>
      </w:pPr>
    </w:p>
    <w:p>
      <w:pPr>
        <w:widowControl/>
        <w:spacing w:line="240" w:lineRule="auto"/>
        <w:jc w:val="left"/>
        <w:rPr>
          <w:rFonts w:ascii="宋体" w:hAnsi="宋体" w:eastAsia="宋体" w:cs="宋体"/>
          <w:b/>
          <w:bCs/>
          <w:kern w:val="0"/>
          <w:sz w:val="36"/>
          <w:szCs w:val="32"/>
        </w:rPr>
      </w:pPr>
      <w:r>
        <w:br w:type="page"/>
      </w:r>
      <w:bookmarkStart w:id="27" w:name="_GoBack"/>
      <w:bookmarkEnd w:id="27"/>
      <w:bookmarkStart w:id="23" w:name="_Toc63608939"/>
    </w:p>
    <w:bookmarkEnd w:id="23"/>
    <w:p>
      <w:pPr>
        <w:pStyle w:val="4"/>
        <w:numPr>
          <w:ilvl w:val="0"/>
          <w:numId w:val="0"/>
        </w:numPr>
        <w:jc w:val="left"/>
        <w:rPr>
          <w:kern w:val="2"/>
        </w:rPr>
      </w:pPr>
      <w:bookmarkStart w:id="24" w:name="_Toc83290258"/>
      <w:r>
        <w:rPr>
          <w:rFonts w:hint="eastAsia"/>
          <w:kern w:val="2"/>
        </w:rPr>
        <w:t>附件：典型案例分享</w:t>
      </w:r>
      <w:bookmarkEnd w:id="24"/>
    </w:p>
    <w:p>
      <w:pPr>
        <w:pStyle w:val="6"/>
        <w:numPr>
          <w:ilvl w:val="3"/>
          <w:numId w:val="12"/>
        </w:numPr>
        <w:jc w:val="left"/>
      </w:pPr>
      <w:bookmarkStart w:id="25" w:name="_Toc83290259"/>
      <w:r>
        <w:rPr>
          <w:rFonts w:hint="eastAsia"/>
        </w:rPr>
        <w:t>杭州市第九人民医院</w:t>
      </w:r>
      <w:bookmarkEnd w:id="25"/>
    </w:p>
    <w:p>
      <w:pPr>
        <w:pStyle w:val="2"/>
        <w:ind w:left="0" w:leftChars="0" w:firstLine="0" w:firstLineChars="0"/>
        <w:jc w:val="center"/>
      </w:pPr>
      <w:r>
        <w:drawing>
          <wp:inline distT="0" distB="0" distL="0" distR="0">
            <wp:extent cx="5274310" cy="2790825"/>
            <wp:effectExtent l="0" t="0" r="2540"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41"/>
                    <a:stretch>
                      <a:fillRect/>
                    </a:stretch>
                  </pic:blipFill>
                  <pic:spPr>
                    <a:xfrm>
                      <a:off x="0" y="0"/>
                      <a:ext cx="5274310" cy="2790825"/>
                    </a:xfrm>
                    <a:prstGeom prst="rect">
                      <a:avLst/>
                    </a:prstGeom>
                  </pic:spPr>
                </pic:pic>
              </a:graphicData>
            </a:graphic>
          </wp:inline>
        </w:drawing>
      </w:r>
    </w:p>
    <w:p>
      <w:pPr>
        <w:ind w:firstLine="420" w:firstLineChars="200"/>
      </w:pPr>
      <w:r>
        <w:rPr>
          <w:rFonts w:hint="eastAsia"/>
        </w:rPr>
        <w:t>杭州市第九人民医院（原杭州市大江东医院）于1996年组建，是一家集医疗、科研、预防为一体的二级甲等综合性医院, 承担周边50万人民群众的医疗、保健、急救任务和辖区内卫生服务中心的技术指导以及转诊工作。医院按三级甲等综合性医院标准设计建造，建筑面积98000平方米，占地面积127亩，实际开放床位630张。2017年8月医院和杭州市第一人民医院集团展开紧密型合作，成为市一集团大江东院区。市一医院派出管理团队和技术团队对医院的管理、科研、医疗、教学等进行全面扶持、指导，实现同质化管理。2020年8月医院成建制划转至杭州市卫健委管理，并更名为杭州市第九人民医院。</w:t>
      </w:r>
    </w:p>
    <w:p>
      <w:pPr>
        <w:ind w:firstLine="420" w:firstLineChars="200"/>
      </w:pPr>
      <w:r>
        <w:rPr>
          <w:rFonts w:hint="eastAsia"/>
        </w:rPr>
        <w:t>医院现有职工近900名，其中卫技人员711名（医生271名、护理334名），中高级职称307名，硕士46名。院内设有住院部、门急诊、手术室、医技、行政、后勤等部门，其中病区14个。医院配有DSA、磁共振、螺旋CT、DR、乳腺钼靶机、生化免疫流水线、彩色多普勒超声诊断仪、电子胃肠镜、腹腔镜、电子支气管镜、血透机等先进医疗设备。拥有先进麻醉手术管理系统，一体化数字手术室，百级、千级、万级、十万级层流纯净手术间及开展各类大型手术的设备设施</w:t>
      </w:r>
    </w:p>
    <w:p>
      <w:pPr>
        <w:pStyle w:val="2"/>
        <w:ind w:left="0" w:leftChars="0" w:firstLine="0" w:firstLineChars="0"/>
      </w:pPr>
      <w:r>
        <w:drawing>
          <wp:inline distT="0" distB="0" distL="0" distR="0">
            <wp:extent cx="5274310" cy="3955415"/>
            <wp:effectExtent l="0" t="0" r="8890" b="6985"/>
            <wp:docPr id="79" name="图片 79" descr="D:\天溯\案例\九院.jpg九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D:\天溯\案例\九院.jpg九院"/>
                    <pic:cNvPicPr>
                      <a:picLocks noChangeAspect="1" noChangeArrowheads="1"/>
                    </pic:cNvPicPr>
                  </pic:nvPicPr>
                  <pic:blipFill>
                    <a:blip r:embed="rId42"/>
                    <a:srcRect/>
                    <a:stretch>
                      <a:fillRect/>
                    </a:stretch>
                  </pic:blipFill>
                  <pic:spPr>
                    <a:xfrm>
                      <a:off x="0" y="0"/>
                      <a:ext cx="5274310" cy="3955415"/>
                    </a:xfrm>
                    <a:prstGeom prst="rect">
                      <a:avLst/>
                    </a:prstGeom>
                    <a:noFill/>
                    <a:ln>
                      <a:noFill/>
                    </a:ln>
                  </pic:spPr>
                </pic:pic>
              </a:graphicData>
            </a:graphic>
          </wp:inline>
        </w:drawing>
      </w:r>
    </w:p>
    <w:p>
      <w:pPr>
        <w:pStyle w:val="2"/>
        <w:ind w:left="0" w:leftChars="0" w:firstLineChars="0"/>
        <w:rPr>
          <w:rFonts w:asciiTheme="minorHAnsi" w:hAnsiTheme="minorHAnsi"/>
          <w:szCs w:val="22"/>
        </w:rPr>
      </w:pPr>
      <w:r>
        <w:rPr>
          <w:rFonts w:hint="eastAsia" w:asciiTheme="minorHAnsi" w:hAnsiTheme="minorHAnsi"/>
          <w:szCs w:val="22"/>
        </w:rPr>
        <w:t>天溯助力杭州市第九人民医院打造指挥中心·防控大脑平台，从四个维度全方面提升医院后勤安保质量水平：</w:t>
      </w:r>
    </w:p>
    <w:p>
      <w:pPr>
        <w:pStyle w:val="2"/>
        <w:numPr>
          <w:ilvl w:val="0"/>
          <w:numId w:val="13"/>
        </w:numPr>
        <w:ind w:leftChars="0" w:firstLineChars="0"/>
        <w:rPr>
          <w:rFonts w:asciiTheme="minorHAnsi" w:hAnsiTheme="minorHAnsi"/>
          <w:b/>
          <w:bCs/>
          <w:szCs w:val="22"/>
        </w:rPr>
      </w:pPr>
      <w:r>
        <w:rPr>
          <w:rFonts w:hint="eastAsia" w:asciiTheme="minorHAnsi" w:hAnsiTheme="minorHAnsi"/>
          <w:b/>
          <w:bCs/>
          <w:szCs w:val="22"/>
        </w:rPr>
        <w:t>安全提升</w:t>
      </w:r>
    </w:p>
    <w:p>
      <w:pPr>
        <w:pStyle w:val="2"/>
        <w:numPr>
          <w:ilvl w:val="0"/>
          <w:numId w:val="8"/>
        </w:numPr>
        <w:ind w:leftChars="0" w:firstLineChars="0"/>
        <w:rPr>
          <w:rFonts w:asciiTheme="minorHAnsi" w:hAnsiTheme="minorHAnsi"/>
          <w:szCs w:val="22"/>
        </w:rPr>
      </w:pPr>
      <w:r>
        <w:rPr>
          <w:rFonts w:hint="eastAsia" w:asciiTheme="minorHAnsi" w:hAnsiTheme="minorHAnsi"/>
          <w:szCs w:val="22"/>
        </w:rPr>
        <w:t>机房监控方面，智慧后勤综合管理平台通过对变配电、中央空调等机房的监控，保障设备设施的安全与稳定运行；</w:t>
      </w:r>
    </w:p>
    <w:p>
      <w:pPr>
        <w:pStyle w:val="2"/>
        <w:numPr>
          <w:ilvl w:val="0"/>
          <w:numId w:val="8"/>
        </w:numPr>
        <w:ind w:leftChars="0" w:firstLineChars="0"/>
        <w:rPr>
          <w:rFonts w:asciiTheme="minorHAnsi" w:hAnsiTheme="minorHAnsi"/>
          <w:szCs w:val="22"/>
        </w:rPr>
      </w:pPr>
      <w:r>
        <w:rPr>
          <w:rFonts w:hint="eastAsia" w:asciiTheme="minorHAnsi" w:hAnsiTheme="minorHAnsi"/>
          <w:szCs w:val="22"/>
        </w:rPr>
        <w:t>管理方面，平台结合工单系统为驱动，实现事前维护保养/预防巡检、事中实时报警快速处理、事后故障分析制定策略，设备安全性能有质的提升；</w:t>
      </w:r>
    </w:p>
    <w:p>
      <w:pPr>
        <w:pStyle w:val="2"/>
        <w:numPr>
          <w:ilvl w:val="0"/>
          <w:numId w:val="8"/>
        </w:numPr>
        <w:ind w:leftChars="0" w:firstLineChars="0"/>
        <w:rPr>
          <w:rFonts w:asciiTheme="minorHAnsi" w:hAnsiTheme="minorHAnsi"/>
          <w:szCs w:val="22"/>
        </w:rPr>
      </w:pPr>
      <w:r>
        <w:rPr>
          <w:rFonts w:hint="eastAsia" w:asciiTheme="minorHAnsi" w:hAnsiTheme="minorHAnsi"/>
          <w:szCs w:val="22"/>
        </w:rPr>
        <w:t>防控方面，平台实现提前预警与实时告警，实时保障医院环境及院感安全。打通全院设备与系统，通过采集和分析人流、车流、体温流实现对医院的动态平衡管理</w:t>
      </w:r>
    </w:p>
    <w:p>
      <w:pPr>
        <w:pStyle w:val="2"/>
        <w:numPr>
          <w:ilvl w:val="0"/>
          <w:numId w:val="13"/>
        </w:numPr>
        <w:ind w:leftChars="0" w:firstLineChars="0"/>
        <w:rPr>
          <w:rFonts w:asciiTheme="minorHAnsi" w:hAnsiTheme="minorHAnsi"/>
          <w:b/>
          <w:bCs/>
          <w:szCs w:val="22"/>
        </w:rPr>
      </w:pPr>
      <w:r>
        <w:rPr>
          <w:rFonts w:hint="eastAsia" w:asciiTheme="minorHAnsi" w:hAnsiTheme="minorHAnsi"/>
          <w:b/>
          <w:bCs/>
          <w:szCs w:val="22"/>
        </w:rPr>
        <w:t>经济效益</w:t>
      </w:r>
    </w:p>
    <w:p>
      <w:pPr>
        <w:pStyle w:val="2"/>
        <w:numPr>
          <w:ilvl w:val="0"/>
          <w:numId w:val="8"/>
        </w:numPr>
        <w:ind w:leftChars="0" w:firstLineChars="0"/>
        <w:rPr>
          <w:rFonts w:asciiTheme="minorHAnsi" w:hAnsiTheme="minorHAnsi"/>
          <w:szCs w:val="22"/>
        </w:rPr>
      </w:pPr>
      <w:r>
        <w:rPr>
          <w:rFonts w:hint="eastAsia" w:asciiTheme="minorHAnsi" w:hAnsiTheme="minorHAnsi"/>
          <w:szCs w:val="22"/>
        </w:rPr>
        <w:t>智慧后勤综合管理平台对设备进行全生命周期管理，提升设备运行状态，延长设备使用寿命，从而降低设备运营成本；</w:t>
      </w:r>
    </w:p>
    <w:p>
      <w:pPr>
        <w:pStyle w:val="2"/>
        <w:numPr>
          <w:ilvl w:val="0"/>
          <w:numId w:val="8"/>
        </w:numPr>
        <w:ind w:leftChars="0" w:firstLineChars="0"/>
        <w:rPr>
          <w:rFonts w:asciiTheme="minorHAnsi" w:hAnsiTheme="minorHAnsi"/>
          <w:szCs w:val="22"/>
        </w:rPr>
      </w:pPr>
      <w:r>
        <w:rPr>
          <w:rFonts w:hint="eastAsia" w:asciiTheme="minorHAnsi" w:hAnsiTheme="minorHAnsi"/>
          <w:szCs w:val="22"/>
        </w:rPr>
        <w:t>智慧后勤综合管理平台通过优化流程，提高人员工作效率，释放人员潜力，优化人员配置，节省人力成本；</w:t>
      </w:r>
    </w:p>
    <w:p>
      <w:pPr>
        <w:pStyle w:val="2"/>
        <w:numPr>
          <w:ilvl w:val="0"/>
          <w:numId w:val="8"/>
        </w:numPr>
        <w:ind w:leftChars="0" w:firstLineChars="0"/>
        <w:rPr>
          <w:rFonts w:asciiTheme="minorHAnsi" w:hAnsiTheme="minorHAnsi"/>
          <w:szCs w:val="22"/>
        </w:rPr>
      </w:pPr>
      <w:r>
        <w:rPr>
          <w:rFonts w:hint="eastAsia" w:asciiTheme="minorHAnsi" w:hAnsiTheme="minorHAnsi"/>
          <w:szCs w:val="22"/>
        </w:rPr>
        <w:t>智慧后勤综合管理平台实现集中式监控管理，并配合手机端、电脑端应用，便于操作且提升日常运行、巡检等工作效率；</w:t>
      </w:r>
    </w:p>
    <w:p>
      <w:pPr>
        <w:pStyle w:val="2"/>
        <w:numPr>
          <w:ilvl w:val="0"/>
          <w:numId w:val="8"/>
        </w:numPr>
        <w:ind w:leftChars="0" w:firstLineChars="0"/>
        <w:rPr>
          <w:rFonts w:asciiTheme="minorHAnsi" w:hAnsiTheme="minorHAnsi"/>
          <w:szCs w:val="22"/>
        </w:rPr>
      </w:pPr>
      <w:r>
        <w:rPr>
          <w:rFonts w:hint="eastAsia" w:asciiTheme="minorHAnsi" w:hAnsiTheme="minorHAnsi"/>
          <w:szCs w:val="22"/>
        </w:rPr>
        <w:t>智慧后勤综合管理平台通过物联网、互联网+等技术应用，形成的专家库和以往记录的处理方法等帮助人工快速解决问题，使得经验得以传承、运维效率提升30%以上。</w:t>
      </w:r>
    </w:p>
    <w:p>
      <w:pPr>
        <w:pStyle w:val="2"/>
        <w:numPr>
          <w:ilvl w:val="0"/>
          <w:numId w:val="13"/>
        </w:numPr>
        <w:ind w:leftChars="0" w:firstLineChars="0"/>
        <w:rPr>
          <w:rFonts w:asciiTheme="minorHAnsi" w:hAnsiTheme="minorHAnsi"/>
          <w:b/>
          <w:bCs/>
          <w:szCs w:val="22"/>
        </w:rPr>
      </w:pPr>
      <w:r>
        <w:rPr>
          <w:rFonts w:hint="eastAsia" w:asciiTheme="minorHAnsi" w:hAnsiTheme="minorHAnsi"/>
          <w:b/>
          <w:bCs/>
          <w:szCs w:val="22"/>
        </w:rPr>
        <w:t>社会效益</w:t>
      </w:r>
    </w:p>
    <w:p>
      <w:pPr>
        <w:pStyle w:val="2"/>
        <w:ind w:left="780" w:leftChars="0" w:firstLine="0" w:firstLineChars="0"/>
        <w:rPr>
          <w:rFonts w:asciiTheme="minorHAnsi" w:hAnsiTheme="minorHAnsi"/>
          <w:szCs w:val="22"/>
        </w:rPr>
      </w:pPr>
      <w:r>
        <w:rPr>
          <w:rFonts w:hint="eastAsia" w:asciiTheme="minorHAnsi" w:hAnsiTheme="minorHAnsi"/>
          <w:szCs w:val="22"/>
        </w:rPr>
        <w:t>通过建设智慧后勤综合管理平台，医院可打造专属后勤智慧运维管理体系，突破传统后勤运维瓶颈，支撑医院整体的数字化、智能化，同时为临床医护患提供一个更加安全、可控、舒适的就医和服务环境，建立杭州市第九人民医院在整个浙江省，乃至全国的后勤服务品牌效应，形成全国标杆。</w:t>
      </w:r>
    </w:p>
    <w:p>
      <w:pPr>
        <w:pStyle w:val="2"/>
        <w:numPr>
          <w:ilvl w:val="0"/>
          <w:numId w:val="13"/>
        </w:numPr>
        <w:ind w:leftChars="0" w:firstLineChars="0"/>
        <w:rPr>
          <w:rFonts w:asciiTheme="minorHAnsi" w:hAnsiTheme="minorHAnsi"/>
          <w:b/>
          <w:bCs/>
          <w:szCs w:val="22"/>
        </w:rPr>
      </w:pPr>
      <w:r>
        <w:rPr>
          <w:rFonts w:hint="eastAsia" w:asciiTheme="minorHAnsi" w:hAnsiTheme="minorHAnsi"/>
          <w:b/>
          <w:bCs/>
          <w:szCs w:val="22"/>
        </w:rPr>
        <w:t>生态效益</w:t>
      </w:r>
    </w:p>
    <w:p>
      <w:pPr>
        <w:pStyle w:val="2"/>
        <w:ind w:left="780" w:leftChars="0" w:firstLine="0" w:firstLineChars="0"/>
        <w:rPr>
          <w:rFonts w:asciiTheme="minorHAnsi" w:hAnsiTheme="minorHAnsi"/>
          <w:szCs w:val="22"/>
        </w:rPr>
      </w:pPr>
      <w:r>
        <w:rPr>
          <w:rFonts w:hint="eastAsia" w:asciiTheme="minorHAnsi" w:hAnsiTheme="minorHAnsi"/>
          <w:szCs w:val="22"/>
        </w:rPr>
        <w:t>通过智慧后勤综合管理平台，实现能源精细化管理，实现节能降耗，避免能源浪费，减少碳排放及污染物的排放，生态可持续发展。</w:t>
      </w:r>
    </w:p>
    <w:p>
      <w:pPr>
        <w:widowControl/>
        <w:spacing w:line="240" w:lineRule="auto"/>
        <w:jc w:val="left"/>
        <w:rPr>
          <w:rFonts w:ascii="宋体" w:hAnsi="Times New Roman" w:eastAsia="宋体" w:cs="Times New Roman"/>
          <w:b/>
          <w:kern w:val="0"/>
          <w:sz w:val="32"/>
          <w:szCs w:val="20"/>
        </w:rPr>
      </w:pPr>
      <w:r>
        <w:br w:type="page"/>
      </w:r>
    </w:p>
    <w:p>
      <w:pPr>
        <w:pStyle w:val="6"/>
        <w:numPr>
          <w:ilvl w:val="3"/>
          <w:numId w:val="12"/>
        </w:numPr>
      </w:pPr>
      <w:bookmarkStart w:id="26" w:name="_Toc83290260"/>
      <w:r>
        <w:rPr>
          <w:rFonts w:hint="eastAsia"/>
        </w:rPr>
        <w:t>浙江大学医学院附属第一医院</w:t>
      </w:r>
      <w:bookmarkEnd w:id="26"/>
    </w:p>
    <w:p>
      <w:pPr>
        <w:jc w:val="center"/>
      </w:pPr>
      <w:r>
        <w:drawing>
          <wp:inline distT="0" distB="0" distL="0" distR="0">
            <wp:extent cx="4979035" cy="2957195"/>
            <wp:effectExtent l="0" t="0" r="12065" b="1905"/>
            <wp:docPr id="41" name="图片 40" descr="D:\天溯\案例\浙一.png浙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descr="D:\天溯\案例\浙一.png浙一"/>
                    <pic:cNvPicPr>
                      <a:picLocks noChangeAspect="1"/>
                    </pic:cNvPicPr>
                  </pic:nvPicPr>
                  <pic:blipFill>
                    <a:blip r:embed="rId43"/>
                    <a:srcRect/>
                    <a:stretch>
                      <a:fillRect/>
                    </a:stretch>
                  </pic:blipFill>
                  <pic:spPr>
                    <a:xfrm>
                      <a:off x="0" y="0"/>
                      <a:ext cx="4984801" cy="2957195"/>
                    </a:xfrm>
                    <a:prstGeom prst="rect">
                      <a:avLst/>
                    </a:prstGeom>
                  </pic:spPr>
                </pic:pic>
              </a:graphicData>
            </a:graphic>
          </wp:inline>
        </w:drawing>
      </w:r>
    </w:p>
    <w:p>
      <w:pPr>
        <w:ind w:firstLine="420" w:firstLineChars="200"/>
      </w:pPr>
      <w:r>
        <w:rPr>
          <w:rFonts w:hint="eastAsia"/>
        </w:rPr>
        <w:t>浙江大学医学院附属第一医院起源于1947年，现已发展成集医疗、教学、科研、预防、保健为一体的“国家队”医院，跻身国家区域医疗中心、国家临床医学研究中心。</w:t>
      </w:r>
    </w:p>
    <w:p>
      <w:pPr>
        <w:ind w:firstLine="420" w:firstLineChars="200"/>
      </w:pPr>
      <w:r>
        <w:rPr>
          <w:rFonts w:hint="eastAsia"/>
        </w:rPr>
        <w:t>庆春院区占地面积76亩，核定床位2500张，建筑面积17.90万㎡，2018年门急诊量454.8万人次，2018年出院19.53万人次，各项业务指标均居全国同类型医院前列。</w:t>
      </w:r>
    </w:p>
    <w:p>
      <w:pPr>
        <w:ind w:firstLine="420" w:firstLineChars="200"/>
      </w:pPr>
      <w:r>
        <w:rPr>
          <w:rFonts w:hint="eastAsia"/>
        </w:rPr>
        <w:t>在建的余杭院区占地202亩，建设床位1200张，建筑面积约30万㎡，设计日门诊量8000人次，医院设计体现“转化医学、大自然、公众共享、实用功能”为主要理念。在建的之江院区占地150亩，建设床位1000张，建筑面积约18万㎡，设计日门诊量5000人次。</w:t>
      </w:r>
    </w:p>
    <w:p>
      <w:pPr>
        <w:pStyle w:val="2"/>
        <w:spacing w:after="0"/>
        <w:ind w:left="0" w:leftChars="0"/>
        <w:rPr>
          <w:rFonts w:asciiTheme="minorHAnsi" w:hAnsiTheme="minorHAnsi"/>
          <w:szCs w:val="22"/>
        </w:rPr>
      </w:pPr>
      <w:r>
        <w:rPr>
          <w:rFonts w:hint="eastAsia" w:asciiTheme="minorHAnsi" w:hAnsiTheme="minorHAnsi"/>
          <w:szCs w:val="22"/>
        </w:rPr>
        <w:t>天溯针对性的为浙大一院上线了基于一站式服务平台的设备全生命周期管理系统，从实时状态监控、分级告警、工单联动等多维度保障了医院后勤设备设施，安全高效运行。同时通过线下智能物联网点位实施与能源模型的设计，实现了医院的水、电等能源精细化管理，为未来的能源绩效考核、节能降耗实施提供了数据与决策支撑。</w:t>
      </w:r>
    </w:p>
    <w:p>
      <w:pPr>
        <w:pStyle w:val="2"/>
        <w:spacing w:after="0"/>
        <w:ind w:left="0" w:leftChars="0"/>
        <w:rPr>
          <w:rFonts w:asciiTheme="minorHAnsi" w:hAnsiTheme="minorHAnsi"/>
          <w:szCs w:val="22"/>
        </w:rPr>
      </w:pPr>
      <w:r>
        <w:rPr>
          <w:rFonts w:hint="eastAsia" w:asciiTheme="minorHAnsi" w:hAnsiTheme="minorHAnsi"/>
          <w:szCs w:val="22"/>
        </w:rPr>
        <w:t>采用人脸识别技术，在配电机房等关键位置进行安全布控，有效提升重点机房的人防安全，并实现智慧安防联动；</w:t>
      </w:r>
    </w:p>
    <w:p>
      <w:pPr>
        <w:pStyle w:val="2"/>
        <w:spacing w:after="0"/>
        <w:ind w:left="0" w:leftChars="0"/>
        <w:rPr>
          <w:rFonts w:asciiTheme="minorHAnsi" w:hAnsiTheme="minorHAnsi"/>
          <w:szCs w:val="22"/>
        </w:rPr>
      </w:pPr>
      <w:r>
        <w:rPr>
          <w:rFonts w:hint="eastAsia" w:asciiTheme="minorHAnsi" w:hAnsiTheme="minorHAnsi"/>
          <w:szCs w:val="22"/>
        </w:rPr>
        <w:t>天溯还为医院提供线上下高效运维解决方案，定制化开发手机APP功能、同时实现与A</w:t>
      </w:r>
      <w:r>
        <w:rPr>
          <w:rFonts w:asciiTheme="minorHAnsi" w:hAnsiTheme="minorHAnsi"/>
          <w:szCs w:val="22"/>
        </w:rPr>
        <w:t>PP</w:t>
      </w:r>
      <w:r>
        <w:rPr>
          <w:rFonts w:hint="eastAsia" w:asciiTheme="minorHAnsi" w:hAnsiTheme="minorHAnsi"/>
          <w:szCs w:val="22"/>
        </w:rPr>
        <w:t>端、钉钉客户端的使用融合，方便医院后勤工作的开展。</w:t>
      </w:r>
    </w:p>
    <w:p>
      <w:pPr>
        <w:pStyle w:val="2"/>
        <w:ind w:left="0" w:leftChars="0"/>
        <w:jc w:val="center"/>
        <w:rPr>
          <w:rFonts w:asciiTheme="minorHAnsi" w:hAnsiTheme="minorHAnsi"/>
          <w:szCs w:val="22"/>
        </w:rPr>
      </w:pPr>
      <w:r>
        <w:rPr>
          <w:rFonts w:asciiTheme="minorHAnsi" w:hAnsiTheme="minorHAnsi"/>
          <w:szCs w:val="22"/>
        </w:rPr>
        <w:drawing>
          <wp:inline distT="0" distB="0" distL="0" distR="0">
            <wp:extent cx="3328035" cy="2496185"/>
            <wp:effectExtent l="0" t="0" r="5715" b="0"/>
            <wp:docPr id="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331912" cy="2499135"/>
                    </a:xfrm>
                    <a:prstGeom prst="rect">
                      <a:avLst/>
                    </a:prstGeom>
                  </pic:spPr>
                </pic:pic>
              </a:graphicData>
            </a:graphic>
          </wp:inline>
        </w:drawing>
      </w:r>
    </w:p>
    <w:p>
      <w:pPr>
        <w:pStyle w:val="2"/>
        <w:ind w:left="0" w:leftChars="0"/>
        <w:rPr>
          <w:rFonts w:asciiTheme="minorHAnsi" w:hAnsiTheme="minorHAnsi"/>
          <w:szCs w:val="22"/>
        </w:rPr>
      </w:pPr>
      <w:r>
        <w:rPr>
          <w:rFonts w:hint="eastAsia" w:asciiTheme="minorHAnsi" w:hAnsiTheme="minorHAnsi"/>
          <w:szCs w:val="22"/>
        </w:rPr>
        <w:t>一站式服务中心建成投用后，天溯对浙一物业单位爱玛客进行培训赋能，医院通过天溯平台对浙一报修相关业务进行管理和优化，线上线下互相结合，管理形成闭环。</w:t>
      </w:r>
    </w:p>
    <w:p>
      <w:pPr>
        <w:pStyle w:val="2"/>
        <w:ind w:left="0" w:leftChars="0"/>
        <w:rPr>
          <w:rFonts w:asciiTheme="minorHAnsi" w:hAnsiTheme="minorHAnsi"/>
          <w:szCs w:val="22"/>
        </w:rPr>
      </w:pPr>
      <w:r>
        <w:drawing>
          <wp:inline distT="0" distB="0" distL="0" distR="0">
            <wp:extent cx="5093970" cy="2643505"/>
            <wp:effectExtent l="0" t="0" r="0" b="444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5"/>
                    <a:stretch>
                      <a:fillRect/>
                    </a:stretch>
                  </pic:blipFill>
                  <pic:spPr>
                    <a:xfrm>
                      <a:off x="0" y="0"/>
                      <a:ext cx="5106270" cy="2649653"/>
                    </a:xfrm>
                    <a:prstGeom prst="rect">
                      <a:avLst/>
                    </a:prstGeom>
                  </pic:spPr>
                </pic:pic>
              </a:graphicData>
            </a:graphic>
          </wp:inline>
        </w:drawing>
      </w:r>
    </w:p>
    <w:p>
      <w:pPr>
        <w:pStyle w:val="2"/>
        <w:ind w:left="0" w:leftChars="0"/>
        <w:rPr>
          <w:rFonts w:asciiTheme="minorHAnsi" w:hAnsiTheme="minorHAnsi"/>
          <w:szCs w:val="22"/>
        </w:rPr>
      </w:pPr>
      <w:r>
        <w:rPr>
          <w:rFonts w:hint="eastAsia" w:asciiTheme="minorHAnsi" w:hAnsiTheme="minorHAnsi"/>
          <w:szCs w:val="22"/>
        </w:rPr>
        <w:t>基于天溯一站式服务中心，全院（庆春院区试点，六大院区推广）推行二级网格化安全管理，所有区域责任到人，所有安全类服务从发起、转单、接单、处理、反馈、评价、后台数据统计。全部纳入一站式服务中心统筹管理。</w:t>
      </w:r>
    </w:p>
    <w:p>
      <w:pPr>
        <w:pStyle w:val="2"/>
        <w:ind w:left="0" w:leftChars="0"/>
        <w:rPr>
          <w:rFonts w:asciiTheme="minorHAnsi" w:hAnsiTheme="minorHAnsi"/>
          <w:szCs w:val="22"/>
        </w:rPr>
      </w:pPr>
      <w:r>
        <w:drawing>
          <wp:inline distT="0" distB="0" distL="0" distR="0">
            <wp:extent cx="5224780" cy="2188210"/>
            <wp:effectExtent l="0" t="0" r="0" b="254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46"/>
                    <a:stretch>
                      <a:fillRect/>
                    </a:stretch>
                  </pic:blipFill>
                  <pic:spPr>
                    <a:xfrm>
                      <a:off x="0" y="0"/>
                      <a:ext cx="5229154" cy="2190251"/>
                    </a:xfrm>
                    <a:prstGeom prst="rect">
                      <a:avLst/>
                    </a:prstGeom>
                  </pic:spPr>
                </pic:pic>
              </a:graphicData>
            </a:graphic>
          </wp:inline>
        </w:drawing>
      </w:r>
    </w:p>
    <w:p>
      <w:pPr>
        <w:widowControl/>
        <w:spacing w:line="240" w:lineRule="auto"/>
        <w:jc w:val="left"/>
        <w:rPr>
          <w:rFonts w:ascii="宋体" w:hAnsi="Times New Roman" w:eastAsia="宋体" w:cs="Times New Roman"/>
          <w:b/>
          <w:kern w:val="0"/>
          <w:sz w:val="32"/>
          <w:szCs w:val="20"/>
        </w:rPr>
      </w:pPr>
    </w:p>
    <w:sectPr>
      <w:footerReference r:id="rId7" w:type="default"/>
      <w:pgSz w:w="11906" w:h="16838"/>
      <w:pgMar w:top="1440" w:right="1800" w:bottom="1440" w:left="1800" w:header="851" w:footer="992" w:gutter="0"/>
      <w:pgNumType w:start="32"/>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Arial Unicode MS">
    <w:altName w:val="Malgun Gothic Semilight"/>
    <w:panose1 w:val="020B0604020202020204"/>
    <w:charset w:val="86"/>
    <w:family w:val="swiss"/>
    <w:pitch w:val="default"/>
    <w:sig w:usb0="00000000" w:usb1="00000000" w:usb2="0000003F" w:usb3="00000000" w:csb0="003F01FF" w:csb1="00000000"/>
  </w:font>
  <w:font w:name="Malgun Gothic Semilight">
    <w:panose1 w:val="020B0502040204020203"/>
    <w:charset w:val="86"/>
    <w:family w:val="auto"/>
    <w:pitch w:val="default"/>
    <w:sig w:usb0="900002AF" w:usb1="01D77CFB" w:usb2="00000012" w:usb3="00000000" w:csb0="203E01BD" w:csb1="D7FF0000"/>
  </w:font>
  <w:font w:name="Verdana">
    <w:panose1 w:val="020B0604030504040204"/>
    <w:charset w:val="00"/>
    <w:family w:val="swiss"/>
    <w:pitch w:val="default"/>
    <w:sig w:usb0="A00006FF" w:usb1="4000205B" w:usb2="00000010" w:usb3="00000000" w:csb0="2000019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04352381"/>
    </w:sdtPr>
    <w:sdtContent>
      <w:p>
        <w:pPr>
          <w:pStyle w:val="22"/>
          <w:jc w:val="center"/>
        </w:pPr>
        <w:r>
          <w:fldChar w:fldCharType="begin"/>
        </w:r>
        <w:r>
          <w:instrText xml:space="preserve">PAGE   \* MERGEFORMAT</w:instrText>
        </w:r>
        <w:r>
          <w:fldChar w:fldCharType="separate"/>
        </w:r>
        <w:r>
          <w:rPr>
            <w:lang w:val="zh-CN"/>
          </w:rPr>
          <w:t>2</w:t>
        </w:r>
        <w:r>
          <w:fldChar w:fldCharType="end"/>
        </w:r>
      </w:p>
    </w:sdtContent>
  </w:sdt>
  <w:p>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99583304"/>
    </w:sdtPr>
    <w:sdtContent>
      <w:p>
        <w:pPr>
          <w:pStyle w:val="22"/>
          <w:jc w:val="center"/>
        </w:pPr>
        <w:r>
          <w:fldChar w:fldCharType="begin"/>
        </w:r>
        <w:r>
          <w:instrText xml:space="preserve">PAGE   \* MERGEFORMAT</w:instrText>
        </w:r>
        <w:r>
          <w:fldChar w:fldCharType="separate"/>
        </w:r>
        <w:r>
          <w:rPr>
            <w:lang w:val="zh-CN"/>
          </w:rPr>
          <w:t>1</w:t>
        </w:r>
        <w:r>
          <w:fldChar w:fldCharType="end"/>
        </w:r>
      </w:p>
    </w:sdtContent>
  </w:sdt>
  <w:p>
    <w:pPr>
      <w:pStyle w:val="2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381C29"/>
    <w:multiLevelType w:val="singleLevel"/>
    <w:tmpl w:val="C6381C29"/>
    <w:lvl w:ilvl="0" w:tentative="0">
      <w:start w:val="1"/>
      <w:numFmt w:val="bullet"/>
      <w:lvlText w:val=""/>
      <w:lvlJc w:val="left"/>
      <w:pPr>
        <w:ind w:left="420" w:hanging="420"/>
      </w:pPr>
      <w:rPr>
        <w:rFonts w:hint="default" w:ascii="Wingdings" w:hAnsi="Wingdings"/>
      </w:rPr>
    </w:lvl>
  </w:abstractNum>
  <w:abstractNum w:abstractNumId="1">
    <w:nsid w:val="08DC135C"/>
    <w:multiLevelType w:val="multilevel"/>
    <w:tmpl w:val="08DC135C"/>
    <w:lvl w:ilvl="0" w:tentative="0">
      <w:start w:val="1"/>
      <w:numFmt w:val="decimal"/>
      <w:lvlText w:val="%1）"/>
      <w:lvlJc w:val="left"/>
      <w:pPr>
        <w:ind w:left="842" w:hanging="420"/>
      </w:pPr>
      <w:rPr>
        <w:rFonts w:hint="default"/>
      </w:rPr>
    </w:lvl>
    <w:lvl w:ilvl="1" w:tentative="0">
      <w:start w:val="1"/>
      <w:numFmt w:val="lowerLetter"/>
      <w:lvlText w:val="%2)"/>
      <w:lvlJc w:val="left"/>
      <w:pPr>
        <w:ind w:left="1262" w:hanging="420"/>
      </w:pPr>
    </w:lvl>
    <w:lvl w:ilvl="2" w:tentative="0">
      <w:start w:val="1"/>
      <w:numFmt w:val="lowerRoman"/>
      <w:lvlText w:val="%3."/>
      <w:lvlJc w:val="right"/>
      <w:pPr>
        <w:ind w:left="1682" w:hanging="420"/>
      </w:pPr>
    </w:lvl>
    <w:lvl w:ilvl="3" w:tentative="0">
      <w:start w:val="1"/>
      <w:numFmt w:val="decimal"/>
      <w:lvlText w:val="%4."/>
      <w:lvlJc w:val="left"/>
      <w:pPr>
        <w:ind w:left="2102" w:hanging="420"/>
      </w:pPr>
    </w:lvl>
    <w:lvl w:ilvl="4" w:tentative="0">
      <w:start w:val="1"/>
      <w:numFmt w:val="lowerLetter"/>
      <w:lvlText w:val="%5)"/>
      <w:lvlJc w:val="left"/>
      <w:pPr>
        <w:ind w:left="2522" w:hanging="420"/>
      </w:pPr>
    </w:lvl>
    <w:lvl w:ilvl="5" w:tentative="0">
      <w:start w:val="1"/>
      <w:numFmt w:val="lowerRoman"/>
      <w:lvlText w:val="%6."/>
      <w:lvlJc w:val="right"/>
      <w:pPr>
        <w:ind w:left="2942" w:hanging="420"/>
      </w:pPr>
    </w:lvl>
    <w:lvl w:ilvl="6" w:tentative="0">
      <w:start w:val="1"/>
      <w:numFmt w:val="decimal"/>
      <w:lvlText w:val="%7."/>
      <w:lvlJc w:val="left"/>
      <w:pPr>
        <w:ind w:left="3362" w:hanging="420"/>
      </w:pPr>
    </w:lvl>
    <w:lvl w:ilvl="7" w:tentative="0">
      <w:start w:val="1"/>
      <w:numFmt w:val="lowerLetter"/>
      <w:lvlText w:val="%8)"/>
      <w:lvlJc w:val="left"/>
      <w:pPr>
        <w:ind w:left="3782" w:hanging="420"/>
      </w:pPr>
    </w:lvl>
    <w:lvl w:ilvl="8" w:tentative="0">
      <w:start w:val="1"/>
      <w:numFmt w:val="lowerRoman"/>
      <w:lvlText w:val="%9."/>
      <w:lvlJc w:val="right"/>
      <w:pPr>
        <w:ind w:left="4202" w:hanging="420"/>
      </w:pPr>
    </w:lvl>
  </w:abstractNum>
  <w:abstractNum w:abstractNumId="2">
    <w:nsid w:val="095A7FCE"/>
    <w:multiLevelType w:val="multilevel"/>
    <w:tmpl w:val="095A7FCE"/>
    <w:lvl w:ilvl="0" w:tentative="0">
      <w:start w:val="1"/>
      <w:numFmt w:val="bullet"/>
      <w:lvlText w:val="-"/>
      <w:lvlJc w:val="left"/>
      <w:pPr>
        <w:ind w:left="1140" w:hanging="360"/>
      </w:pPr>
      <w:rPr>
        <w:rFonts w:hint="default" w:ascii="Times New Roman" w:hAnsi="Times New Roman" w:eastAsia="宋体" w:cs="Times New Roman"/>
      </w:rPr>
    </w:lvl>
    <w:lvl w:ilvl="1" w:tentative="0">
      <w:start w:val="1"/>
      <w:numFmt w:val="bullet"/>
      <w:lvlText w:val=""/>
      <w:lvlJc w:val="left"/>
      <w:pPr>
        <w:ind w:left="1620" w:hanging="420"/>
      </w:pPr>
      <w:rPr>
        <w:rFonts w:hint="default" w:ascii="Wingdings" w:hAnsi="Wingdings"/>
      </w:rPr>
    </w:lvl>
    <w:lvl w:ilvl="2" w:tentative="0">
      <w:start w:val="1"/>
      <w:numFmt w:val="bullet"/>
      <w:lvlText w:val=""/>
      <w:lvlJc w:val="left"/>
      <w:pPr>
        <w:ind w:left="2040" w:hanging="420"/>
      </w:pPr>
      <w:rPr>
        <w:rFonts w:hint="default" w:ascii="Wingdings" w:hAnsi="Wingdings"/>
      </w:rPr>
    </w:lvl>
    <w:lvl w:ilvl="3" w:tentative="0">
      <w:start w:val="1"/>
      <w:numFmt w:val="bullet"/>
      <w:lvlText w:val=""/>
      <w:lvlJc w:val="left"/>
      <w:pPr>
        <w:ind w:left="2460" w:hanging="420"/>
      </w:pPr>
      <w:rPr>
        <w:rFonts w:hint="default" w:ascii="Wingdings" w:hAnsi="Wingdings"/>
      </w:rPr>
    </w:lvl>
    <w:lvl w:ilvl="4" w:tentative="0">
      <w:start w:val="1"/>
      <w:numFmt w:val="bullet"/>
      <w:lvlText w:val=""/>
      <w:lvlJc w:val="left"/>
      <w:pPr>
        <w:ind w:left="2880" w:hanging="420"/>
      </w:pPr>
      <w:rPr>
        <w:rFonts w:hint="default" w:ascii="Wingdings" w:hAnsi="Wingdings"/>
      </w:rPr>
    </w:lvl>
    <w:lvl w:ilvl="5" w:tentative="0">
      <w:start w:val="1"/>
      <w:numFmt w:val="bullet"/>
      <w:lvlText w:val=""/>
      <w:lvlJc w:val="left"/>
      <w:pPr>
        <w:ind w:left="3300" w:hanging="420"/>
      </w:pPr>
      <w:rPr>
        <w:rFonts w:hint="default" w:ascii="Wingdings" w:hAnsi="Wingdings"/>
      </w:rPr>
    </w:lvl>
    <w:lvl w:ilvl="6" w:tentative="0">
      <w:start w:val="1"/>
      <w:numFmt w:val="bullet"/>
      <w:lvlText w:val=""/>
      <w:lvlJc w:val="left"/>
      <w:pPr>
        <w:ind w:left="3720" w:hanging="420"/>
      </w:pPr>
      <w:rPr>
        <w:rFonts w:hint="default" w:ascii="Wingdings" w:hAnsi="Wingdings"/>
      </w:rPr>
    </w:lvl>
    <w:lvl w:ilvl="7" w:tentative="0">
      <w:start w:val="1"/>
      <w:numFmt w:val="bullet"/>
      <w:lvlText w:val=""/>
      <w:lvlJc w:val="left"/>
      <w:pPr>
        <w:ind w:left="4140" w:hanging="420"/>
      </w:pPr>
      <w:rPr>
        <w:rFonts w:hint="default" w:ascii="Wingdings" w:hAnsi="Wingdings"/>
      </w:rPr>
    </w:lvl>
    <w:lvl w:ilvl="8" w:tentative="0">
      <w:start w:val="1"/>
      <w:numFmt w:val="bullet"/>
      <w:lvlText w:val=""/>
      <w:lvlJc w:val="left"/>
      <w:pPr>
        <w:ind w:left="4560" w:hanging="420"/>
      </w:pPr>
      <w:rPr>
        <w:rFonts w:hint="default" w:ascii="Wingdings" w:hAnsi="Wingdings"/>
      </w:rPr>
    </w:lvl>
  </w:abstractNum>
  <w:abstractNum w:abstractNumId="3">
    <w:nsid w:val="09CC7650"/>
    <w:multiLevelType w:val="multilevel"/>
    <w:tmpl w:val="09CC7650"/>
    <w:lvl w:ilvl="0" w:tentative="0">
      <w:start w:val="1"/>
      <w:numFmt w:val="lowerLetter"/>
      <w:lvlText w:val="%1)"/>
      <w:lvlJc w:val="left"/>
      <w:pPr>
        <w:ind w:left="840" w:hanging="420"/>
      </w:pPr>
      <w:rPr>
        <w:rFonts w:hint="eastAsia"/>
      </w:rPr>
    </w:lvl>
    <w:lvl w:ilvl="1" w:tentative="0">
      <w:start w:val="1"/>
      <w:numFmt w:val="lowerLetter"/>
      <w:lvlText w:val="%2)"/>
      <w:lvlJc w:val="left"/>
      <w:pPr>
        <w:ind w:left="0" w:firstLine="0"/>
      </w:pPr>
      <w:rPr>
        <w:rFonts w:hint="eastAsia"/>
      </w:rPr>
    </w:lvl>
    <w:lvl w:ilvl="2" w:tentative="0">
      <w:start w:val="1"/>
      <w:numFmt w:val="lowerRoman"/>
      <w:lvlText w:val="%3."/>
      <w:lvlJc w:val="right"/>
      <w:pPr>
        <w:ind w:left="1680" w:hanging="420"/>
      </w:pPr>
      <w:rPr>
        <w:rFonts w:hint="eastAsia"/>
      </w:rPr>
    </w:lvl>
    <w:lvl w:ilvl="3" w:tentative="0">
      <w:start w:val="1"/>
      <w:numFmt w:val="decimal"/>
      <w:lvlText w:val="%4."/>
      <w:lvlJc w:val="left"/>
      <w:pPr>
        <w:ind w:left="0" w:firstLine="0"/>
      </w:pPr>
      <w:rPr>
        <w:rFonts w:hint="eastAsia"/>
      </w:rPr>
    </w:lvl>
    <w:lvl w:ilvl="4" w:tentative="0">
      <w:start w:val="1"/>
      <w:numFmt w:val="lowerLetter"/>
      <w:lvlText w:val="%5)"/>
      <w:lvlJc w:val="left"/>
      <w:pPr>
        <w:ind w:left="2520" w:hanging="420"/>
      </w:pPr>
      <w:rPr>
        <w:rFonts w:hint="eastAsia"/>
      </w:rPr>
    </w:lvl>
    <w:lvl w:ilvl="5" w:tentative="0">
      <w:start w:val="1"/>
      <w:numFmt w:val="lowerRoman"/>
      <w:lvlText w:val="%6."/>
      <w:lvlJc w:val="right"/>
      <w:pPr>
        <w:ind w:left="2940" w:hanging="420"/>
      </w:pPr>
      <w:rPr>
        <w:rFonts w:hint="eastAsia"/>
      </w:rPr>
    </w:lvl>
    <w:lvl w:ilvl="6" w:tentative="0">
      <w:start w:val="1"/>
      <w:numFmt w:val="decimal"/>
      <w:lvlText w:val="%7."/>
      <w:lvlJc w:val="left"/>
      <w:pPr>
        <w:ind w:left="3360" w:hanging="420"/>
      </w:pPr>
      <w:rPr>
        <w:rFonts w:hint="eastAsia"/>
      </w:rPr>
    </w:lvl>
    <w:lvl w:ilvl="7" w:tentative="0">
      <w:start w:val="1"/>
      <w:numFmt w:val="lowerLetter"/>
      <w:lvlText w:val="%8)"/>
      <w:lvlJc w:val="left"/>
      <w:pPr>
        <w:ind w:left="3780" w:hanging="420"/>
      </w:pPr>
      <w:rPr>
        <w:rFonts w:hint="eastAsia"/>
      </w:rPr>
    </w:lvl>
    <w:lvl w:ilvl="8" w:tentative="0">
      <w:start w:val="1"/>
      <w:numFmt w:val="lowerRoman"/>
      <w:lvlText w:val="%9."/>
      <w:lvlJc w:val="right"/>
      <w:pPr>
        <w:ind w:left="4200" w:hanging="420"/>
      </w:pPr>
      <w:rPr>
        <w:rFonts w:hint="eastAsia"/>
      </w:rPr>
    </w:lvl>
  </w:abstractNum>
  <w:abstractNum w:abstractNumId="4">
    <w:nsid w:val="11C9065C"/>
    <w:multiLevelType w:val="multilevel"/>
    <w:tmpl w:val="11C9065C"/>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20A75B2B"/>
    <w:multiLevelType w:val="multilevel"/>
    <w:tmpl w:val="20A75B2B"/>
    <w:lvl w:ilvl="0" w:tentative="0">
      <w:start w:val="2"/>
      <w:numFmt w:val="bullet"/>
      <w:lvlText w:val="-"/>
      <w:lvlJc w:val="left"/>
      <w:pPr>
        <w:ind w:left="1145" w:hanging="360"/>
      </w:pPr>
      <w:rPr>
        <w:rFonts w:hint="default" w:ascii="Times New Roman" w:hAnsi="Times New Roman" w:cs="Times New Roman" w:eastAsiaTheme="minorEastAsia"/>
      </w:rPr>
    </w:lvl>
    <w:lvl w:ilvl="1" w:tentative="0">
      <w:start w:val="1"/>
      <w:numFmt w:val="bullet"/>
      <w:lvlText w:val=""/>
      <w:lvlJc w:val="left"/>
      <w:pPr>
        <w:ind w:left="1625" w:hanging="420"/>
      </w:pPr>
      <w:rPr>
        <w:rFonts w:hint="default" w:ascii="Wingdings" w:hAnsi="Wingdings"/>
      </w:rPr>
    </w:lvl>
    <w:lvl w:ilvl="2" w:tentative="0">
      <w:start w:val="1"/>
      <w:numFmt w:val="bullet"/>
      <w:lvlText w:val=""/>
      <w:lvlJc w:val="left"/>
      <w:pPr>
        <w:ind w:left="2045" w:hanging="420"/>
      </w:pPr>
      <w:rPr>
        <w:rFonts w:hint="default" w:ascii="Wingdings" w:hAnsi="Wingdings"/>
      </w:rPr>
    </w:lvl>
    <w:lvl w:ilvl="3" w:tentative="0">
      <w:start w:val="1"/>
      <w:numFmt w:val="bullet"/>
      <w:lvlText w:val=""/>
      <w:lvlJc w:val="left"/>
      <w:pPr>
        <w:ind w:left="2465" w:hanging="420"/>
      </w:pPr>
      <w:rPr>
        <w:rFonts w:hint="default" w:ascii="Wingdings" w:hAnsi="Wingdings"/>
      </w:rPr>
    </w:lvl>
    <w:lvl w:ilvl="4" w:tentative="0">
      <w:start w:val="1"/>
      <w:numFmt w:val="bullet"/>
      <w:lvlText w:val=""/>
      <w:lvlJc w:val="left"/>
      <w:pPr>
        <w:ind w:left="2885" w:hanging="420"/>
      </w:pPr>
      <w:rPr>
        <w:rFonts w:hint="default" w:ascii="Wingdings" w:hAnsi="Wingdings"/>
      </w:rPr>
    </w:lvl>
    <w:lvl w:ilvl="5" w:tentative="0">
      <w:start w:val="1"/>
      <w:numFmt w:val="bullet"/>
      <w:lvlText w:val=""/>
      <w:lvlJc w:val="left"/>
      <w:pPr>
        <w:ind w:left="3305" w:hanging="420"/>
      </w:pPr>
      <w:rPr>
        <w:rFonts w:hint="default" w:ascii="Wingdings" w:hAnsi="Wingdings"/>
      </w:rPr>
    </w:lvl>
    <w:lvl w:ilvl="6" w:tentative="0">
      <w:start w:val="1"/>
      <w:numFmt w:val="bullet"/>
      <w:lvlText w:val=""/>
      <w:lvlJc w:val="left"/>
      <w:pPr>
        <w:ind w:left="3725" w:hanging="420"/>
      </w:pPr>
      <w:rPr>
        <w:rFonts w:hint="default" w:ascii="Wingdings" w:hAnsi="Wingdings"/>
      </w:rPr>
    </w:lvl>
    <w:lvl w:ilvl="7" w:tentative="0">
      <w:start w:val="1"/>
      <w:numFmt w:val="bullet"/>
      <w:lvlText w:val=""/>
      <w:lvlJc w:val="left"/>
      <w:pPr>
        <w:ind w:left="4145" w:hanging="420"/>
      </w:pPr>
      <w:rPr>
        <w:rFonts w:hint="default" w:ascii="Wingdings" w:hAnsi="Wingdings"/>
      </w:rPr>
    </w:lvl>
    <w:lvl w:ilvl="8" w:tentative="0">
      <w:start w:val="1"/>
      <w:numFmt w:val="bullet"/>
      <w:lvlText w:val=""/>
      <w:lvlJc w:val="left"/>
      <w:pPr>
        <w:ind w:left="4565" w:hanging="420"/>
      </w:pPr>
      <w:rPr>
        <w:rFonts w:hint="default" w:ascii="Wingdings" w:hAnsi="Wingdings"/>
      </w:rPr>
    </w:lvl>
  </w:abstractNum>
  <w:abstractNum w:abstractNumId="6">
    <w:nsid w:val="252C438A"/>
    <w:multiLevelType w:val="multilevel"/>
    <w:tmpl w:val="252C438A"/>
    <w:lvl w:ilvl="0" w:tentative="0">
      <w:start w:val="1"/>
      <w:numFmt w:val="decimal"/>
      <w:pStyle w:val="4"/>
      <w:suff w:val="nothing"/>
      <w:lvlText w:val="%1."/>
      <w:lvlJc w:val="left"/>
      <w:pPr>
        <w:ind w:left="0" w:firstLine="0"/>
      </w:pPr>
      <w:rPr>
        <w:rFonts w:hint="eastAsia"/>
      </w:rPr>
    </w:lvl>
    <w:lvl w:ilvl="1" w:tentative="0">
      <w:start w:val="1"/>
      <w:numFmt w:val="decimal"/>
      <w:pStyle w:val="6"/>
      <w:suff w:val="nothing"/>
      <w:lvlText w:val="%1.%2."/>
      <w:lvlJc w:val="left"/>
      <w:pPr>
        <w:ind w:left="425" w:hanging="425"/>
      </w:pPr>
      <w:rPr>
        <w:rFonts w:hint="eastAsia"/>
      </w:rPr>
    </w:lvl>
    <w:lvl w:ilvl="2" w:tentative="0">
      <w:start w:val="1"/>
      <w:numFmt w:val="decimal"/>
      <w:pStyle w:val="9"/>
      <w:suff w:val="nothing"/>
      <w:lvlText w:val="%1.%2.%3."/>
      <w:lvlJc w:val="left"/>
      <w:pPr>
        <w:ind w:left="1276" w:hanging="425"/>
      </w:pPr>
      <w:rPr>
        <w:rFonts w:hint="eastAsia" w:ascii="宋体" w:eastAsia="宋体"/>
        <w:sz w:val="30"/>
      </w:rPr>
    </w:lvl>
    <w:lvl w:ilvl="3" w:tentative="0">
      <w:start w:val="1"/>
      <w:numFmt w:val="decimal"/>
      <w:pStyle w:val="10"/>
      <w:suff w:val="space"/>
      <w:lvlText w:val="%1.%2.%3.%4."/>
      <w:lvlJc w:val="left"/>
      <w:pPr>
        <w:ind w:left="425" w:hanging="425"/>
      </w:pPr>
      <w:rPr>
        <w:rFonts w:hint="eastAsia"/>
      </w:rPr>
    </w:lvl>
    <w:lvl w:ilvl="4" w:tentative="0">
      <w:start w:val="1"/>
      <w:numFmt w:val="decimal"/>
      <w:pStyle w:val="11"/>
      <w:suff w:val="space"/>
      <w:lvlText w:val="%1.%2.%3.%4.%5."/>
      <w:lvlJc w:val="left"/>
      <w:pPr>
        <w:ind w:left="425" w:hanging="425"/>
      </w:pPr>
      <w:rPr>
        <w:rFonts w:hint="eastAsia"/>
      </w:rPr>
    </w:lvl>
    <w:lvl w:ilvl="5" w:tentative="0">
      <w:start w:val="1"/>
      <w:numFmt w:val="decimal"/>
      <w:pStyle w:val="12"/>
      <w:suff w:val="space"/>
      <w:lvlText w:val="%1.%2.%3.%4.%5.%6."/>
      <w:lvlJc w:val="left"/>
      <w:pPr>
        <w:ind w:left="425" w:hanging="425"/>
      </w:pPr>
      <w:rPr>
        <w:rFonts w:hint="eastAsia"/>
      </w:rPr>
    </w:lvl>
    <w:lvl w:ilvl="6" w:tentative="0">
      <w:start w:val="1"/>
      <w:numFmt w:val="decimal"/>
      <w:pStyle w:val="13"/>
      <w:suff w:val="space"/>
      <w:lvlText w:val="%1.%2.%3.%4.%5.%6.%7."/>
      <w:lvlJc w:val="left"/>
      <w:pPr>
        <w:ind w:left="425" w:hanging="425"/>
      </w:pPr>
      <w:rPr>
        <w:rFonts w:hint="eastAsia"/>
      </w:rPr>
    </w:lvl>
    <w:lvl w:ilvl="7" w:tentative="0">
      <w:start w:val="1"/>
      <w:numFmt w:val="decimal"/>
      <w:pStyle w:val="14"/>
      <w:suff w:val="space"/>
      <w:lvlText w:val="%1.%2.%3.%4.%5.%6.%7.%8."/>
      <w:lvlJc w:val="left"/>
      <w:pPr>
        <w:ind w:left="425" w:hanging="425"/>
      </w:pPr>
      <w:rPr>
        <w:rFonts w:hint="eastAsia"/>
      </w:rPr>
    </w:lvl>
    <w:lvl w:ilvl="8" w:tentative="0">
      <w:start w:val="1"/>
      <w:numFmt w:val="decimal"/>
      <w:pStyle w:val="15"/>
      <w:suff w:val="space"/>
      <w:lvlText w:val="%1.%2.%3.%4.%5.%6.%7.%8.%9."/>
      <w:lvlJc w:val="left"/>
      <w:pPr>
        <w:ind w:left="425" w:hanging="425"/>
      </w:pPr>
      <w:rPr>
        <w:rFonts w:hint="eastAsia"/>
      </w:rPr>
    </w:lvl>
  </w:abstractNum>
  <w:abstractNum w:abstractNumId="7">
    <w:nsid w:val="2635734D"/>
    <w:multiLevelType w:val="multilevel"/>
    <w:tmpl w:val="2635734D"/>
    <w:lvl w:ilvl="0" w:tentative="0">
      <w:start w:val="1"/>
      <w:numFmt w:val="decimal"/>
      <w:lvlText w:val="%1）"/>
      <w:lvlJc w:val="left"/>
      <w:pPr>
        <w:ind w:left="1200" w:hanging="360"/>
      </w:pPr>
      <w:rPr>
        <w:rFonts w:hint="default"/>
      </w:rPr>
    </w:lvl>
    <w:lvl w:ilvl="1" w:tentative="0">
      <w:start w:val="1"/>
      <w:numFmt w:val="lowerLetter"/>
      <w:lvlText w:val="%2）"/>
      <w:lvlJc w:val="left"/>
      <w:pPr>
        <w:ind w:left="0" w:firstLine="1260"/>
      </w:pPr>
      <w:rPr>
        <w:rFonts w:hint="default"/>
      </w:rPr>
    </w:lvl>
    <w:lvl w:ilvl="2" w:tentative="0">
      <w:start w:val="2"/>
      <w:numFmt w:val="lowerLetter"/>
      <w:lvlText w:val="%3)"/>
      <w:lvlJc w:val="left"/>
      <w:pPr>
        <w:ind w:left="2040" w:hanging="360"/>
      </w:pPr>
      <w:rPr>
        <w:rFonts w:hint="default"/>
      </w:r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8">
    <w:nsid w:val="39FE0F91"/>
    <w:multiLevelType w:val="multilevel"/>
    <w:tmpl w:val="39FE0F9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9">
    <w:nsid w:val="3B804D11"/>
    <w:multiLevelType w:val="multilevel"/>
    <w:tmpl w:val="3B804D11"/>
    <w:lvl w:ilvl="0" w:tentative="0">
      <w:start w:val="1"/>
      <w:numFmt w:val="decimal"/>
      <w:lvlText w:val="%1)"/>
      <w:lvlJc w:val="left"/>
      <w:pPr>
        <w:ind w:left="785" w:hanging="360"/>
      </w:pPr>
      <w:rPr>
        <w:rFonts w:hint="default"/>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10">
    <w:nsid w:val="41830029"/>
    <w:multiLevelType w:val="multilevel"/>
    <w:tmpl w:val="41830029"/>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64EA2FB7"/>
    <w:multiLevelType w:val="multilevel"/>
    <w:tmpl w:val="64EA2FB7"/>
    <w:lvl w:ilvl="0" w:tentative="0">
      <w:start w:val="1"/>
      <w:numFmt w:val="decimal"/>
      <w:lvlText w:val="%1）"/>
      <w:lvlJc w:val="left"/>
      <w:pPr>
        <w:ind w:left="720" w:hanging="360"/>
      </w:pPr>
      <w:rPr>
        <w:rFonts w:ascii="Times New Roman" w:hAnsi="Times New Roman" w:eastAsia="宋体" w:cs="Times New Roman"/>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2">
    <w:nsid w:val="72C66F11"/>
    <w:multiLevelType w:val="multilevel"/>
    <w:tmpl w:val="72C66F11"/>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6"/>
  </w:num>
  <w:num w:numId="2">
    <w:abstractNumId w:val="10"/>
  </w:num>
  <w:num w:numId="3">
    <w:abstractNumId w:val="12"/>
  </w:num>
  <w:num w:numId="4">
    <w:abstractNumId w:val="8"/>
  </w:num>
  <w:num w:numId="5">
    <w:abstractNumId w:val="9"/>
  </w:num>
  <w:num w:numId="6">
    <w:abstractNumId w:val="5"/>
  </w:num>
  <w:num w:numId="7">
    <w:abstractNumId w:val="11"/>
  </w:num>
  <w:num w:numId="8">
    <w:abstractNumId w:val="2"/>
  </w:num>
  <w:num w:numId="9">
    <w:abstractNumId w:val="0"/>
  </w:num>
  <w:num w:numId="10">
    <w:abstractNumId w:val="7"/>
  </w:num>
  <w:num w:numId="11">
    <w:abstractNumId w:val="1"/>
  </w:num>
  <w:num w:numId="12">
    <w:abstractNumId w:val="3"/>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B96"/>
    <w:rsid w:val="0000210C"/>
    <w:rsid w:val="0000294C"/>
    <w:rsid w:val="00003C70"/>
    <w:rsid w:val="00004614"/>
    <w:rsid w:val="00007D92"/>
    <w:rsid w:val="00007FDE"/>
    <w:rsid w:val="0001059D"/>
    <w:rsid w:val="0001223F"/>
    <w:rsid w:val="00014B1E"/>
    <w:rsid w:val="00017E9A"/>
    <w:rsid w:val="00022429"/>
    <w:rsid w:val="00036FFE"/>
    <w:rsid w:val="000407CF"/>
    <w:rsid w:val="00047450"/>
    <w:rsid w:val="0004794B"/>
    <w:rsid w:val="000504AF"/>
    <w:rsid w:val="00052A92"/>
    <w:rsid w:val="00053EE1"/>
    <w:rsid w:val="00054FA0"/>
    <w:rsid w:val="0005733C"/>
    <w:rsid w:val="0006035E"/>
    <w:rsid w:val="00060A80"/>
    <w:rsid w:val="00060AC6"/>
    <w:rsid w:val="00071E5F"/>
    <w:rsid w:val="000739ED"/>
    <w:rsid w:val="00074BAC"/>
    <w:rsid w:val="00077FA8"/>
    <w:rsid w:val="00080679"/>
    <w:rsid w:val="000815DE"/>
    <w:rsid w:val="00084740"/>
    <w:rsid w:val="00086C56"/>
    <w:rsid w:val="00087E6B"/>
    <w:rsid w:val="0009316F"/>
    <w:rsid w:val="000945B3"/>
    <w:rsid w:val="000A37D2"/>
    <w:rsid w:val="000A414C"/>
    <w:rsid w:val="000A4A74"/>
    <w:rsid w:val="000B0E0F"/>
    <w:rsid w:val="000B1C0D"/>
    <w:rsid w:val="000B4055"/>
    <w:rsid w:val="000B4A68"/>
    <w:rsid w:val="000B65BB"/>
    <w:rsid w:val="000B6972"/>
    <w:rsid w:val="000C19D1"/>
    <w:rsid w:val="000C2B63"/>
    <w:rsid w:val="000C50E5"/>
    <w:rsid w:val="000D5183"/>
    <w:rsid w:val="000D53D5"/>
    <w:rsid w:val="000D53F9"/>
    <w:rsid w:val="000D75AB"/>
    <w:rsid w:val="000E0B69"/>
    <w:rsid w:val="000F2857"/>
    <w:rsid w:val="000F2E25"/>
    <w:rsid w:val="000F2E4A"/>
    <w:rsid w:val="000F3194"/>
    <w:rsid w:val="000F75E7"/>
    <w:rsid w:val="001007E8"/>
    <w:rsid w:val="00101F87"/>
    <w:rsid w:val="00106425"/>
    <w:rsid w:val="00106D68"/>
    <w:rsid w:val="0011042E"/>
    <w:rsid w:val="0011290C"/>
    <w:rsid w:val="00112E9D"/>
    <w:rsid w:val="00113516"/>
    <w:rsid w:val="00114546"/>
    <w:rsid w:val="00114751"/>
    <w:rsid w:val="00117421"/>
    <w:rsid w:val="00121876"/>
    <w:rsid w:val="0012480E"/>
    <w:rsid w:val="001249C4"/>
    <w:rsid w:val="00125E07"/>
    <w:rsid w:val="00127B2C"/>
    <w:rsid w:val="00130B30"/>
    <w:rsid w:val="001352AE"/>
    <w:rsid w:val="00136D3C"/>
    <w:rsid w:val="001401FA"/>
    <w:rsid w:val="00141D9B"/>
    <w:rsid w:val="00143CB7"/>
    <w:rsid w:val="001457B3"/>
    <w:rsid w:val="001511AD"/>
    <w:rsid w:val="00166126"/>
    <w:rsid w:val="0016669E"/>
    <w:rsid w:val="00167DAC"/>
    <w:rsid w:val="00170A50"/>
    <w:rsid w:val="001745F7"/>
    <w:rsid w:val="001765D8"/>
    <w:rsid w:val="001849DE"/>
    <w:rsid w:val="0018529F"/>
    <w:rsid w:val="001874B7"/>
    <w:rsid w:val="00191623"/>
    <w:rsid w:val="00192D2E"/>
    <w:rsid w:val="001932A7"/>
    <w:rsid w:val="001A3663"/>
    <w:rsid w:val="001A4A2D"/>
    <w:rsid w:val="001A69B7"/>
    <w:rsid w:val="001B1412"/>
    <w:rsid w:val="001B2878"/>
    <w:rsid w:val="001C0E8A"/>
    <w:rsid w:val="001C5937"/>
    <w:rsid w:val="001D2E71"/>
    <w:rsid w:val="001D598C"/>
    <w:rsid w:val="001D5F1E"/>
    <w:rsid w:val="001D5FF1"/>
    <w:rsid w:val="001E0A09"/>
    <w:rsid w:val="001E0E69"/>
    <w:rsid w:val="001E28C2"/>
    <w:rsid w:val="001E29F1"/>
    <w:rsid w:val="001E7E38"/>
    <w:rsid w:val="001F0660"/>
    <w:rsid w:val="001F103F"/>
    <w:rsid w:val="001F183A"/>
    <w:rsid w:val="001F2783"/>
    <w:rsid w:val="001F4ED4"/>
    <w:rsid w:val="001F55DE"/>
    <w:rsid w:val="001F69EB"/>
    <w:rsid w:val="00201048"/>
    <w:rsid w:val="002017C9"/>
    <w:rsid w:val="00207A3A"/>
    <w:rsid w:val="00210192"/>
    <w:rsid w:val="0021051A"/>
    <w:rsid w:val="002119A2"/>
    <w:rsid w:val="00214658"/>
    <w:rsid w:val="0022029E"/>
    <w:rsid w:val="00220DF6"/>
    <w:rsid w:val="00221B87"/>
    <w:rsid w:val="00222C7C"/>
    <w:rsid w:val="0022494A"/>
    <w:rsid w:val="00226BB3"/>
    <w:rsid w:val="00227268"/>
    <w:rsid w:val="00227A23"/>
    <w:rsid w:val="002402F1"/>
    <w:rsid w:val="00240E8A"/>
    <w:rsid w:val="002458D6"/>
    <w:rsid w:val="00247CA5"/>
    <w:rsid w:val="002504AE"/>
    <w:rsid w:val="002507F5"/>
    <w:rsid w:val="00256337"/>
    <w:rsid w:val="00261D9A"/>
    <w:rsid w:val="002632D2"/>
    <w:rsid w:val="00263994"/>
    <w:rsid w:val="0026566F"/>
    <w:rsid w:val="00267A7E"/>
    <w:rsid w:val="00270C51"/>
    <w:rsid w:val="00270C96"/>
    <w:rsid w:val="002722FE"/>
    <w:rsid w:val="00273271"/>
    <w:rsid w:val="00273D92"/>
    <w:rsid w:val="00276293"/>
    <w:rsid w:val="00277F15"/>
    <w:rsid w:val="002834D5"/>
    <w:rsid w:val="0028459C"/>
    <w:rsid w:val="0028486A"/>
    <w:rsid w:val="0029619F"/>
    <w:rsid w:val="00297119"/>
    <w:rsid w:val="002977F3"/>
    <w:rsid w:val="002A41A0"/>
    <w:rsid w:val="002A4370"/>
    <w:rsid w:val="002B3B99"/>
    <w:rsid w:val="002C1C9C"/>
    <w:rsid w:val="002C4B76"/>
    <w:rsid w:val="002C5EE0"/>
    <w:rsid w:val="002D6014"/>
    <w:rsid w:val="002D75A3"/>
    <w:rsid w:val="002E1901"/>
    <w:rsid w:val="002E1A5E"/>
    <w:rsid w:val="002E70C5"/>
    <w:rsid w:val="002F330A"/>
    <w:rsid w:val="002F78C9"/>
    <w:rsid w:val="00300C1F"/>
    <w:rsid w:val="00302175"/>
    <w:rsid w:val="00302E72"/>
    <w:rsid w:val="00304FB5"/>
    <w:rsid w:val="0030537B"/>
    <w:rsid w:val="00306661"/>
    <w:rsid w:val="003070BE"/>
    <w:rsid w:val="00310E75"/>
    <w:rsid w:val="00311813"/>
    <w:rsid w:val="003143F7"/>
    <w:rsid w:val="003154D9"/>
    <w:rsid w:val="00316067"/>
    <w:rsid w:val="0032022A"/>
    <w:rsid w:val="00320D73"/>
    <w:rsid w:val="00324D31"/>
    <w:rsid w:val="00326297"/>
    <w:rsid w:val="00326BDC"/>
    <w:rsid w:val="0032726E"/>
    <w:rsid w:val="003315EA"/>
    <w:rsid w:val="00331B21"/>
    <w:rsid w:val="0033254C"/>
    <w:rsid w:val="00334752"/>
    <w:rsid w:val="00334B89"/>
    <w:rsid w:val="00334E0C"/>
    <w:rsid w:val="0033557F"/>
    <w:rsid w:val="00335A10"/>
    <w:rsid w:val="003447C3"/>
    <w:rsid w:val="003454DB"/>
    <w:rsid w:val="00347EBF"/>
    <w:rsid w:val="00351933"/>
    <w:rsid w:val="003533BF"/>
    <w:rsid w:val="00354EC5"/>
    <w:rsid w:val="00355F1E"/>
    <w:rsid w:val="00360977"/>
    <w:rsid w:val="00363B74"/>
    <w:rsid w:val="00367A65"/>
    <w:rsid w:val="00367BBF"/>
    <w:rsid w:val="003723F7"/>
    <w:rsid w:val="003725A1"/>
    <w:rsid w:val="00372BC4"/>
    <w:rsid w:val="00372BE1"/>
    <w:rsid w:val="00372DB0"/>
    <w:rsid w:val="003822EB"/>
    <w:rsid w:val="00385C69"/>
    <w:rsid w:val="0039211C"/>
    <w:rsid w:val="003923E9"/>
    <w:rsid w:val="00395066"/>
    <w:rsid w:val="00395F48"/>
    <w:rsid w:val="003A2161"/>
    <w:rsid w:val="003A218C"/>
    <w:rsid w:val="003A355C"/>
    <w:rsid w:val="003A471F"/>
    <w:rsid w:val="003A7360"/>
    <w:rsid w:val="003B2B13"/>
    <w:rsid w:val="003B2CBD"/>
    <w:rsid w:val="003B3AB5"/>
    <w:rsid w:val="003B4F66"/>
    <w:rsid w:val="003C1E37"/>
    <w:rsid w:val="003C29B7"/>
    <w:rsid w:val="003C33AC"/>
    <w:rsid w:val="003C4320"/>
    <w:rsid w:val="003C55AD"/>
    <w:rsid w:val="003D25A3"/>
    <w:rsid w:val="003D274C"/>
    <w:rsid w:val="003D4D17"/>
    <w:rsid w:val="003E560C"/>
    <w:rsid w:val="003E7ECD"/>
    <w:rsid w:val="003F2FD2"/>
    <w:rsid w:val="00410746"/>
    <w:rsid w:val="004158B6"/>
    <w:rsid w:val="00415E06"/>
    <w:rsid w:val="0042015E"/>
    <w:rsid w:val="00420261"/>
    <w:rsid w:val="00423F19"/>
    <w:rsid w:val="00426A32"/>
    <w:rsid w:val="00427835"/>
    <w:rsid w:val="00431375"/>
    <w:rsid w:val="0044054D"/>
    <w:rsid w:val="00440BFE"/>
    <w:rsid w:val="00446F56"/>
    <w:rsid w:val="0044705F"/>
    <w:rsid w:val="00447E52"/>
    <w:rsid w:val="00450F86"/>
    <w:rsid w:val="004510C9"/>
    <w:rsid w:val="0045277F"/>
    <w:rsid w:val="00456075"/>
    <w:rsid w:val="00457FBA"/>
    <w:rsid w:val="00464069"/>
    <w:rsid w:val="0046530F"/>
    <w:rsid w:val="00474A94"/>
    <w:rsid w:val="0047586F"/>
    <w:rsid w:val="00480F9C"/>
    <w:rsid w:val="004812F5"/>
    <w:rsid w:val="00481B64"/>
    <w:rsid w:val="0048236C"/>
    <w:rsid w:val="00482515"/>
    <w:rsid w:val="00485B03"/>
    <w:rsid w:val="00491FBD"/>
    <w:rsid w:val="00495259"/>
    <w:rsid w:val="004A2924"/>
    <w:rsid w:val="004B4015"/>
    <w:rsid w:val="004B4614"/>
    <w:rsid w:val="004B4D3A"/>
    <w:rsid w:val="004B5786"/>
    <w:rsid w:val="004B714B"/>
    <w:rsid w:val="004C0C04"/>
    <w:rsid w:val="004C2636"/>
    <w:rsid w:val="004C4E43"/>
    <w:rsid w:val="004C6630"/>
    <w:rsid w:val="004C68D7"/>
    <w:rsid w:val="004D0A1C"/>
    <w:rsid w:val="004D48D8"/>
    <w:rsid w:val="004D5298"/>
    <w:rsid w:val="004D5EE7"/>
    <w:rsid w:val="004E3220"/>
    <w:rsid w:val="004E6C15"/>
    <w:rsid w:val="004F02C1"/>
    <w:rsid w:val="004F09AD"/>
    <w:rsid w:val="004F66FA"/>
    <w:rsid w:val="004F7675"/>
    <w:rsid w:val="004F7CA0"/>
    <w:rsid w:val="00507293"/>
    <w:rsid w:val="005127F6"/>
    <w:rsid w:val="00513FA4"/>
    <w:rsid w:val="0051566A"/>
    <w:rsid w:val="0051640C"/>
    <w:rsid w:val="00523DF7"/>
    <w:rsid w:val="00525D58"/>
    <w:rsid w:val="00526A32"/>
    <w:rsid w:val="0053005C"/>
    <w:rsid w:val="00530094"/>
    <w:rsid w:val="00534B10"/>
    <w:rsid w:val="00535962"/>
    <w:rsid w:val="005368D6"/>
    <w:rsid w:val="00537F55"/>
    <w:rsid w:val="00542D87"/>
    <w:rsid w:val="00542DAE"/>
    <w:rsid w:val="005450C4"/>
    <w:rsid w:val="005461D0"/>
    <w:rsid w:val="005464AB"/>
    <w:rsid w:val="00550C95"/>
    <w:rsid w:val="005569CC"/>
    <w:rsid w:val="00557189"/>
    <w:rsid w:val="0056410B"/>
    <w:rsid w:val="0056436A"/>
    <w:rsid w:val="00565E07"/>
    <w:rsid w:val="005700D7"/>
    <w:rsid w:val="00570426"/>
    <w:rsid w:val="0057457D"/>
    <w:rsid w:val="00577897"/>
    <w:rsid w:val="005804F7"/>
    <w:rsid w:val="00581EFB"/>
    <w:rsid w:val="00582D52"/>
    <w:rsid w:val="00582E10"/>
    <w:rsid w:val="00584F9A"/>
    <w:rsid w:val="0059051F"/>
    <w:rsid w:val="00591DD1"/>
    <w:rsid w:val="00594775"/>
    <w:rsid w:val="00595BA8"/>
    <w:rsid w:val="00596DBC"/>
    <w:rsid w:val="00596F19"/>
    <w:rsid w:val="005A0580"/>
    <w:rsid w:val="005A42FB"/>
    <w:rsid w:val="005A58A2"/>
    <w:rsid w:val="005A64D9"/>
    <w:rsid w:val="005B0A2D"/>
    <w:rsid w:val="005B0EE2"/>
    <w:rsid w:val="005B57B0"/>
    <w:rsid w:val="005B63A4"/>
    <w:rsid w:val="005B684B"/>
    <w:rsid w:val="005C0E92"/>
    <w:rsid w:val="005C1D31"/>
    <w:rsid w:val="005C4FF5"/>
    <w:rsid w:val="005C5915"/>
    <w:rsid w:val="005C6811"/>
    <w:rsid w:val="005C6D57"/>
    <w:rsid w:val="005D4499"/>
    <w:rsid w:val="005D4D31"/>
    <w:rsid w:val="005D61E6"/>
    <w:rsid w:val="005E0D00"/>
    <w:rsid w:val="005E1387"/>
    <w:rsid w:val="005E1FB3"/>
    <w:rsid w:val="005E356B"/>
    <w:rsid w:val="005E4343"/>
    <w:rsid w:val="005E7483"/>
    <w:rsid w:val="005F0D9A"/>
    <w:rsid w:val="005F27F1"/>
    <w:rsid w:val="005F3CD1"/>
    <w:rsid w:val="005F51F4"/>
    <w:rsid w:val="005F62C2"/>
    <w:rsid w:val="00601B69"/>
    <w:rsid w:val="00610591"/>
    <w:rsid w:val="006119FA"/>
    <w:rsid w:val="00613F24"/>
    <w:rsid w:val="00625326"/>
    <w:rsid w:val="00625656"/>
    <w:rsid w:val="00625768"/>
    <w:rsid w:val="00625A21"/>
    <w:rsid w:val="00635726"/>
    <w:rsid w:val="006464C6"/>
    <w:rsid w:val="006566A8"/>
    <w:rsid w:val="006575B6"/>
    <w:rsid w:val="00657DF9"/>
    <w:rsid w:val="00666C07"/>
    <w:rsid w:val="00670222"/>
    <w:rsid w:val="00671B4A"/>
    <w:rsid w:val="00671D63"/>
    <w:rsid w:val="00672A56"/>
    <w:rsid w:val="00677394"/>
    <w:rsid w:val="006774DA"/>
    <w:rsid w:val="0068335A"/>
    <w:rsid w:val="0068368E"/>
    <w:rsid w:val="006862E1"/>
    <w:rsid w:val="006918EF"/>
    <w:rsid w:val="00693EE1"/>
    <w:rsid w:val="0069508E"/>
    <w:rsid w:val="006A3518"/>
    <w:rsid w:val="006A42C8"/>
    <w:rsid w:val="006A576D"/>
    <w:rsid w:val="006B0822"/>
    <w:rsid w:val="006B5CA8"/>
    <w:rsid w:val="006B6EF0"/>
    <w:rsid w:val="006C0E26"/>
    <w:rsid w:val="006C1E31"/>
    <w:rsid w:val="006C514F"/>
    <w:rsid w:val="006C7F20"/>
    <w:rsid w:val="006D0191"/>
    <w:rsid w:val="006D286D"/>
    <w:rsid w:val="006E010C"/>
    <w:rsid w:val="006E0315"/>
    <w:rsid w:val="006E0770"/>
    <w:rsid w:val="006E1242"/>
    <w:rsid w:val="006E19E7"/>
    <w:rsid w:val="006F1E0B"/>
    <w:rsid w:val="006F4E74"/>
    <w:rsid w:val="006F6635"/>
    <w:rsid w:val="007043A5"/>
    <w:rsid w:val="007065C5"/>
    <w:rsid w:val="00710592"/>
    <w:rsid w:val="00712D9A"/>
    <w:rsid w:val="00715C15"/>
    <w:rsid w:val="00721DC3"/>
    <w:rsid w:val="007230B9"/>
    <w:rsid w:val="00723505"/>
    <w:rsid w:val="00726259"/>
    <w:rsid w:val="007276D6"/>
    <w:rsid w:val="00730491"/>
    <w:rsid w:val="0073392A"/>
    <w:rsid w:val="00733F07"/>
    <w:rsid w:val="00734A74"/>
    <w:rsid w:val="00735105"/>
    <w:rsid w:val="007363EB"/>
    <w:rsid w:val="0074325B"/>
    <w:rsid w:val="00743985"/>
    <w:rsid w:val="007474EC"/>
    <w:rsid w:val="007527BD"/>
    <w:rsid w:val="00756E7B"/>
    <w:rsid w:val="00763B96"/>
    <w:rsid w:val="007650C8"/>
    <w:rsid w:val="00765313"/>
    <w:rsid w:val="007657F2"/>
    <w:rsid w:val="007720F8"/>
    <w:rsid w:val="00775C6D"/>
    <w:rsid w:val="00780670"/>
    <w:rsid w:val="0078278A"/>
    <w:rsid w:val="00783E6E"/>
    <w:rsid w:val="0078561A"/>
    <w:rsid w:val="00787784"/>
    <w:rsid w:val="00796A64"/>
    <w:rsid w:val="007A2256"/>
    <w:rsid w:val="007A3643"/>
    <w:rsid w:val="007A5D3A"/>
    <w:rsid w:val="007B1E9E"/>
    <w:rsid w:val="007B2E9C"/>
    <w:rsid w:val="007B4C97"/>
    <w:rsid w:val="007C7FDA"/>
    <w:rsid w:val="007D29D9"/>
    <w:rsid w:val="007D6B18"/>
    <w:rsid w:val="007E0CD2"/>
    <w:rsid w:val="007E2CF6"/>
    <w:rsid w:val="007E408E"/>
    <w:rsid w:val="007E78CB"/>
    <w:rsid w:val="007F1A53"/>
    <w:rsid w:val="007F1EC0"/>
    <w:rsid w:val="007F329C"/>
    <w:rsid w:val="008027AC"/>
    <w:rsid w:val="00805578"/>
    <w:rsid w:val="00807899"/>
    <w:rsid w:val="00810366"/>
    <w:rsid w:val="00811F9E"/>
    <w:rsid w:val="008133F8"/>
    <w:rsid w:val="0081357F"/>
    <w:rsid w:val="0081605A"/>
    <w:rsid w:val="00822A09"/>
    <w:rsid w:val="0083060A"/>
    <w:rsid w:val="00831B96"/>
    <w:rsid w:val="00832193"/>
    <w:rsid w:val="00834CAA"/>
    <w:rsid w:val="008350A8"/>
    <w:rsid w:val="008372B9"/>
    <w:rsid w:val="008373DC"/>
    <w:rsid w:val="00837A48"/>
    <w:rsid w:val="00840ACF"/>
    <w:rsid w:val="00847FEE"/>
    <w:rsid w:val="008504B8"/>
    <w:rsid w:val="008504FA"/>
    <w:rsid w:val="00851051"/>
    <w:rsid w:val="00854CB7"/>
    <w:rsid w:val="00857919"/>
    <w:rsid w:val="00860EA3"/>
    <w:rsid w:val="00861D6A"/>
    <w:rsid w:val="008644F9"/>
    <w:rsid w:val="008662A6"/>
    <w:rsid w:val="00866B73"/>
    <w:rsid w:val="00871752"/>
    <w:rsid w:val="00874EA0"/>
    <w:rsid w:val="00880BB3"/>
    <w:rsid w:val="00881747"/>
    <w:rsid w:val="00881B2E"/>
    <w:rsid w:val="0088320E"/>
    <w:rsid w:val="008876B1"/>
    <w:rsid w:val="00890D58"/>
    <w:rsid w:val="008910A8"/>
    <w:rsid w:val="00891136"/>
    <w:rsid w:val="00891B4E"/>
    <w:rsid w:val="008928A1"/>
    <w:rsid w:val="00892B7F"/>
    <w:rsid w:val="008B32B6"/>
    <w:rsid w:val="008B6271"/>
    <w:rsid w:val="008B6F3B"/>
    <w:rsid w:val="008C34A4"/>
    <w:rsid w:val="008D0C55"/>
    <w:rsid w:val="008D1739"/>
    <w:rsid w:val="008D26E0"/>
    <w:rsid w:val="008D4C56"/>
    <w:rsid w:val="008D710F"/>
    <w:rsid w:val="008E224D"/>
    <w:rsid w:val="008E2B28"/>
    <w:rsid w:val="008E5E01"/>
    <w:rsid w:val="008E6C38"/>
    <w:rsid w:val="008E701D"/>
    <w:rsid w:val="008F0158"/>
    <w:rsid w:val="008F6D42"/>
    <w:rsid w:val="008F7AF8"/>
    <w:rsid w:val="009000F9"/>
    <w:rsid w:val="00905883"/>
    <w:rsid w:val="009077B6"/>
    <w:rsid w:val="00915591"/>
    <w:rsid w:val="009208E4"/>
    <w:rsid w:val="00921579"/>
    <w:rsid w:val="00922AB8"/>
    <w:rsid w:val="00923F60"/>
    <w:rsid w:val="00924D80"/>
    <w:rsid w:val="00924FFD"/>
    <w:rsid w:val="009264B3"/>
    <w:rsid w:val="009312EF"/>
    <w:rsid w:val="0093180A"/>
    <w:rsid w:val="00931BE2"/>
    <w:rsid w:val="00933B4E"/>
    <w:rsid w:val="009349C9"/>
    <w:rsid w:val="00937CDC"/>
    <w:rsid w:val="009449D4"/>
    <w:rsid w:val="009451B6"/>
    <w:rsid w:val="0094603B"/>
    <w:rsid w:val="00947786"/>
    <w:rsid w:val="009522EB"/>
    <w:rsid w:val="0095510A"/>
    <w:rsid w:val="00957958"/>
    <w:rsid w:val="009602B0"/>
    <w:rsid w:val="00962712"/>
    <w:rsid w:val="009653DE"/>
    <w:rsid w:val="00965C41"/>
    <w:rsid w:val="009666C6"/>
    <w:rsid w:val="00967355"/>
    <w:rsid w:val="00971C68"/>
    <w:rsid w:val="00971F29"/>
    <w:rsid w:val="0097452B"/>
    <w:rsid w:val="009756E2"/>
    <w:rsid w:val="0098015D"/>
    <w:rsid w:val="00980E96"/>
    <w:rsid w:val="00980FCF"/>
    <w:rsid w:val="00981F7B"/>
    <w:rsid w:val="0098598B"/>
    <w:rsid w:val="00990030"/>
    <w:rsid w:val="009A0D1D"/>
    <w:rsid w:val="009A6962"/>
    <w:rsid w:val="009A717B"/>
    <w:rsid w:val="009A7B93"/>
    <w:rsid w:val="009A7CD9"/>
    <w:rsid w:val="009B01D7"/>
    <w:rsid w:val="009B20B8"/>
    <w:rsid w:val="009B3261"/>
    <w:rsid w:val="009B42B3"/>
    <w:rsid w:val="009B73A3"/>
    <w:rsid w:val="009C3A66"/>
    <w:rsid w:val="009C6925"/>
    <w:rsid w:val="009C6D60"/>
    <w:rsid w:val="009C7EB1"/>
    <w:rsid w:val="009D0CD9"/>
    <w:rsid w:val="009D29FD"/>
    <w:rsid w:val="009D3445"/>
    <w:rsid w:val="009E01CA"/>
    <w:rsid w:val="009E0DA0"/>
    <w:rsid w:val="009F09B7"/>
    <w:rsid w:val="009F0C84"/>
    <w:rsid w:val="009F152D"/>
    <w:rsid w:val="009F3157"/>
    <w:rsid w:val="00A114A6"/>
    <w:rsid w:val="00A14F89"/>
    <w:rsid w:val="00A21D7B"/>
    <w:rsid w:val="00A220BE"/>
    <w:rsid w:val="00A30065"/>
    <w:rsid w:val="00A33ACC"/>
    <w:rsid w:val="00A35BB7"/>
    <w:rsid w:val="00A35DC7"/>
    <w:rsid w:val="00A40E78"/>
    <w:rsid w:val="00A45866"/>
    <w:rsid w:val="00A462CF"/>
    <w:rsid w:val="00A47548"/>
    <w:rsid w:val="00A5180C"/>
    <w:rsid w:val="00A5210B"/>
    <w:rsid w:val="00A549C3"/>
    <w:rsid w:val="00A55A84"/>
    <w:rsid w:val="00A56664"/>
    <w:rsid w:val="00A62BE8"/>
    <w:rsid w:val="00A62F7D"/>
    <w:rsid w:val="00A646D2"/>
    <w:rsid w:val="00A70607"/>
    <w:rsid w:val="00A76BEE"/>
    <w:rsid w:val="00A86E3E"/>
    <w:rsid w:val="00A8725D"/>
    <w:rsid w:val="00A920E6"/>
    <w:rsid w:val="00A927EA"/>
    <w:rsid w:val="00A930C4"/>
    <w:rsid w:val="00A95ABA"/>
    <w:rsid w:val="00A95CDB"/>
    <w:rsid w:val="00AA4C03"/>
    <w:rsid w:val="00AA4FAC"/>
    <w:rsid w:val="00AB1400"/>
    <w:rsid w:val="00AB296C"/>
    <w:rsid w:val="00AB5032"/>
    <w:rsid w:val="00AC2345"/>
    <w:rsid w:val="00AC5BCE"/>
    <w:rsid w:val="00AC7858"/>
    <w:rsid w:val="00AD0497"/>
    <w:rsid w:val="00AD1952"/>
    <w:rsid w:val="00AD2610"/>
    <w:rsid w:val="00AD29B1"/>
    <w:rsid w:val="00AD2B2B"/>
    <w:rsid w:val="00AE00A8"/>
    <w:rsid w:val="00AE0A79"/>
    <w:rsid w:val="00AF09E1"/>
    <w:rsid w:val="00AF26D0"/>
    <w:rsid w:val="00AF29FE"/>
    <w:rsid w:val="00AF3AB5"/>
    <w:rsid w:val="00AF604C"/>
    <w:rsid w:val="00B0719B"/>
    <w:rsid w:val="00B1066E"/>
    <w:rsid w:val="00B10F64"/>
    <w:rsid w:val="00B11C4C"/>
    <w:rsid w:val="00B121AC"/>
    <w:rsid w:val="00B14A00"/>
    <w:rsid w:val="00B1514C"/>
    <w:rsid w:val="00B20BAE"/>
    <w:rsid w:val="00B25FFF"/>
    <w:rsid w:val="00B27073"/>
    <w:rsid w:val="00B32C44"/>
    <w:rsid w:val="00B32C7D"/>
    <w:rsid w:val="00B3339A"/>
    <w:rsid w:val="00B357A7"/>
    <w:rsid w:val="00B35A38"/>
    <w:rsid w:val="00B4548A"/>
    <w:rsid w:val="00B475E0"/>
    <w:rsid w:val="00B47AA6"/>
    <w:rsid w:val="00B51AC2"/>
    <w:rsid w:val="00B52CC3"/>
    <w:rsid w:val="00B54FB9"/>
    <w:rsid w:val="00B577E0"/>
    <w:rsid w:val="00B603CC"/>
    <w:rsid w:val="00B64A55"/>
    <w:rsid w:val="00B71698"/>
    <w:rsid w:val="00B74AC3"/>
    <w:rsid w:val="00B75039"/>
    <w:rsid w:val="00B76E61"/>
    <w:rsid w:val="00B772BA"/>
    <w:rsid w:val="00B840FA"/>
    <w:rsid w:val="00B84FCE"/>
    <w:rsid w:val="00B85B6A"/>
    <w:rsid w:val="00B87019"/>
    <w:rsid w:val="00B90EF0"/>
    <w:rsid w:val="00B958F1"/>
    <w:rsid w:val="00B97FAF"/>
    <w:rsid w:val="00BA2EBF"/>
    <w:rsid w:val="00BA64DD"/>
    <w:rsid w:val="00BA7ECC"/>
    <w:rsid w:val="00BB424C"/>
    <w:rsid w:val="00BB7D66"/>
    <w:rsid w:val="00BB7D9B"/>
    <w:rsid w:val="00BB7FB2"/>
    <w:rsid w:val="00BC3F05"/>
    <w:rsid w:val="00BC4BDA"/>
    <w:rsid w:val="00BC4C90"/>
    <w:rsid w:val="00BC638B"/>
    <w:rsid w:val="00BD0290"/>
    <w:rsid w:val="00BD1C10"/>
    <w:rsid w:val="00BD3D4A"/>
    <w:rsid w:val="00BD6CE3"/>
    <w:rsid w:val="00BE2835"/>
    <w:rsid w:val="00BE4423"/>
    <w:rsid w:val="00BE59CA"/>
    <w:rsid w:val="00BF3858"/>
    <w:rsid w:val="00BF57E8"/>
    <w:rsid w:val="00C00627"/>
    <w:rsid w:val="00C0233E"/>
    <w:rsid w:val="00C035D9"/>
    <w:rsid w:val="00C06365"/>
    <w:rsid w:val="00C10BF6"/>
    <w:rsid w:val="00C16D34"/>
    <w:rsid w:val="00C17395"/>
    <w:rsid w:val="00C222B6"/>
    <w:rsid w:val="00C266ED"/>
    <w:rsid w:val="00C2787C"/>
    <w:rsid w:val="00C35300"/>
    <w:rsid w:val="00C41780"/>
    <w:rsid w:val="00C475EC"/>
    <w:rsid w:val="00C52EDD"/>
    <w:rsid w:val="00C53BDD"/>
    <w:rsid w:val="00C552A8"/>
    <w:rsid w:val="00C55F73"/>
    <w:rsid w:val="00C56297"/>
    <w:rsid w:val="00C60231"/>
    <w:rsid w:val="00C63496"/>
    <w:rsid w:val="00C6470B"/>
    <w:rsid w:val="00C6715F"/>
    <w:rsid w:val="00C754F3"/>
    <w:rsid w:val="00C87607"/>
    <w:rsid w:val="00C93E67"/>
    <w:rsid w:val="00C94196"/>
    <w:rsid w:val="00C94BCF"/>
    <w:rsid w:val="00C96485"/>
    <w:rsid w:val="00C97299"/>
    <w:rsid w:val="00CA26EF"/>
    <w:rsid w:val="00CA3B19"/>
    <w:rsid w:val="00CA6334"/>
    <w:rsid w:val="00CB0439"/>
    <w:rsid w:val="00CB2D69"/>
    <w:rsid w:val="00CB3CF7"/>
    <w:rsid w:val="00CB3EF6"/>
    <w:rsid w:val="00CB50D4"/>
    <w:rsid w:val="00CC64A5"/>
    <w:rsid w:val="00CD2690"/>
    <w:rsid w:val="00CD463C"/>
    <w:rsid w:val="00CD5145"/>
    <w:rsid w:val="00CD5EB3"/>
    <w:rsid w:val="00CD7AD8"/>
    <w:rsid w:val="00CE134B"/>
    <w:rsid w:val="00CE3713"/>
    <w:rsid w:val="00CE4FE9"/>
    <w:rsid w:val="00CE6392"/>
    <w:rsid w:val="00CE6F60"/>
    <w:rsid w:val="00CE7BE9"/>
    <w:rsid w:val="00CF157D"/>
    <w:rsid w:val="00CF16C6"/>
    <w:rsid w:val="00CF3B25"/>
    <w:rsid w:val="00CF7510"/>
    <w:rsid w:val="00D002D5"/>
    <w:rsid w:val="00D05828"/>
    <w:rsid w:val="00D067F4"/>
    <w:rsid w:val="00D1014E"/>
    <w:rsid w:val="00D1223D"/>
    <w:rsid w:val="00D12CA2"/>
    <w:rsid w:val="00D157E8"/>
    <w:rsid w:val="00D34807"/>
    <w:rsid w:val="00D40CE4"/>
    <w:rsid w:val="00D43D51"/>
    <w:rsid w:val="00D53154"/>
    <w:rsid w:val="00D537C4"/>
    <w:rsid w:val="00D6789A"/>
    <w:rsid w:val="00D704CE"/>
    <w:rsid w:val="00D7202B"/>
    <w:rsid w:val="00D727E2"/>
    <w:rsid w:val="00D73997"/>
    <w:rsid w:val="00D739DB"/>
    <w:rsid w:val="00D74D70"/>
    <w:rsid w:val="00D75CE4"/>
    <w:rsid w:val="00D771CF"/>
    <w:rsid w:val="00D810C1"/>
    <w:rsid w:val="00D82C97"/>
    <w:rsid w:val="00D85A45"/>
    <w:rsid w:val="00D864D5"/>
    <w:rsid w:val="00D90121"/>
    <w:rsid w:val="00DA134C"/>
    <w:rsid w:val="00DB11FC"/>
    <w:rsid w:val="00DB13E0"/>
    <w:rsid w:val="00DC0484"/>
    <w:rsid w:val="00DC6C7B"/>
    <w:rsid w:val="00DD400E"/>
    <w:rsid w:val="00DD6006"/>
    <w:rsid w:val="00DD7A00"/>
    <w:rsid w:val="00DE028F"/>
    <w:rsid w:val="00DE0BCF"/>
    <w:rsid w:val="00DE1DDD"/>
    <w:rsid w:val="00DE5035"/>
    <w:rsid w:val="00DF5874"/>
    <w:rsid w:val="00E00D5C"/>
    <w:rsid w:val="00E05ED9"/>
    <w:rsid w:val="00E06C85"/>
    <w:rsid w:val="00E06D92"/>
    <w:rsid w:val="00E07582"/>
    <w:rsid w:val="00E144F9"/>
    <w:rsid w:val="00E22EA9"/>
    <w:rsid w:val="00E24546"/>
    <w:rsid w:val="00E27441"/>
    <w:rsid w:val="00E30150"/>
    <w:rsid w:val="00E32B8D"/>
    <w:rsid w:val="00E36628"/>
    <w:rsid w:val="00E37945"/>
    <w:rsid w:val="00E40656"/>
    <w:rsid w:val="00E42757"/>
    <w:rsid w:val="00E4307C"/>
    <w:rsid w:val="00E46F76"/>
    <w:rsid w:val="00E47D86"/>
    <w:rsid w:val="00E50B83"/>
    <w:rsid w:val="00E51954"/>
    <w:rsid w:val="00E549A6"/>
    <w:rsid w:val="00E5563C"/>
    <w:rsid w:val="00E56166"/>
    <w:rsid w:val="00E562F2"/>
    <w:rsid w:val="00E62A47"/>
    <w:rsid w:val="00E7051E"/>
    <w:rsid w:val="00E8342C"/>
    <w:rsid w:val="00E8419B"/>
    <w:rsid w:val="00E85CF6"/>
    <w:rsid w:val="00E85E2D"/>
    <w:rsid w:val="00E87F3A"/>
    <w:rsid w:val="00E91905"/>
    <w:rsid w:val="00E92435"/>
    <w:rsid w:val="00E926EA"/>
    <w:rsid w:val="00E92907"/>
    <w:rsid w:val="00EA1090"/>
    <w:rsid w:val="00EA15D3"/>
    <w:rsid w:val="00EA2193"/>
    <w:rsid w:val="00EA2594"/>
    <w:rsid w:val="00EA29C2"/>
    <w:rsid w:val="00EA3A65"/>
    <w:rsid w:val="00EA3D70"/>
    <w:rsid w:val="00EA46F5"/>
    <w:rsid w:val="00EB015D"/>
    <w:rsid w:val="00EB1AF7"/>
    <w:rsid w:val="00EB50EE"/>
    <w:rsid w:val="00EB5A28"/>
    <w:rsid w:val="00EC077E"/>
    <w:rsid w:val="00EC696A"/>
    <w:rsid w:val="00ED177C"/>
    <w:rsid w:val="00ED27CF"/>
    <w:rsid w:val="00ED652A"/>
    <w:rsid w:val="00ED6582"/>
    <w:rsid w:val="00EE1F77"/>
    <w:rsid w:val="00EE5D53"/>
    <w:rsid w:val="00EE78CB"/>
    <w:rsid w:val="00EF4D1C"/>
    <w:rsid w:val="00F00261"/>
    <w:rsid w:val="00F024B8"/>
    <w:rsid w:val="00F0330B"/>
    <w:rsid w:val="00F06B01"/>
    <w:rsid w:val="00F1269E"/>
    <w:rsid w:val="00F14B85"/>
    <w:rsid w:val="00F2013A"/>
    <w:rsid w:val="00F216F5"/>
    <w:rsid w:val="00F21911"/>
    <w:rsid w:val="00F2227D"/>
    <w:rsid w:val="00F22FB3"/>
    <w:rsid w:val="00F23294"/>
    <w:rsid w:val="00F26E9B"/>
    <w:rsid w:val="00F26F01"/>
    <w:rsid w:val="00F308DB"/>
    <w:rsid w:val="00F31385"/>
    <w:rsid w:val="00F32C24"/>
    <w:rsid w:val="00F36FEB"/>
    <w:rsid w:val="00F42E1A"/>
    <w:rsid w:val="00F44600"/>
    <w:rsid w:val="00F50A7D"/>
    <w:rsid w:val="00F540C3"/>
    <w:rsid w:val="00F55099"/>
    <w:rsid w:val="00F55825"/>
    <w:rsid w:val="00F55A6F"/>
    <w:rsid w:val="00F60615"/>
    <w:rsid w:val="00F672E0"/>
    <w:rsid w:val="00F7751D"/>
    <w:rsid w:val="00F8305B"/>
    <w:rsid w:val="00F83BF3"/>
    <w:rsid w:val="00F913A1"/>
    <w:rsid w:val="00F93057"/>
    <w:rsid w:val="00FA0F02"/>
    <w:rsid w:val="00FA12B6"/>
    <w:rsid w:val="00FA1FBE"/>
    <w:rsid w:val="00FA46D2"/>
    <w:rsid w:val="00FA4C7F"/>
    <w:rsid w:val="00FB3E10"/>
    <w:rsid w:val="00FC5C42"/>
    <w:rsid w:val="00FC6D5F"/>
    <w:rsid w:val="00FC7BBD"/>
    <w:rsid w:val="00FD4F2B"/>
    <w:rsid w:val="00FE1F1A"/>
    <w:rsid w:val="00FE6835"/>
    <w:rsid w:val="00FE6861"/>
    <w:rsid w:val="00FE6872"/>
    <w:rsid w:val="00FF3136"/>
    <w:rsid w:val="013A47B3"/>
    <w:rsid w:val="015C7D01"/>
    <w:rsid w:val="02E1712C"/>
    <w:rsid w:val="04724B6D"/>
    <w:rsid w:val="06115D6D"/>
    <w:rsid w:val="09FB404F"/>
    <w:rsid w:val="0B65618E"/>
    <w:rsid w:val="0DDB7890"/>
    <w:rsid w:val="0FA77098"/>
    <w:rsid w:val="11DA0A59"/>
    <w:rsid w:val="122649DB"/>
    <w:rsid w:val="139A4780"/>
    <w:rsid w:val="174801FE"/>
    <w:rsid w:val="18AC7E73"/>
    <w:rsid w:val="1BF97055"/>
    <w:rsid w:val="1D102F46"/>
    <w:rsid w:val="1F7F2A98"/>
    <w:rsid w:val="21614F8C"/>
    <w:rsid w:val="21C345D7"/>
    <w:rsid w:val="26562D8A"/>
    <w:rsid w:val="272823D1"/>
    <w:rsid w:val="2836493F"/>
    <w:rsid w:val="296F5309"/>
    <w:rsid w:val="2A242AE4"/>
    <w:rsid w:val="2A483C4B"/>
    <w:rsid w:val="2C027C4F"/>
    <w:rsid w:val="2C070FD5"/>
    <w:rsid w:val="2E017C15"/>
    <w:rsid w:val="322C205B"/>
    <w:rsid w:val="3284440D"/>
    <w:rsid w:val="32ED1740"/>
    <w:rsid w:val="35E51449"/>
    <w:rsid w:val="36A013C9"/>
    <w:rsid w:val="37093E5E"/>
    <w:rsid w:val="37CD4C4B"/>
    <w:rsid w:val="3A404EE3"/>
    <w:rsid w:val="42830126"/>
    <w:rsid w:val="437B7F37"/>
    <w:rsid w:val="45972952"/>
    <w:rsid w:val="46947EAA"/>
    <w:rsid w:val="47931646"/>
    <w:rsid w:val="4A087D52"/>
    <w:rsid w:val="4C402B52"/>
    <w:rsid w:val="4D031280"/>
    <w:rsid w:val="50510D6A"/>
    <w:rsid w:val="53911831"/>
    <w:rsid w:val="541C1F58"/>
    <w:rsid w:val="57F50FFE"/>
    <w:rsid w:val="5A875439"/>
    <w:rsid w:val="5C09782E"/>
    <w:rsid w:val="5C1E1F8A"/>
    <w:rsid w:val="5DB17A8A"/>
    <w:rsid w:val="5FE61950"/>
    <w:rsid w:val="60112DAA"/>
    <w:rsid w:val="64387F6B"/>
    <w:rsid w:val="66C8501B"/>
    <w:rsid w:val="6CB55801"/>
    <w:rsid w:val="6E0B50D8"/>
    <w:rsid w:val="74351A11"/>
    <w:rsid w:val="74C924D9"/>
    <w:rsid w:val="7536165E"/>
    <w:rsid w:val="75E74BC9"/>
    <w:rsid w:val="763778B5"/>
    <w:rsid w:val="78A27D3A"/>
    <w:rsid w:val="7C1D02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0" w:semiHidden="0"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heme="minorHAnsi" w:hAnsiTheme="minorHAnsi" w:eastAsiaTheme="minorEastAsia" w:cstheme="minorBidi"/>
      <w:kern w:val="2"/>
      <w:sz w:val="21"/>
      <w:szCs w:val="22"/>
      <w:lang w:val="en-US" w:eastAsia="zh-CN" w:bidi="ar-SA"/>
    </w:rPr>
  </w:style>
  <w:style w:type="paragraph" w:styleId="4">
    <w:name w:val="heading 1"/>
    <w:basedOn w:val="5"/>
    <w:next w:val="1"/>
    <w:link w:val="36"/>
    <w:qFormat/>
    <w:uiPriority w:val="0"/>
    <w:pPr>
      <w:numPr>
        <w:ilvl w:val="0"/>
        <w:numId w:val="1"/>
      </w:numPr>
      <w:ind w:firstLineChars="0"/>
      <w:outlineLvl w:val="0"/>
    </w:pPr>
    <w:rPr>
      <w:rFonts w:ascii="宋体" w:hAnsi="宋体" w:cs="宋体"/>
      <w:b/>
      <w:bCs/>
      <w:kern w:val="0"/>
      <w:sz w:val="36"/>
      <w:szCs w:val="32"/>
    </w:rPr>
  </w:style>
  <w:style w:type="paragraph" w:styleId="6">
    <w:name w:val="heading 2"/>
    <w:basedOn w:val="7"/>
    <w:next w:val="1"/>
    <w:link w:val="37"/>
    <w:unhideWhenUsed/>
    <w:qFormat/>
    <w:uiPriority w:val="0"/>
    <w:pPr>
      <w:numPr>
        <w:ilvl w:val="1"/>
        <w:numId w:val="1"/>
      </w:numPr>
      <w:spacing w:before="0" w:beforeLines="0" w:after="0" w:afterLines="0"/>
    </w:pPr>
    <w:rPr>
      <w:rFonts w:ascii="宋体" w:eastAsia="宋体"/>
      <w:b/>
      <w:sz w:val="32"/>
    </w:rPr>
  </w:style>
  <w:style w:type="paragraph" w:styleId="8">
    <w:name w:val="heading 3"/>
    <w:basedOn w:val="9"/>
    <w:next w:val="1"/>
    <w:link w:val="38"/>
    <w:unhideWhenUsed/>
    <w:qFormat/>
    <w:uiPriority w:val="0"/>
    <w:rPr>
      <w:rFonts w:asciiTheme="majorEastAsia" w:hAnsiTheme="majorEastAsia" w:eastAsiaTheme="majorEastAsia"/>
      <w:b/>
      <w:sz w:val="30"/>
      <w:szCs w:val="30"/>
    </w:rPr>
  </w:style>
  <w:style w:type="paragraph" w:styleId="10">
    <w:name w:val="heading 4"/>
    <w:basedOn w:val="5"/>
    <w:next w:val="1"/>
    <w:link w:val="39"/>
    <w:unhideWhenUsed/>
    <w:qFormat/>
    <w:uiPriority w:val="0"/>
    <w:pPr>
      <w:numPr>
        <w:ilvl w:val="3"/>
        <w:numId w:val="1"/>
      </w:numPr>
      <w:ind w:firstLine="0" w:firstLineChars="0"/>
      <w:outlineLvl w:val="3"/>
    </w:pPr>
    <w:rPr>
      <w:rFonts w:ascii="宋体" w:hAnsi="宋体" w:cs="宋体"/>
      <w:b/>
      <w:bCs/>
      <w:kern w:val="0"/>
      <w:sz w:val="28"/>
    </w:rPr>
  </w:style>
  <w:style w:type="paragraph" w:styleId="11">
    <w:name w:val="heading 5"/>
    <w:basedOn w:val="5"/>
    <w:next w:val="1"/>
    <w:link w:val="40"/>
    <w:unhideWhenUsed/>
    <w:qFormat/>
    <w:uiPriority w:val="0"/>
    <w:pPr>
      <w:numPr>
        <w:ilvl w:val="4"/>
        <w:numId w:val="1"/>
      </w:numPr>
      <w:ind w:firstLine="0" w:firstLineChars="0"/>
      <w:outlineLvl w:val="4"/>
    </w:pPr>
    <w:rPr>
      <w:rFonts w:ascii="宋体" w:hAnsi="宋体" w:cs="宋体"/>
      <w:b/>
      <w:bCs/>
      <w:kern w:val="0"/>
      <w:sz w:val="24"/>
    </w:rPr>
  </w:style>
  <w:style w:type="paragraph" w:styleId="12">
    <w:name w:val="heading 6"/>
    <w:basedOn w:val="5"/>
    <w:next w:val="1"/>
    <w:link w:val="41"/>
    <w:unhideWhenUsed/>
    <w:qFormat/>
    <w:uiPriority w:val="0"/>
    <w:pPr>
      <w:numPr>
        <w:ilvl w:val="5"/>
        <w:numId w:val="1"/>
      </w:numPr>
      <w:ind w:firstLine="0" w:firstLineChars="0"/>
      <w:outlineLvl w:val="5"/>
    </w:pPr>
    <w:rPr>
      <w:rFonts w:ascii="宋体" w:hAnsi="宋体" w:cs="宋体"/>
      <w:b/>
      <w:bCs/>
      <w:kern w:val="0"/>
      <w:sz w:val="24"/>
    </w:rPr>
  </w:style>
  <w:style w:type="paragraph" w:styleId="13">
    <w:name w:val="heading 7"/>
    <w:basedOn w:val="5"/>
    <w:next w:val="1"/>
    <w:link w:val="42"/>
    <w:unhideWhenUsed/>
    <w:qFormat/>
    <w:uiPriority w:val="0"/>
    <w:pPr>
      <w:numPr>
        <w:ilvl w:val="6"/>
        <w:numId w:val="1"/>
      </w:numPr>
      <w:ind w:firstLine="0" w:firstLineChars="0"/>
      <w:outlineLvl w:val="6"/>
    </w:pPr>
    <w:rPr>
      <w:rFonts w:ascii="宋体" w:hAnsi="宋体" w:cs="宋体"/>
      <w:b/>
      <w:bCs/>
      <w:kern w:val="0"/>
      <w:sz w:val="24"/>
    </w:rPr>
  </w:style>
  <w:style w:type="paragraph" w:styleId="14">
    <w:name w:val="heading 8"/>
    <w:basedOn w:val="5"/>
    <w:next w:val="1"/>
    <w:link w:val="43"/>
    <w:unhideWhenUsed/>
    <w:qFormat/>
    <w:uiPriority w:val="0"/>
    <w:pPr>
      <w:numPr>
        <w:ilvl w:val="7"/>
        <w:numId w:val="1"/>
      </w:numPr>
      <w:ind w:firstLine="0" w:firstLineChars="0"/>
      <w:outlineLvl w:val="7"/>
    </w:pPr>
    <w:rPr>
      <w:rFonts w:ascii="宋体" w:hAnsi="宋体" w:cs="宋体"/>
      <w:b/>
      <w:bCs/>
      <w:kern w:val="0"/>
      <w:sz w:val="24"/>
    </w:rPr>
  </w:style>
  <w:style w:type="paragraph" w:styleId="15">
    <w:name w:val="heading 9"/>
    <w:basedOn w:val="5"/>
    <w:next w:val="1"/>
    <w:link w:val="44"/>
    <w:unhideWhenUsed/>
    <w:qFormat/>
    <w:uiPriority w:val="0"/>
    <w:pPr>
      <w:numPr>
        <w:ilvl w:val="8"/>
        <w:numId w:val="1"/>
      </w:numPr>
      <w:ind w:firstLine="0" w:firstLineChars="0"/>
      <w:outlineLvl w:val="8"/>
    </w:pPr>
    <w:rPr>
      <w:rFonts w:ascii="宋体" w:hAnsi="宋体" w:cs="宋体"/>
      <w:b/>
      <w:bCs/>
      <w:kern w:val="0"/>
      <w:sz w:val="24"/>
    </w:rPr>
  </w:style>
  <w:style w:type="character" w:default="1" w:styleId="30">
    <w:name w:val="Default Paragraph Font"/>
    <w:semiHidden/>
    <w:unhideWhenUsed/>
    <w:uiPriority w:val="1"/>
  </w:style>
  <w:style w:type="table" w:default="1" w:styleId="29">
    <w:name w:val="Normal Table"/>
    <w:semiHidden/>
    <w:unhideWhenUsed/>
    <w:uiPriority w:val="99"/>
    <w:tblPr>
      <w:tblCellMar>
        <w:top w:w="0" w:type="dxa"/>
        <w:left w:w="108" w:type="dxa"/>
        <w:bottom w:w="0" w:type="dxa"/>
        <w:right w:w="108" w:type="dxa"/>
      </w:tblCellMar>
    </w:tblPr>
  </w:style>
  <w:style w:type="paragraph" w:styleId="2">
    <w:name w:val="Body Text First Indent 2"/>
    <w:basedOn w:val="3"/>
    <w:link w:val="45"/>
    <w:unhideWhenUsed/>
    <w:qFormat/>
    <w:uiPriority w:val="0"/>
    <w:pPr>
      <w:ind w:firstLine="420" w:firstLineChars="200"/>
    </w:pPr>
    <w:rPr>
      <w:rFonts w:ascii="Times New Roman" w:hAnsi="Times New Roman"/>
      <w:szCs w:val="24"/>
    </w:rPr>
  </w:style>
  <w:style w:type="paragraph" w:styleId="3">
    <w:name w:val="Body Text Indent"/>
    <w:basedOn w:val="1"/>
    <w:link w:val="47"/>
    <w:semiHidden/>
    <w:unhideWhenUsed/>
    <w:qFormat/>
    <w:uiPriority w:val="99"/>
    <w:pPr>
      <w:spacing w:after="120"/>
      <w:ind w:left="420" w:leftChars="200"/>
    </w:pPr>
  </w:style>
  <w:style w:type="paragraph" w:styleId="5">
    <w:name w:val="List Paragraph"/>
    <w:basedOn w:val="1"/>
    <w:link w:val="35"/>
    <w:qFormat/>
    <w:uiPriority w:val="34"/>
    <w:pPr>
      <w:ind w:firstLine="420" w:firstLineChars="200"/>
    </w:pPr>
    <w:rPr>
      <w:rFonts w:ascii="Times New Roman" w:hAnsi="Times New Roman" w:eastAsia="宋体" w:cs="Times New Roman"/>
      <w:szCs w:val="20"/>
    </w:rPr>
  </w:style>
  <w:style w:type="paragraph" w:customStyle="1" w:styleId="7">
    <w:name w:val="章标题 New"/>
    <w:next w:val="1"/>
    <w:qFormat/>
    <w:uiPriority w:val="0"/>
    <w:pPr>
      <w:spacing w:before="156" w:beforeLines="50" w:after="156" w:afterLines="50"/>
      <w:ind w:left="425" w:hanging="425"/>
      <w:jc w:val="both"/>
      <w:outlineLvl w:val="1"/>
    </w:pPr>
    <w:rPr>
      <w:rFonts w:ascii="黑体" w:hAnsi="Times New Roman" w:eastAsia="黑体" w:cs="Times New Roman"/>
      <w:sz w:val="21"/>
      <w:lang w:val="en-US" w:eastAsia="zh-CN" w:bidi="ar-SA"/>
    </w:rPr>
  </w:style>
  <w:style w:type="paragraph" w:customStyle="1" w:styleId="9">
    <w:name w:val="一级条标题 New"/>
    <w:next w:val="1"/>
    <w:qFormat/>
    <w:uiPriority w:val="0"/>
    <w:pPr>
      <w:numPr>
        <w:ilvl w:val="2"/>
        <w:numId w:val="1"/>
      </w:numPr>
      <w:outlineLvl w:val="2"/>
    </w:pPr>
    <w:rPr>
      <w:rFonts w:ascii="Times New Roman" w:hAnsi="Times New Roman" w:eastAsia="黑体" w:cs="Times New Roman"/>
      <w:sz w:val="21"/>
      <w:lang w:val="en-US" w:eastAsia="zh-CN" w:bidi="ar-SA"/>
    </w:rPr>
  </w:style>
  <w:style w:type="paragraph" w:styleId="16">
    <w:name w:val="caption"/>
    <w:basedOn w:val="1"/>
    <w:next w:val="1"/>
    <w:unhideWhenUsed/>
    <w:qFormat/>
    <w:uiPriority w:val="0"/>
    <w:pPr>
      <w:spacing w:line="240" w:lineRule="auto"/>
    </w:pPr>
    <w:rPr>
      <w:rFonts w:ascii="Arial" w:hAnsi="Arial" w:eastAsia="黑体"/>
      <w:sz w:val="20"/>
      <w:szCs w:val="24"/>
    </w:rPr>
  </w:style>
  <w:style w:type="paragraph" w:styleId="17">
    <w:name w:val="annotation text"/>
    <w:basedOn w:val="1"/>
    <w:link w:val="60"/>
    <w:semiHidden/>
    <w:unhideWhenUsed/>
    <w:qFormat/>
    <w:uiPriority w:val="99"/>
    <w:pPr>
      <w:jc w:val="left"/>
    </w:pPr>
  </w:style>
  <w:style w:type="paragraph" w:styleId="18">
    <w:name w:val="Body Text"/>
    <w:basedOn w:val="1"/>
    <w:link w:val="49"/>
    <w:unhideWhenUsed/>
    <w:qFormat/>
    <w:uiPriority w:val="99"/>
    <w:pPr>
      <w:spacing w:after="120"/>
    </w:pPr>
  </w:style>
  <w:style w:type="paragraph" w:styleId="19">
    <w:name w:val="toc 3"/>
    <w:basedOn w:val="1"/>
    <w:next w:val="1"/>
    <w:unhideWhenUsed/>
    <w:qFormat/>
    <w:uiPriority w:val="39"/>
    <w:pPr>
      <w:ind w:left="840" w:leftChars="400"/>
    </w:pPr>
  </w:style>
  <w:style w:type="paragraph" w:styleId="20">
    <w:name w:val="Body Text Indent 2"/>
    <w:basedOn w:val="1"/>
    <w:link w:val="50"/>
    <w:semiHidden/>
    <w:unhideWhenUsed/>
    <w:qFormat/>
    <w:uiPriority w:val="99"/>
    <w:pPr>
      <w:spacing w:after="120" w:line="480" w:lineRule="auto"/>
      <w:ind w:left="420" w:leftChars="200"/>
    </w:pPr>
  </w:style>
  <w:style w:type="paragraph" w:styleId="21">
    <w:name w:val="Balloon Text"/>
    <w:basedOn w:val="1"/>
    <w:link w:val="59"/>
    <w:semiHidden/>
    <w:unhideWhenUsed/>
    <w:qFormat/>
    <w:uiPriority w:val="99"/>
    <w:pPr>
      <w:spacing w:line="240" w:lineRule="auto"/>
    </w:pPr>
    <w:rPr>
      <w:sz w:val="18"/>
      <w:szCs w:val="18"/>
    </w:rPr>
  </w:style>
  <w:style w:type="paragraph" w:styleId="22">
    <w:name w:val="footer"/>
    <w:basedOn w:val="1"/>
    <w:link w:val="34"/>
    <w:unhideWhenUsed/>
    <w:qFormat/>
    <w:uiPriority w:val="99"/>
    <w:pPr>
      <w:tabs>
        <w:tab w:val="center" w:pos="4153"/>
        <w:tab w:val="right" w:pos="8306"/>
      </w:tabs>
      <w:snapToGrid w:val="0"/>
      <w:jc w:val="left"/>
    </w:pPr>
    <w:rPr>
      <w:sz w:val="18"/>
      <w:szCs w:val="18"/>
    </w:rPr>
  </w:style>
  <w:style w:type="paragraph" w:styleId="23">
    <w:name w:val="header"/>
    <w:basedOn w:val="1"/>
    <w:link w:val="33"/>
    <w:unhideWhenUsed/>
    <w:qFormat/>
    <w:uiPriority w:val="0"/>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style>
  <w:style w:type="paragraph" w:styleId="25">
    <w:name w:val="toc 4"/>
    <w:basedOn w:val="1"/>
    <w:next w:val="1"/>
    <w:unhideWhenUsed/>
    <w:qFormat/>
    <w:uiPriority w:val="39"/>
    <w:pPr>
      <w:ind w:left="1260" w:leftChars="600"/>
    </w:pPr>
  </w:style>
  <w:style w:type="paragraph" w:styleId="26">
    <w:name w:val="toc 2"/>
    <w:basedOn w:val="1"/>
    <w:next w:val="1"/>
    <w:unhideWhenUsed/>
    <w:qFormat/>
    <w:uiPriority w:val="39"/>
    <w:pPr>
      <w:ind w:left="420" w:leftChars="200"/>
    </w:pPr>
  </w:style>
  <w:style w:type="paragraph" w:styleId="27">
    <w:name w:val="Normal (Web)"/>
    <w:basedOn w:val="1"/>
    <w:semiHidden/>
    <w:unhideWhenUsed/>
    <w:qFormat/>
    <w:uiPriority w:val="99"/>
    <w:pPr>
      <w:widowControl/>
      <w:spacing w:before="100" w:beforeAutospacing="1" w:after="100" w:afterAutospacing="1" w:line="240" w:lineRule="auto"/>
      <w:jc w:val="left"/>
    </w:pPr>
    <w:rPr>
      <w:rFonts w:ascii="宋体" w:hAnsi="宋体" w:eastAsia="宋体" w:cs="宋体"/>
      <w:kern w:val="0"/>
      <w:sz w:val="24"/>
      <w:szCs w:val="24"/>
    </w:rPr>
  </w:style>
  <w:style w:type="paragraph" w:styleId="28">
    <w:name w:val="annotation subject"/>
    <w:basedOn w:val="17"/>
    <w:next w:val="17"/>
    <w:link w:val="61"/>
    <w:semiHidden/>
    <w:unhideWhenUsed/>
    <w:qFormat/>
    <w:uiPriority w:val="99"/>
    <w:rPr>
      <w:b/>
      <w:bCs/>
    </w:rPr>
  </w:style>
  <w:style w:type="character" w:styleId="31">
    <w:name w:val="Hyperlink"/>
    <w:basedOn w:val="30"/>
    <w:unhideWhenUsed/>
    <w:qFormat/>
    <w:uiPriority w:val="99"/>
    <w:rPr>
      <w:color w:val="0563C1" w:themeColor="hyperlink"/>
      <w:u w:val="single"/>
      <w14:textFill>
        <w14:solidFill>
          <w14:schemeClr w14:val="hlink"/>
        </w14:solidFill>
      </w14:textFill>
    </w:rPr>
  </w:style>
  <w:style w:type="character" w:styleId="32">
    <w:name w:val="annotation reference"/>
    <w:basedOn w:val="30"/>
    <w:semiHidden/>
    <w:unhideWhenUsed/>
    <w:qFormat/>
    <w:uiPriority w:val="99"/>
    <w:rPr>
      <w:sz w:val="21"/>
      <w:szCs w:val="21"/>
    </w:rPr>
  </w:style>
  <w:style w:type="character" w:customStyle="1" w:styleId="33">
    <w:name w:val="页眉 字符"/>
    <w:basedOn w:val="30"/>
    <w:link w:val="23"/>
    <w:qFormat/>
    <w:uiPriority w:val="99"/>
    <w:rPr>
      <w:sz w:val="18"/>
      <w:szCs w:val="18"/>
    </w:rPr>
  </w:style>
  <w:style w:type="character" w:customStyle="1" w:styleId="34">
    <w:name w:val="页脚 字符"/>
    <w:basedOn w:val="30"/>
    <w:link w:val="22"/>
    <w:qFormat/>
    <w:uiPriority w:val="99"/>
    <w:rPr>
      <w:sz w:val="18"/>
      <w:szCs w:val="18"/>
    </w:rPr>
  </w:style>
  <w:style w:type="character" w:customStyle="1" w:styleId="35">
    <w:name w:val="列表段落 字符1"/>
    <w:link w:val="5"/>
    <w:qFormat/>
    <w:uiPriority w:val="34"/>
    <w:rPr>
      <w:rFonts w:ascii="Times New Roman" w:hAnsi="Times New Roman" w:eastAsia="宋体" w:cs="Times New Roman"/>
      <w:szCs w:val="20"/>
    </w:rPr>
  </w:style>
  <w:style w:type="character" w:customStyle="1" w:styleId="36">
    <w:name w:val="标题 1 字符"/>
    <w:basedOn w:val="30"/>
    <w:link w:val="4"/>
    <w:qFormat/>
    <w:uiPriority w:val="0"/>
    <w:rPr>
      <w:rFonts w:ascii="宋体" w:hAnsi="宋体" w:cs="宋体"/>
      <w:b/>
      <w:bCs/>
      <w:sz w:val="36"/>
      <w:szCs w:val="32"/>
    </w:rPr>
  </w:style>
  <w:style w:type="character" w:customStyle="1" w:styleId="37">
    <w:name w:val="标题 2 字符"/>
    <w:basedOn w:val="30"/>
    <w:link w:val="6"/>
    <w:qFormat/>
    <w:uiPriority w:val="0"/>
    <w:rPr>
      <w:rFonts w:ascii="宋体"/>
      <w:b/>
      <w:sz w:val="32"/>
    </w:rPr>
  </w:style>
  <w:style w:type="character" w:customStyle="1" w:styleId="38">
    <w:name w:val="标题 3 字符"/>
    <w:basedOn w:val="30"/>
    <w:link w:val="8"/>
    <w:qFormat/>
    <w:uiPriority w:val="0"/>
    <w:rPr>
      <w:rFonts w:asciiTheme="majorEastAsia" w:hAnsiTheme="majorEastAsia" w:eastAsiaTheme="majorEastAsia"/>
      <w:b/>
      <w:sz w:val="30"/>
      <w:szCs w:val="30"/>
    </w:rPr>
  </w:style>
  <w:style w:type="character" w:customStyle="1" w:styleId="39">
    <w:name w:val="标题 4 字符"/>
    <w:basedOn w:val="30"/>
    <w:link w:val="10"/>
    <w:qFormat/>
    <w:uiPriority w:val="0"/>
    <w:rPr>
      <w:rFonts w:ascii="宋体" w:hAnsi="宋体" w:cs="宋体"/>
      <w:b/>
      <w:bCs/>
      <w:sz w:val="28"/>
    </w:rPr>
  </w:style>
  <w:style w:type="character" w:customStyle="1" w:styleId="40">
    <w:name w:val="标题 5 字符"/>
    <w:basedOn w:val="30"/>
    <w:link w:val="11"/>
    <w:qFormat/>
    <w:uiPriority w:val="0"/>
    <w:rPr>
      <w:rFonts w:ascii="宋体" w:hAnsi="宋体" w:cs="宋体"/>
      <w:b/>
      <w:bCs/>
      <w:sz w:val="24"/>
    </w:rPr>
  </w:style>
  <w:style w:type="character" w:customStyle="1" w:styleId="41">
    <w:name w:val="标题 6 字符"/>
    <w:basedOn w:val="30"/>
    <w:link w:val="12"/>
    <w:qFormat/>
    <w:uiPriority w:val="0"/>
    <w:rPr>
      <w:rFonts w:ascii="宋体" w:hAnsi="宋体" w:cs="宋体"/>
      <w:b/>
      <w:bCs/>
      <w:sz w:val="24"/>
    </w:rPr>
  </w:style>
  <w:style w:type="character" w:customStyle="1" w:styleId="42">
    <w:name w:val="标题 7 字符"/>
    <w:basedOn w:val="30"/>
    <w:link w:val="13"/>
    <w:qFormat/>
    <w:uiPriority w:val="0"/>
    <w:rPr>
      <w:rFonts w:ascii="宋体" w:hAnsi="宋体" w:cs="宋体"/>
      <w:b/>
      <w:bCs/>
      <w:sz w:val="24"/>
    </w:rPr>
  </w:style>
  <w:style w:type="character" w:customStyle="1" w:styleId="43">
    <w:name w:val="标题 8 字符"/>
    <w:basedOn w:val="30"/>
    <w:link w:val="14"/>
    <w:qFormat/>
    <w:uiPriority w:val="0"/>
    <w:rPr>
      <w:rFonts w:ascii="宋体" w:hAnsi="宋体" w:cs="宋体"/>
      <w:b/>
      <w:bCs/>
      <w:sz w:val="24"/>
    </w:rPr>
  </w:style>
  <w:style w:type="character" w:customStyle="1" w:styleId="44">
    <w:name w:val="标题 9 字符"/>
    <w:basedOn w:val="30"/>
    <w:link w:val="15"/>
    <w:qFormat/>
    <w:uiPriority w:val="0"/>
    <w:rPr>
      <w:rFonts w:ascii="宋体" w:hAnsi="宋体" w:cs="宋体"/>
      <w:b/>
      <w:bCs/>
      <w:sz w:val="24"/>
    </w:rPr>
  </w:style>
  <w:style w:type="character" w:customStyle="1" w:styleId="45">
    <w:name w:val="正文文本首行缩进 2 字符"/>
    <w:link w:val="2"/>
    <w:qFormat/>
    <w:uiPriority w:val="0"/>
    <w:rPr>
      <w:rFonts w:ascii="Times New Roman" w:hAnsi="Times New Roman"/>
      <w:kern w:val="2"/>
      <w:sz w:val="21"/>
      <w:szCs w:val="24"/>
    </w:rPr>
  </w:style>
  <w:style w:type="paragraph" w:customStyle="1" w:styleId="46">
    <w:name w:val="_Style 30"/>
    <w:basedOn w:val="1"/>
    <w:next w:val="5"/>
    <w:qFormat/>
    <w:uiPriority w:val="34"/>
    <w:pPr>
      <w:spacing w:line="240" w:lineRule="auto"/>
      <w:ind w:firstLine="420" w:firstLineChars="200"/>
    </w:pPr>
    <w:rPr>
      <w:rFonts w:ascii="Calibri" w:hAnsi="Calibri" w:eastAsia="宋体" w:cs="Times New Roman"/>
    </w:rPr>
  </w:style>
  <w:style w:type="character" w:customStyle="1" w:styleId="47">
    <w:name w:val="正文文本缩进 字符"/>
    <w:basedOn w:val="30"/>
    <w:link w:val="3"/>
    <w:semiHidden/>
    <w:qFormat/>
    <w:uiPriority w:val="99"/>
  </w:style>
  <w:style w:type="character" w:customStyle="1" w:styleId="48">
    <w:name w:val="正文首行缩进 2 字符"/>
    <w:basedOn w:val="47"/>
    <w:semiHidden/>
    <w:qFormat/>
    <w:uiPriority w:val="99"/>
  </w:style>
  <w:style w:type="character" w:customStyle="1" w:styleId="49">
    <w:name w:val="正文文本 字符"/>
    <w:basedOn w:val="30"/>
    <w:link w:val="18"/>
    <w:qFormat/>
    <w:uiPriority w:val="99"/>
  </w:style>
  <w:style w:type="character" w:customStyle="1" w:styleId="50">
    <w:name w:val="正文文本缩进 2 字符"/>
    <w:basedOn w:val="30"/>
    <w:link w:val="20"/>
    <w:semiHidden/>
    <w:qFormat/>
    <w:uiPriority w:val="99"/>
  </w:style>
  <w:style w:type="paragraph" w:customStyle="1" w:styleId="51">
    <w:name w:val="TOC 标题1"/>
    <w:basedOn w:val="4"/>
    <w:next w:val="1"/>
    <w:unhideWhenUsed/>
    <w:qFormat/>
    <w:uiPriority w:val="39"/>
    <w:pPr>
      <w:keepNext/>
      <w:keepLines/>
      <w:widowControl/>
      <w:numPr>
        <w:numId w:val="0"/>
      </w:numPr>
      <w:spacing w:before="240" w:line="259" w:lineRule="auto"/>
      <w:jc w:val="left"/>
      <w:outlineLvl w:val="9"/>
    </w:pPr>
    <w:rPr>
      <w:rFonts w:asciiTheme="majorHAnsi" w:hAnsiTheme="majorHAnsi" w:eastAsiaTheme="majorEastAsia" w:cstheme="majorBidi"/>
      <w:b w:val="0"/>
      <w:bCs w:val="0"/>
      <w:color w:val="2E75B6" w:themeColor="accent1" w:themeShade="BF"/>
      <w:sz w:val="32"/>
    </w:rPr>
  </w:style>
  <w:style w:type="paragraph" w:customStyle="1" w:styleId="52">
    <w:name w:val="Default"/>
    <w:qFormat/>
    <w:uiPriority w:val="0"/>
    <w:rPr>
      <w:rFonts w:ascii="Helvetica" w:hAnsi="Helvetica" w:eastAsia="宋体" w:cs="Arial Unicode MS"/>
      <w:color w:val="000000"/>
      <w:sz w:val="21"/>
      <w:szCs w:val="22"/>
      <w:lang w:val="en-US" w:eastAsia="zh-CN" w:bidi="ar-SA"/>
    </w:rPr>
  </w:style>
  <w:style w:type="paragraph" w:customStyle="1" w:styleId="53">
    <w:name w:val="Body"/>
    <w:basedOn w:val="1"/>
    <w:qFormat/>
    <w:uiPriority w:val="0"/>
    <w:pPr>
      <w:widowControl/>
      <w:tabs>
        <w:tab w:val="left" w:pos="0"/>
      </w:tabs>
      <w:spacing w:line="240" w:lineRule="auto"/>
      <w:ind w:firstLine="420"/>
      <w:jc w:val="left"/>
    </w:pPr>
    <w:rPr>
      <w:rFonts w:ascii="Arial" w:hAnsi="Arial"/>
      <w:szCs w:val="21"/>
      <w:lang w:eastAsia="en-US" w:bidi="en-US"/>
    </w:rPr>
  </w:style>
  <w:style w:type="paragraph" w:customStyle="1" w:styleId="54">
    <w:name w:val="正文首缩两字"/>
    <w:basedOn w:val="1"/>
    <w:qFormat/>
    <w:uiPriority w:val="0"/>
    <w:pPr>
      <w:spacing w:line="240" w:lineRule="auto"/>
    </w:pPr>
    <w:rPr>
      <w:rFonts w:ascii="Verdana" w:hAnsi="Verdana"/>
      <w:szCs w:val="24"/>
    </w:rPr>
  </w:style>
  <w:style w:type="character" w:customStyle="1" w:styleId="55">
    <w:name w:val="font31"/>
    <w:qFormat/>
    <w:uiPriority w:val="0"/>
    <w:rPr>
      <w:rFonts w:hint="eastAsia" w:ascii="宋体" w:hAnsi="宋体" w:eastAsia="宋体" w:cs="宋体"/>
      <w:color w:val="000000"/>
      <w:sz w:val="24"/>
      <w:szCs w:val="24"/>
      <w:u w:val="none"/>
    </w:rPr>
  </w:style>
  <w:style w:type="paragraph" w:customStyle="1" w:styleId="56">
    <w:name w:val="列出段落1"/>
    <w:basedOn w:val="1"/>
    <w:link w:val="57"/>
    <w:qFormat/>
    <w:uiPriority w:val="0"/>
    <w:pPr>
      <w:spacing w:line="240" w:lineRule="auto"/>
      <w:ind w:firstLine="420" w:firstLineChars="200"/>
    </w:pPr>
    <w:rPr>
      <w:rFonts w:ascii="Calibri" w:hAnsi="Calibri" w:eastAsia="宋体" w:cs="Times New Roman"/>
    </w:rPr>
  </w:style>
  <w:style w:type="character" w:customStyle="1" w:styleId="57">
    <w:name w:val="列表段落 字符"/>
    <w:link w:val="56"/>
    <w:qFormat/>
    <w:uiPriority w:val="0"/>
    <w:rPr>
      <w:rFonts w:ascii="Calibri" w:hAnsi="Calibri"/>
      <w:kern w:val="2"/>
      <w:sz w:val="21"/>
      <w:szCs w:val="22"/>
    </w:rPr>
  </w:style>
  <w:style w:type="paragraph" w:customStyle="1" w:styleId="58">
    <w:name w:val="TOC 标题2"/>
    <w:basedOn w:val="4"/>
    <w:next w:val="1"/>
    <w:unhideWhenUsed/>
    <w:qFormat/>
    <w:uiPriority w:val="39"/>
    <w:pPr>
      <w:keepNext/>
      <w:keepLines/>
      <w:widowControl/>
      <w:numPr>
        <w:numId w:val="0"/>
      </w:numPr>
      <w:spacing w:before="240" w:line="259" w:lineRule="auto"/>
      <w:jc w:val="left"/>
      <w:outlineLvl w:val="9"/>
    </w:pPr>
    <w:rPr>
      <w:rFonts w:asciiTheme="majorHAnsi" w:hAnsiTheme="majorHAnsi" w:eastAsiaTheme="majorEastAsia" w:cstheme="majorBidi"/>
      <w:b w:val="0"/>
      <w:bCs w:val="0"/>
      <w:color w:val="2E75B6" w:themeColor="accent1" w:themeShade="BF"/>
      <w:sz w:val="32"/>
    </w:rPr>
  </w:style>
  <w:style w:type="character" w:customStyle="1" w:styleId="59">
    <w:name w:val="批注框文本 字符"/>
    <w:basedOn w:val="30"/>
    <w:link w:val="21"/>
    <w:semiHidden/>
    <w:qFormat/>
    <w:uiPriority w:val="99"/>
    <w:rPr>
      <w:rFonts w:asciiTheme="minorHAnsi" w:hAnsiTheme="minorHAnsi" w:eastAsiaTheme="minorEastAsia" w:cstheme="minorBidi"/>
      <w:kern w:val="2"/>
      <w:sz w:val="18"/>
      <w:szCs w:val="18"/>
    </w:rPr>
  </w:style>
  <w:style w:type="character" w:customStyle="1" w:styleId="60">
    <w:name w:val="批注文字 字符"/>
    <w:basedOn w:val="30"/>
    <w:link w:val="17"/>
    <w:semiHidden/>
    <w:qFormat/>
    <w:uiPriority w:val="99"/>
    <w:rPr>
      <w:rFonts w:asciiTheme="minorHAnsi" w:hAnsiTheme="minorHAnsi" w:eastAsiaTheme="minorEastAsia" w:cstheme="minorBidi"/>
      <w:kern w:val="2"/>
      <w:sz w:val="21"/>
      <w:szCs w:val="22"/>
    </w:rPr>
  </w:style>
  <w:style w:type="character" w:customStyle="1" w:styleId="61">
    <w:name w:val="批注主题 字符"/>
    <w:basedOn w:val="60"/>
    <w:link w:val="28"/>
    <w:semiHidden/>
    <w:qFormat/>
    <w:uiPriority w:val="99"/>
    <w:rPr>
      <w:rFonts w:asciiTheme="minorHAnsi" w:hAnsiTheme="minorHAnsi" w:eastAsiaTheme="minorEastAsia" w:cstheme="minorBidi"/>
      <w:b/>
      <w:bCs/>
      <w:kern w:val="2"/>
      <w:sz w:val="21"/>
      <w:szCs w:val="22"/>
    </w:rPr>
  </w:style>
  <w:style w:type="paragraph" w:customStyle="1" w:styleId="62">
    <w:name w:val="标书正文格式"/>
    <w:qFormat/>
    <w:uiPriority w:val="0"/>
    <w:pPr>
      <w:spacing w:line="360" w:lineRule="auto"/>
      <w:ind w:firstLine="200" w:firstLineChars="200"/>
    </w:pPr>
    <w:rPr>
      <w:rFonts w:ascii="Times New Roman" w:hAnsi="Times New Roman" w:eastAsia="楷体_GB2312" w:cs="Times New Roman"/>
      <w:kern w:val="2"/>
      <w:sz w:val="24"/>
      <w:szCs w:val="24"/>
      <w:lang w:val="en-US" w:eastAsia="zh-CN" w:bidi="ar-SA"/>
    </w:rPr>
  </w:style>
  <w:style w:type="character" w:customStyle="1" w:styleId="63">
    <w:name w:val="页眉 字符1"/>
    <w:qFormat/>
    <w:uiPriority w:val="0"/>
    <w:rPr>
      <w:kern w:val="2"/>
      <w:sz w:val="18"/>
      <w:szCs w:val="18"/>
    </w:rPr>
  </w:style>
  <w:style w:type="table" w:customStyle="1" w:styleId="64">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65">
    <w:name w:val="font01"/>
    <w:basedOn w:val="30"/>
    <w:qFormat/>
    <w:uiPriority w:val="0"/>
    <w:rPr>
      <w:rFonts w:hint="eastAsia" w:ascii="宋体" w:hAnsi="宋体" w:eastAsia="宋体" w:cs="宋体"/>
      <w:b/>
      <w:color w:val="000000"/>
      <w:sz w:val="22"/>
      <w:szCs w:val="22"/>
      <w:u w:val="none"/>
    </w:rPr>
  </w:style>
  <w:style w:type="character" w:customStyle="1" w:styleId="66">
    <w:name w:val="font11"/>
    <w:basedOn w:val="30"/>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jpeg"/><Relationship Id="rId43" Type="http://schemas.openxmlformats.org/officeDocument/2006/relationships/image" Target="media/image35.png"/><Relationship Id="rId42" Type="http://schemas.openxmlformats.org/officeDocument/2006/relationships/image" Target="media/image34.jpe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jpe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67DF323-60CC-43FF-BDF9-245227BDFFE0}">
  <ds:schemaRefs/>
</ds:datastoreItem>
</file>

<file path=docProps/app.xml><?xml version="1.0" encoding="utf-8"?>
<Properties xmlns="http://schemas.openxmlformats.org/officeDocument/2006/extended-properties" xmlns:vt="http://schemas.openxmlformats.org/officeDocument/2006/docPropsVTypes">
  <Template>Normal</Template>
  <Pages>35</Pages>
  <Words>2128</Words>
  <Characters>12131</Characters>
  <Lines>101</Lines>
  <Paragraphs>28</Paragraphs>
  <TotalTime>471</TotalTime>
  <ScaleCrop>false</ScaleCrop>
  <LinksUpToDate>false</LinksUpToDate>
  <CharactersWithSpaces>14231</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2021-09-17T09:18:00Z</dcterms:created>
  <dc:creator>changxizhu</dc:creator>
  <cp:lastModifiedBy>skyhorse912163com</cp:lastModifiedBy>
  <cp:lastPrinted>2021-03-11T09:27:00Z</cp:lastPrinted>
  <dcterms:modified xsi:type="dcterms:W3CDTF">2022-03-01T07:36:46Z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BECA7E77CF294E92A7CC8EA1C3EB765B</vt:lpwstr>
  </property>
</Properties>
</file>